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99" w:lineRule="exact"/>
        <w:rPr>
          <w:sz w:val="24"/>
          <w:szCs w:val="24"/>
          <w:color w:val="auto"/>
        </w:rPr>
      </w:pPr>
    </w:p>
    <w:p>
      <w:pPr>
        <w:ind w:left="640" w:hanging="326"/>
        <w:spacing w:after="0"/>
        <w:tabs>
          <w:tab w:leader="none" w:pos="6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640" w:hanging="326"/>
        <w:spacing w:after="0"/>
        <w:tabs>
          <w:tab w:leader="none" w:pos="6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0240"/>
          </w:cols>
          <w:pgMar w:left="840" w:top="665" w:right="819" w:bottom="1440" w:gutter="0" w:footer="0" w:header="0"/>
        </w:sectPr>
      </w:pPr>
    </w:p>
    <w:p>
      <w:pPr>
        <w:spacing w:after="0" w:line="97" w:lineRule="exact"/>
        <w:rPr>
          <w:sz w:val="24"/>
          <w:szCs w:val="24"/>
          <w:color w:val="auto"/>
        </w:rPr>
      </w:pPr>
    </w:p>
    <w:p>
      <w:pPr>
        <w:ind w:left="366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91" w:lineRule="exact"/>
        <w:rPr>
          <w:sz w:val="24"/>
          <w:szCs w:val="24"/>
          <w:color w:val="auto"/>
        </w:rPr>
      </w:pPr>
    </w:p>
    <w:p>
      <w:pPr>
        <w:sectPr>
          <w:pgSz w:w="11900" w:h="16838" w:orient="portrait"/>
          <w:cols w:equalWidth="0" w:num="2">
            <w:col w:w="5520" w:space="580"/>
            <w:col w:w="4140"/>
          </w:cols>
          <w:pgMar w:left="840" w:top="665" w:right="819" w:bottom="1440" w:gutter="0" w:footer="0" w:header="0"/>
          <w:type w:val="continuous"/>
        </w:sectPr>
      </w:pPr>
    </w:p>
    <w:p>
      <w:pPr>
        <w:jc w:val="center"/>
        <w:ind w:right="40"/>
        <w:spacing w:after="0"/>
        <w:rPr>
          <w:sz w:val="20"/>
          <w:szCs w:val="20"/>
          <w:color w:val="auto"/>
        </w:rPr>
      </w:pPr>
      <w:r>
        <w:rPr>
          <w:rFonts w:ascii="Arial" w:cs="Arial" w:eastAsia="Arial" w:hAnsi="Arial"/>
          <w:sz w:val="12"/>
          <w:szCs w:val="12"/>
          <w:b w:val="1"/>
          <w:bCs w:val="1"/>
          <w:color w:val="auto"/>
        </w:rPr>
        <w:t>Commission file number 001-34187</w:t>
      </w:r>
    </w:p>
    <w:p>
      <w:pPr>
        <w:sectPr>
          <w:pgSz w:w="11900" w:h="16838" w:orient="portrait"/>
          <w:cols w:equalWidth="0" w:num="1">
            <w:col w:w="10240"/>
          </w:cols>
          <w:pgMar w:left="840" w:top="665" w:right="819" w:bottom="1440" w:gutter="0" w:footer="0" w:header="0"/>
          <w:type w:val="continuous"/>
        </w:sectPr>
      </w:pPr>
    </w:p>
    <w:p>
      <w:pPr>
        <w:spacing w:after="0" w:line="82"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Matson, Inc.</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0240"/>
          </w:cols>
          <w:pgMar w:left="840" w:top="665" w:right="819" w:bottom="1440" w:gutter="0" w:footer="0" w:header="0"/>
          <w:type w:val="continuous"/>
        </w:sectPr>
      </w:pPr>
    </w:p>
    <w:p>
      <w:pPr>
        <w:spacing w:after="0" w:line="64" w:lineRule="exact"/>
        <w:rPr>
          <w:sz w:val="24"/>
          <w:szCs w:val="24"/>
          <w:color w:val="auto"/>
        </w:rPr>
      </w:pPr>
    </w:p>
    <w:p>
      <w:pPr>
        <w:ind w:left="2280"/>
        <w:spacing w:after="0"/>
        <w:rPr>
          <w:sz w:val="20"/>
          <w:szCs w:val="20"/>
          <w:color w:val="auto"/>
        </w:rPr>
      </w:pPr>
      <w:r>
        <w:rPr>
          <w:rFonts w:ascii="Arial" w:cs="Arial" w:eastAsia="Arial" w:hAnsi="Arial"/>
          <w:sz w:val="14"/>
          <w:szCs w:val="14"/>
          <w:b w:val="1"/>
          <w:bCs w:val="1"/>
          <w:color w:val="auto"/>
        </w:rPr>
        <w:t>Hawaii</w:t>
      </w:r>
    </w:p>
    <w:p>
      <w:pPr>
        <w:spacing w:after="0" w:line="3" w:lineRule="exact"/>
        <w:rPr>
          <w:sz w:val="24"/>
          <w:szCs w:val="24"/>
          <w:color w:val="auto"/>
        </w:rPr>
      </w:pPr>
    </w:p>
    <w:p>
      <w:pPr>
        <w:ind w:left="1660"/>
        <w:spacing w:after="0"/>
        <w:rPr>
          <w:sz w:val="20"/>
          <w:szCs w:val="20"/>
          <w:color w:val="auto"/>
        </w:rPr>
      </w:pPr>
      <w:r>
        <w:rPr>
          <w:rFonts w:ascii="Arial" w:cs="Arial" w:eastAsia="Arial" w:hAnsi="Arial"/>
          <w:sz w:val="13"/>
          <w:szCs w:val="13"/>
          <w:color w:val="auto"/>
        </w:rPr>
        <w:t>(State or other jurisdiction of</w:t>
      </w:r>
    </w:p>
    <w:p>
      <w:pPr>
        <w:ind w:left="16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99-0032630</w:t>
      </w:r>
    </w:p>
    <w:p>
      <w:pPr>
        <w:jc w:val="center"/>
        <w:ind w:right="2000"/>
        <w:spacing w:after="0" w:line="226" w:lineRule="auto"/>
        <w:rPr>
          <w:sz w:val="20"/>
          <w:szCs w:val="20"/>
          <w:color w:val="auto"/>
        </w:rPr>
      </w:pPr>
      <w:r>
        <w:rPr>
          <w:rFonts w:ascii="Arial" w:cs="Arial" w:eastAsia="Arial" w:hAnsi="Arial"/>
          <w:sz w:val="14"/>
          <w:szCs w:val="14"/>
          <w:color w:val="auto"/>
        </w:rPr>
        <w:t>(I.R.S. Employer</w:t>
      </w:r>
    </w:p>
    <w:p>
      <w:pPr>
        <w:jc w:val="center"/>
        <w:ind w:right="2000"/>
        <w:spacing w:after="0"/>
        <w:rPr>
          <w:sz w:val="20"/>
          <w:szCs w:val="20"/>
          <w:color w:val="auto"/>
        </w:rPr>
      </w:pPr>
      <w:r>
        <w:rPr>
          <w:rFonts w:ascii="Arial" w:cs="Arial" w:eastAsia="Arial" w:hAnsi="Arial"/>
          <w:sz w:val="13"/>
          <w:szCs w:val="13"/>
          <w:color w:val="auto"/>
        </w:rPr>
        <w:t>Identification No.)</w:t>
      </w:r>
    </w:p>
    <w:p>
      <w:pPr>
        <w:spacing w:after="0" w:line="64" w:lineRule="exact"/>
        <w:rPr>
          <w:sz w:val="24"/>
          <w:szCs w:val="24"/>
          <w:color w:val="auto"/>
        </w:rPr>
      </w:pPr>
    </w:p>
    <w:p>
      <w:pPr>
        <w:sectPr>
          <w:pgSz w:w="11900" w:h="16838" w:orient="portrait"/>
          <w:cols w:equalWidth="0" w:num="2">
            <w:col w:w="6460" w:space="720"/>
            <w:col w:w="3060"/>
          </w:cols>
          <w:pgMar w:left="840" w:top="665" w:right="819" w:bottom="1440" w:gutter="0" w:footer="0" w:header="0"/>
          <w:type w:val="continuous"/>
        </w:sectPr>
      </w:pPr>
    </w:p>
    <w:p>
      <w:pPr>
        <w:jc w:val="center"/>
        <w:ind w:right="20"/>
        <w:spacing w:after="0"/>
        <w:rPr>
          <w:sz w:val="20"/>
          <w:szCs w:val="20"/>
          <w:color w:val="auto"/>
        </w:rPr>
      </w:pPr>
      <w:r>
        <w:rPr>
          <w:rFonts w:ascii="Arial" w:cs="Arial" w:eastAsia="Arial" w:hAnsi="Arial"/>
          <w:sz w:val="14"/>
          <w:szCs w:val="14"/>
          <w:b w:val="1"/>
          <w:bCs w:val="1"/>
          <w:color w:val="auto"/>
        </w:rPr>
        <w:t>1411 Sand Island Parkway</w:t>
      </w:r>
    </w:p>
    <w:p>
      <w:pPr>
        <w:jc w:val="center"/>
        <w:ind w:right="20"/>
        <w:spacing w:after="0" w:line="226" w:lineRule="auto"/>
        <w:rPr>
          <w:sz w:val="20"/>
          <w:szCs w:val="20"/>
          <w:color w:val="auto"/>
        </w:rPr>
      </w:pPr>
      <w:r>
        <w:rPr>
          <w:rFonts w:ascii="Arial" w:cs="Arial" w:eastAsia="Arial" w:hAnsi="Arial"/>
          <w:sz w:val="14"/>
          <w:szCs w:val="14"/>
          <w:b w:val="1"/>
          <w:bCs w:val="1"/>
          <w:color w:val="auto"/>
        </w:rPr>
        <w:t>Honolulu, HI 96819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(808) 848-1211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7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42"/>
        </w:trPr>
        <w:tc>
          <w:tcPr>
            <w:tcW w:w="36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Common Stock, without par value</w:t>
            </w:r>
          </w:p>
        </w:tc>
        <w:tc>
          <w:tcPr>
            <w:tcW w:w="29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MATX</w:t>
            </w:r>
          </w:p>
        </w:tc>
        <w:tc>
          <w:tcPr>
            <w:tcW w:w="3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454"/>
        </w:trPr>
        <w:tc>
          <w:tcPr>
            <w:tcW w:w="3640" w:type="dxa"/>
            <w:vAlign w:val="bottom"/>
          </w:tcPr>
          <w:p>
            <w:pPr>
              <w:ind w:left="320"/>
              <w:spacing w:after="0"/>
              <w:rPr>
                <w:sz w:val="20"/>
                <w:szCs w:val="20"/>
                <w:color w:val="auto"/>
              </w:rPr>
            </w:pPr>
            <w:r>
              <w:rPr>
                <w:rFonts w:ascii="Arial" w:cs="Arial" w:eastAsia="Arial" w:hAnsi="Arial"/>
                <w:sz w:val="14"/>
                <w:szCs w:val="14"/>
                <w:color w:val="auto"/>
                <w:w w:val="92"/>
              </w:rPr>
              <w:t>Securities registered pursuant to Section 12(g) of the Act:</w:t>
            </w:r>
          </w:p>
        </w:tc>
        <w:tc>
          <w:tcPr>
            <w:tcW w:w="2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None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296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2460"/>
        <w:spacing w:after="0" w:line="23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ind w:right="10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1" w:lineRule="exact"/>
        <w:rPr>
          <w:sz w:val="24"/>
          <w:szCs w:val="24"/>
          <w:color w:val="auto"/>
        </w:rPr>
      </w:pPr>
    </w:p>
    <w:p>
      <w:pPr>
        <w:ind w:right="64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1" w:lineRule="exact"/>
        <w:rPr>
          <w:sz w:val="24"/>
          <w:szCs w:val="24"/>
          <w:color w:val="auto"/>
        </w:rPr>
      </w:pPr>
    </w:p>
    <w:p>
      <w:pPr>
        <w:ind w:right="12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240"/>
          </w:cols>
          <w:pgMar w:left="840" w:top="665" w:right="819" w:bottom="1440" w:gutter="0" w:footer="0" w:header="0"/>
          <w:type w:val="continuous"/>
        </w:sectPr>
      </w:pPr>
    </w:p>
    <w:p>
      <w:pPr>
        <w:spacing w:after="0" w:line="3" w:lineRule="exact"/>
        <w:rPr>
          <w:sz w:val="24"/>
          <w:szCs w:val="24"/>
          <w:color w:val="auto"/>
        </w:rPr>
      </w:pPr>
    </w:p>
    <w:p>
      <w:pPr>
        <w:ind w:left="214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8"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42" w:lineRule="exact"/>
        <w:rPr>
          <w:sz w:val="24"/>
          <w:szCs w:val="24"/>
          <w:color w:val="auto"/>
        </w:rPr>
      </w:pPr>
    </w:p>
    <w:p>
      <w:pPr>
        <w:sectPr>
          <w:pgSz w:w="11900" w:h="16838" w:orient="portrait"/>
          <w:cols w:equalWidth="0" w:num="2">
            <w:col w:w="6400" w:space="720"/>
            <w:col w:w="3120"/>
          </w:cols>
          <w:pgMar w:left="840" w:top="665" w:right="819" w:bottom="1440" w:gutter="0" w:footer="0" w:header="0"/>
          <w:type w:val="continuous"/>
        </w:sectPr>
      </w:pPr>
    </w:p>
    <w:p>
      <w:pPr>
        <w:spacing w:after="0" w:line="9" w:lineRule="exact"/>
        <w:rPr>
          <w:sz w:val="24"/>
          <w:szCs w:val="24"/>
          <w:color w:val="auto"/>
        </w:rPr>
      </w:pPr>
    </w:p>
    <w:p>
      <w:pPr>
        <w:ind w:left="2180"/>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sectPr>
          <w:pgSz w:w="11900" w:h="16838" w:orient="portrait"/>
          <w:cols w:equalWidth="0" w:num="2">
            <w:col w:w="6100" w:space="720"/>
            <w:col w:w="3420"/>
          </w:cols>
          <w:pgMar w:left="840" w:top="665" w:right="819" w:bottom="1440" w:gutter="0" w:footer="0" w:header="0"/>
          <w:type w:val="continuous"/>
        </w:sectPr>
      </w:pPr>
    </w:p>
    <w:p>
      <w:pPr>
        <w:ind w:right="2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5" w:lineRule="exact"/>
        <w:rPr>
          <w:sz w:val="24"/>
          <w:szCs w:val="24"/>
          <w:color w:val="auto"/>
        </w:rPr>
      </w:pPr>
    </w:p>
    <w:p>
      <w:pPr>
        <w:ind w:right="46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highlight w:val="black"/>
        </w:rPr>
        <w:t>☒</w:t>
      </w:r>
    </w:p>
    <w:p>
      <w:pPr>
        <w:spacing w:after="0" w:line="3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highlight w:val="black"/>
        </w:rPr>
        <w:t>☒</w:t>
      </w:r>
    </w:p>
    <w:p>
      <w:pPr>
        <w:spacing w:after="0" w:line="82" w:lineRule="exact"/>
        <w:rPr>
          <w:sz w:val="24"/>
          <w:szCs w:val="24"/>
          <w:color w:val="auto"/>
        </w:rPr>
      </w:pPr>
    </w:p>
    <w:p>
      <w:pPr>
        <w:ind w:left="2720"/>
        <w:spacing w:after="0"/>
        <w:rPr>
          <w:sz w:val="20"/>
          <w:szCs w:val="20"/>
          <w:color w:val="auto"/>
        </w:rPr>
      </w:pPr>
      <w:r>
        <w:rPr>
          <w:rFonts w:ascii="Arial" w:cs="Arial" w:eastAsia="Arial" w:hAnsi="Arial"/>
          <w:sz w:val="14"/>
          <w:szCs w:val="14"/>
          <w:color w:val="auto"/>
        </w:rPr>
        <w:t>Aggregate market value of Common Stock held by non-affiliates at June 30, 2021:</w:t>
      </w:r>
    </w:p>
    <w:p>
      <w:pPr>
        <w:jc w:val="center"/>
        <w:ind w:right="40"/>
        <w:spacing w:after="0"/>
        <w:rPr>
          <w:sz w:val="20"/>
          <w:szCs w:val="20"/>
          <w:color w:val="auto"/>
        </w:rPr>
      </w:pPr>
      <w:r>
        <w:rPr>
          <w:rFonts w:ascii="Arial" w:cs="Arial" w:eastAsia="Arial" w:hAnsi="Arial"/>
          <w:sz w:val="14"/>
          <w:szCs w:val="14"/>
          <w:b w:val="1"/>
          <w:bCs w:val="1"/>
          <w:color w:val="auto"/>
        </w:rPr>
        <w:t>$2,723,664,704</w:t>
      </w:r>
    </w:p>
    <w:p>
      <w:pPr>
        <w:spacing w:after="0" w:line="12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Number of shares of Common Stock outstanding at February 18, 2022:</w:t>
      </w:r>
    </w:p>
    <w:p>
      <w:pPr>
        <w:jc w:val="center"/>
        <w:ind w:right="40"/>
        <w:spacing w:after="0"/>
        <w:rPr>
          <w:sz w:val="20"/>
          <w:szCs w:val="20"/>
          <w:color w:val="auto"/>
        </w:rPr>
      </w:pPr>
      <w:r>
        <w:rPr>
          <w:rFonts w:ascii="Arial" w:cs="Arial" w:eastAsia="Arial" w:hAnsi="Arial"/>
          <w:sz w:val="14"/>
          <w:szCs w:val="14"/>
          <w:b w:val="1"/>
          <w:bCs w:val="1"/>
          <w:color w:val="auto"/>
        </w:rPr>
        <w:t>40,878,795</w:t>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69" w:lineRule="exact"/>
        <w:rPr>
          <w:sz w:val="24"/>
          <w:szCs w:val="24"/>
          <w:color w:val="auto"/>
        </w:rPr>
      </w:pPr>
    </w:p>
    <w:p>
      <w:pPr>
        <w:ind w:right="200"/>
        <w:spacing w:after="0" w:line="258" w:lineRule="auto"/>
        <w:rPr>
          <w:sz w:val="20"/>
          <w:szCs w:val="20"/>
          <w:color w:val="auto"/>
        </w:rPr>
      </w:pPr>
      <w:r>
        <w:rPr>
          <w:rFonts w:ascii="Arial" w:cs="Arial" w:eastAsia="Arial" w:hAnsi="Arial"/>
          <w:sz w:val="14"/>
          <w:szCs w:val="14"/>
          <w:b w:val="1"/>
          <w:bCs w:val="1"/>
          <w:color w:val="auto"/>
        </w:rPr>
        <w:t>The following document is incorporated by reference in Part III of the Annual Report on Form 10-K to the extent described therein: Proxy statement for the annual meeting of shareholders of Matson, Inc. to be held 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591820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34925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77470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5" w:right="8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Page</w:t>
            </w:r>
          </w:p>
        </w:tc>
      </w:tr>
      <w:tr>
        <w:trPr>
          <w:trHeight w:val="385"/>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5"/>
          </w:tcPr>
          <w:p>
            <w:pPr>
              <w:jc w:val="center"/>
              <w:ind w:right="324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820" w:type="dxa"/>
            <w:vAlign w:val="bottom"/>
          </w:tcPr>
          <w:p>
            <w:pPr>
              <w:spacing w:after="0"/>
              <w:rPr>
                <w:sz w:val="24"/>
                <w:szCs w:val="24"/>
                <w:color w:val="auto"/>
              </w:rPr>
            </w:pPr>
          </w:p>
        </w:tc>
      </w:tr>
      <w:tr>
        <w:trPr>
          <w:trHeight w:val="412"/>
        </w:trPr>
        <w:tc>
          <w:tcPr>
            <w:tcW w:w="7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24"/>
                <w:szCs w:val="24"/>
                <w:color w:val="auto"/>
              </w:rPr>
            </w:pPr>
          </w:p>
        </w:tc>
        <w:tc>
          <w:tcPr>
            <w:tcW w:w="324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gridSpan w:val="44"/>
          </w:tcPr>
          <w:p>
            <w:pPr>
              <w:ind w:left="4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 Company Overview</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 Business Description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00" w:type="dxa"/>
            <w:vAlign w:val="bottom"/>
            <w:gridSpan w:val="4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r>
                <w:rPr>
                  <w:rFonts w:ascii="Arial" w:cs="Arial" w:eastAsia="Arial" w:hAnsi="Arial"/>
                  <w:sz w:val="18"/>
                  <w:szCs w:val="18"/>
                  <w:u w:val="single" w:color="auto"/>
                  <w:color w:val="0000EE"/>
                </w:rPr>
                <w:t>Ocean</w:t>
              </w:r>
              <w:r>
                <w:rPr>
                  <w:rFonts w:ascii="Arial" w:cs="Arial" w:eastAsia="Arial" w:hAnsi="Arial"/>
                  <w:sz w:val="18"/>
                  <w:szCs w:val="18"/>
                  <w:color w:val="0000EE"/>
                </w:rPr>
                <w:t xml:space="preserve"> Transportation Segment</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(2)</w:t>
              </w:r>
              <w:r>
                <w:rPr>
                  <w:rFonts w:ascii="Arial" w:cs="Arial" w:eastAsia="Arial" w:hAnsi="Arial"/>
                  <w:sz w:val="18"/>
                  <w:szCs w:val="18"/>
                  <w:u w:val="single" w:color="auto"/>
                  <w:color w:val="0000EE"/>
                </w:rPr>
                <w:t>Logistics</w:t>
              </w:r>
              <w:r>
                <w:rPr>
                  <w:rFonts w:ascii="Arial" w:cs="Arial" w:eastAsia="Arial" w:hAnsi="Arial"/>
                  <w:sz w:val="18"/>
                  <w:szCs w:val="18"/>
                  <w:color w:val="0000EE"/>
                </w:rPr>
                <w:t xml:space="preserve"> Segment</w:t>
              </w:r>
            </w:hyperlink>
          </w:p>
        </w:tc>
        <w:tc>
          <w:tcPr>
            <w:tcW w:w="4260" w:type="dxa"/>
            <w:vAlign w:val="bottom"/>
            <w:gridSpan w:val="2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 Employees and Labor Relations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gridSpan w:val="44"/>
          </w:tcPr>
          <w:p>
            <w:pPr>
              <w:ind w:left="40"/>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 Available Information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Item 1A.</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680" w:type="dxa"/>
            <w:vAlign w:val="bottom"/>
            <w:tcBorders>
              <w:top w:val="single" w:sz="8" w:color="0000EE"/>
            </w:tcBorders>
            <w:gridSpan w:val="7"/>
          </w:tcPr>
          <w:p>
            <w:pPr>
              <w:spacing w:after="0"/>
              <w:rPr>
                <w:sz w:val="17"/>
                <w:szCs w:val="17"/>
                <w:color w:val="auto"/>
              </w:rPr>
            </w:pPr>
          </w:p>
        </w:tc>
        <w:tc>
          <w:tcPr>
            <w:tcW w:w="5440" w:type="dxa"/>
            <w:vAlign w:val="bottom"/>
            <w:gridSpan w:val="3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1B.</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Unresolved Staff Comments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580" w:type="dxa"/>
            <w:vAlign w:val="bottom"/>
            <w:tcBorders>
              <w:top w:val="single" w:sz="8" w:color="0000EE"/>
            </w:tcBorders>
            <w:gridSpan w:val="2"/>
          </w:tcPr>
          <w:p>
            <w:pPr>
              <w:spacing w:after="0" w:line="196"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Item 2.</w:t>
              </w:r>
            </w:hyperlink>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4980" w:type="dxa"/>
            <w:vAlign w:val="bottom"/>
            <w:gridSpan w:val="2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16"/>
          </w:tcPr>
          <w:p>
            <w:pPr>
              <w:jc w:val="center"/>
              <w:ind w:right="3200"/>
              <w:spacing w:after="0"/>
              <w:rPr>
                <w:rFonts w:ascii="Arial" w:cs="Arial" w:eastAsia="Arial" w:hAnsi="Arial"/>
                <w:sz w:val="18"/>
                <w:szCs w:val="18"/>
                <w:b w:val="1"/>
                <w:bCs w:val="1"/>
                <w:color w:val="0000EE"/>
                <w:w w:val="99"/>
              </w:rPr>
            </w:pPr>
            <w:hyperlink w:anchor="page28">
              <w:r>
                <w:rPr>
                  <w:rFonts w:ascii="Arial" w:cs="Arial" w:eastAsia="Arial" w:hAnsi="Arial"/>
                  <w:sz w:val="18"/>
                  <w:szCs w:val="18"/>
                  <w:b w:val="1"/>
                  <w:bCs w:val="1"/>
                  <w:color w:val="0000EE"/>
                  <w:w w:val="99"/>
                </w:rPr>
                <w:t>PART II</w:t>
              </w:r>
            </w:hyperlink>
          </w:p>
        </w:tc>
        <w:tc>
          <w:tcPr>
            <w:tcW w:w="82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40" w:type="dxa"/>
            <w:vAlign w:val="bottom"/>
            <w:gridSpan w:val="41"/>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Market for Registrant’s Common Equity, Related Stockholder Matters and Issuer Purchases</w:t>
              </w:r>
            </w:hyperlink>
          </w:p>
        </w:tc>
        <w:tc>
          <w:tcPr>
            <w:tcW w:w="82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of Equity Securities</w:t>
              </w:r>
            </w:hyperlink>
          </w:p>
        </w:tc>
        <w:tc>
          <w:tcPr>
            <w:tcW w:w="5140" w:type="dxa"/>
            <w:vAlign w:val="bottom"/>
            <w:tcBorders>
              <w:top w:val="single" w:sz="8" w:color="0000EE"/>
            </w:tcBorders>
            <w:gridSpan w:val="33"/>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Removed and Reserved</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7.</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Management’s Discussion and Analysis of Financial Condition and Results of Operations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Item 7A.</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6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8.</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Financial Statements and Supplementary Data</w:t>
              </w:r>
            </w:hyperlink>
          </w:p>
        </w:tc>
        <w:tc>
          <w:tcPr>
            <w:tcW w:w="268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Item 9.</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rFonts w:ascii="Arial" w:cs="Arial" w:eastAsia="Arial" w:hAnsi="Arial"/>
                <w:sz w:val="18"/>
                <w:szCs w:val="18"/>
                <w:color w:val="0000EE"/>
                <w:w w:val="98"/>
              </w:rPr>
            </w:pPr>
            <w:hyperlink w:anchor="page77">
              <w:r>
                <w:rPr>
                  <w:rFonts w:ascii="Arial" w:cs="Arial" w:eastAsia="Arial" w:hAnsi="Arial"/>
                  <w:sz w:val="18"/>
                  <w:szCs w:val="18"/>
                  <w:color w:val="0000EE"/>
                  <w:w w:val="98"/>
                </w:rPr>
                <w:t>Changes in and Disagreements with Accountants on Accounting and Financial Disclosure</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Item 9A.</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Controls and Procedures</w:t>
              </w:r>
            </w:hyperlink>
          </w:p>
        </w:tc>
        <w:tc>
          <w:tcPr>
            <w:tcW w:w="5260" w:type="dxa"/>
            <w:vAlign w:val="bottom"/>
            <w:gridSpan w:val="2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Conclusion Regarding Effectiveness of Disclosure Controls and Procedures</w:t>
              </w:r>
            </w:hyperlink>
          </w:p>
        </w:tc>
        <w:tc>
          <w:tcPr>
            <w:tcW w:w="158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Internal Control over Financial Reporting</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Item 9B.</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404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Item 9C.</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Disclosure Regarding Foreign Jurisdictions that Prevent Inspections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III</w:t>
              </w:r>
            </w:hyperlink>
          </w:p>
        </w:tc>
        <w:tc>
          <w:tcPr>
            <w:tcW w:w="1000" w:type="dxa"/>
            <w:vAlign w:val="bottom"/>
            <w:tcBorders>
              <w:top w:val="single" w:sz="8" w:color="0000EE"/>
            </w:tcBorders>
            <w:gridSpan w:val="3"/>
          </w:tcPr>
          <w:p>
            <w:pPr>
              <w:spacing w:after="0"/>
              <w:rPr>
                <w:sz w:val="24"/>
                <w:szCs w:val="24"/>
                <w:color w:val="auto"/>
              </w:rPr>
            </w:pPr>
          </w:p>
        </w:tc>
        <w:tc>
          <w:tcPr>
            <w:tcW w:w="214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580" w:type="dxa"/>
            <w:vAlign w:val="bottom"/>
            <w:gridSpan w:val="2"/>
          </w:tcPr>
          <w:p>
            <w:pPr>
              <w:spacing w:after="0"/>
              <w:rPr>
                <w:rFonts w:ascii="Arial" w:cs="Arial" w:eastAsia="Arial" w:hAnsi="Arial"/>
                <w:sz w:val="18"/>
                <w:szCs w:val="18"/>
                <w:color w:val="0000EE"/>
                <w:w w:val="82"/>
              </w:rPr>
            </w:pPr>
            <w:hyperlink w:anchor="page78">
              <w:r>
                <w:rPr>
                  <w:rFonts w:ascii="Arial" w:cs="Arial" w:eastAsia="Arial" w:hAnsi="Arial"/>
                  <w:sz w:val="18"/>
                  <w:szCs w:val="18"/>
                  <w:color w:val="0000EE"/>
                  <w:w w:val="82"/>
                </w:rPr>
                <w:t>Item 10.</w:t>
              </w:r>
            </w:hyperlink>
          </w:p>
        </w:tc>
        <w:tc>
          <w:tcPr>
            <w:tcW w:w="1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40" w:type="dxa"/>
            <w:vAlign w:val="bottom"/>
            <w:gridSpan w:val="41"/>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Directors, Executive Officers and Corporate Governance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gridSpan w:val="44"/>
          </w:tcPr>
          <w:p>
            <w:pPr>
              <w:ind w:left="40"/>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A. Directors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B. Information About Our Executive Officers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 Corporate Governance</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gridSpan w:val="44"/>
          </w:tcPr>
          <w:p>
            <w:pPr>
              <w:ind w:left="40"/>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D. Code of Ethics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11.</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Executive Compensation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78">
              <w:r>
                <w:rPr>
                  <w:rFonts w:ascii="Arial" w:cs="Arial" w:eastAsia="Arial" w:hAnsi="Arial"/>
                  <w:sz w:val="18"/>
                  <w:szCs w:val="18"/>
                  <w:color w:val="0000EE"/>
                  <w:w w:val="82"/>
                </w:rPr>
                <w:t>Item 12.</w:t>
              </w:r>
            </w:hyperlink>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Security Ownership of Certain Beneficial Owners and Management and Related</w:t>
              </w:r>
            </w:hyperlink>
          </w:p>
        </w:tc>
        <w:tc>
          <w:tcPr>
            <w:tcW w:w="820" w:type="dxa"/>
            <w:vAlign w:val="bottom"/>
          </w:tcPr>
          <w:p>
            <w:pPr>
              <w:spacing w:after="0"/>
              <w:rPr>
                <w:sz w:val="17"/>
                <w:szCs w:val="17"/>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Stockholder Matters</w:t>
              </w:r>
            </w:hyperlink>
          </w:p>
        </w:tc>
        <w:tc>
          <w:tcPr>
            <w:tcW w:w="4300" w:type="dxa"/>
            <w:vAlign w:val="bottom"/>
            <w:tcBorders>
              <w:top w:val="single" w:sz="8" w:color="0000EE"/>
            </w:tcBorders>
            <w:gridSpan w:val="29"/>
          </w:tcPr>
          <w:p>
            <w:pPr>
              <w:spacing w:after="0"/>
              <w:rPr>
                <w:sz w:val="17"/>
                <w:szCs w:val="17"/>
                <w:color w:val="auto"/>
              </w:rPr>
            </w:pPr>
          </w:p>
        </w:tc>
        <w:tc>
          <w:tcPr>
            <w:tcW w:w="126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82"/>
              </w:rPr>
            </w:pPr>
            <w:hyperlink w:anchor="page79">
              <w:r>
                <w:rPr>
                  <w:rFonts w:ascii="Arial" w:cs="Arial" w:eastAsia="Arial" w:hAnsi="Arial"/>
                  <w:sz w:val="18"/>
                  <w:szCs w:val="18"/>
                  <w:color w:val="0000EE"/>
                  <w:w w:val="82"/>
                </w:rPr>
                <w:t>Item 13.</w:t>
              </w:r>
            </w:hyperlink>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60" w:type="dxa"/>
            <w:vAlign w:val="bottom"/>
            <w:tcBorders>
              <w:bottom w:val="single" w:sz="8" w:color="0000EE"/>
            </w:tcBorders>
            <w:gridSpan w:val="36"/>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Certain Relationships and Related Transactions, and Director Independence</w:t>
              </w:r>
            </w:hyperlink>
          </w:p>
        </w:tc>
        <w:tc>
          <w:tcPr>
            <w:tcW w:w="158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14.</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gridSpan w:val="4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Principal Accountant Fees and Services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8"/>
              </w:rPr>
            </w:pPr>
            <w:hyperlink w:anchor="page80">
              <w:r>
                <w:rPr>
                  <w:rFonts w:ascii="Arial" w:cs="Arial" w:eastAsia="Arial" w:hAnsi="Arial"/>
                  <w:sz w:val="18"/>
                  <w:szCs w:val="18"/>
                  <w:b w:val="1"/>
                  <w:bCs w:val="1"/>
                  <w:color w:val="0000EE"/>
                  <w:w w:val="98"/>
                </w:rPr>
                <w:t>PART IV</w:t>
              </w:r>
            </w:hyperlink>
          </w:p>
        </w:tc>
        <w:tc>
          <w:tcPr>
            <w:tcW w:w="316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58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80">
              <w:r>
                <w:rPr>
                  <w:rFonts w:ascii="Arial" w:cs="Arial" w:eastAsia="Arial" w:hAnsi="Arial"/>
                  <w:sz w:val="18"/>
                  <w:szCs w:val="18"/>
                  <w:color w:val="0000EE"/>
                  <w:w w:val="82"/>
                </w:rPr>
                <w:t>Item 15.</w:t>
              </w:r>
            </w:hyperlink>
          </w:p>
        </w:tc>
        <w:tc>
          <w:tcPr>
            <w:tcW w:w="1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Exhibits and Financial Statement Schedules</w:t>
              </w:r>
            </w:hyperlink>
          </w:p>
        </w:tc>
        <w:tc>
          <w:tcPr>
            <w:tcW w:w="384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gridSpan w:val="44"/>
          </w:tcPr>
          <w:p>
            <w:pPr>
              <w:ind w:left="40"/>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A. Financial Statements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52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344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3"/>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B. Financial Statement Schedules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10"/>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344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3"/>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 Exhibits Required by Item 601 of Regulation S-K</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412"/>
        </w:trPr>
        <w:tc>
          <w:tcPr>
            <w:tcW w:w="58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84">
              <w:r>
                <w:rPr>
                  <w:rFonts w:ascii="Arial" w:cs="Arial" w:eastAsia="Arial" w:hAnsi="Arial"/>
                  <w:sz w:val="18"/>
                  <w:szCs w:val="18"/>
                  <w:color w:val="0000EE"/>
                  <w:w w:val="82"/>
                </w:rPr>
                <w:t>Item 16.</w:t>
              </w:r>
            </w:hyperlink>
          </w:p>
        </w:tc>
        <w:tc>
          <w:tcPr>
            <w:tcW w:w="1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Form 10-K Summary</w:t>
              </w:r>
            </w:hyperlink>
          </w:p>
        </w:tc>
        <w:tc>
          <w:tcPr>
            <w:tcW w:w="2040" w:type="dxa"/>
            <w:vAlign w:val="bottom"/>
            <w:tcBorders>
              <w:top w:val="single" w:sz="8" w:color="0000EE"/>
            </w:tcBorders>
            <w:gridSpan w:val="18"/>
          </w:tcPr>
          <w:p>
            <w:pPr>
              <w:spacing w:after="0"/>
              <w:rPr>
                <w:sz w:val="24"/>
                <w:szCs w:val="24"/>
                <w:color w:val="auto"/>
              </w:rPr>
            </w:pPr>
          </w:p>
        </w:tc>
        <w:tc>
          <w:tcPr>
            <w:tcW w:w="344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85">
              <w:r>
                <w:rPr>
                  <w:rFonts w:ascii="Arial" w:cs="Arial" w:eastAsia="Arial" w:hAnsi="Arial"/>
                  <w:sz w:val="18"/>
                  <w:szCs w:val="18"/>
                  <w:color w:val="0000EE"/>
                  <w:w w:val="85"/>
                </w:rPr>
                <w:t>Signatures</w:t>
              </w:r>
            </w:hyperlink>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for the Fiscal Year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Ended December 31, 2021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700" w:hanging="650"/>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84"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i w:val="1"/>
          <w:iCs w:val="1"/>
          <w:color w:val="auto"/>
        </w:rPr>
        <w:t xml:space="preserve">Ocean Transportation: </w:t>
      </w:r>
      <w:r>
        <w:rPr>
          <w:rFonts w:ascii="Arial" w:cs="Arial" w:eastAsia="Arial" w:hAnsi="Arial"/>
          <w:sz w:val="16"/>
          <w:szCs w:val="16"/>
          <w:color w:val="auto"/>
        </w:rPr>
        <w:t>Matson’s Ocean Transportation business is conducted through Matson Navigation Company, Inc.</w:t>
      </w:r>
      <w:r>
        <w:rPr>
          <w:rFonts w:ascii="Arial" w:cs="Arial" w:eastAsia="Arial" w:hAnsi="Arial"/>
          <w:sz w:val="16"/>
          <w:szCs w:val="16"/>
          <w:i w:val="1"/>
          <w:iCs w:val="1"/>
          <w:color w:val="auto"/>
        </w:rPr>
        <w:t xml:space="preserve"> </w:t>
      </w:r>
      <w:r>
        <w:rPr>
          <w:rFonts w:ascii="Arial" w:cs="Arial" w:eastAsia="Arial" w:hAnsi="Arial"/>
          <w:sz w:val="16"/>
          <w:szCs w:val="16"/>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primarily from China to Long Beach, California, and provides services to Okinawa, Japan and various islands in the South Pacific, and operates an international export service from Dutch Harbor, Alaska to Asia. In addition, subsidiaries of MatNav provide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65"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Consolidated Statements of Income and Comprehensive Income, and within the Ocean Transportation segment due to the nature of SSAT’s operations.</w:t>
      </w:r>
    </w:p>
    <w:p>
      <w:pPr>
        <w:spacing w:after="0" w:line="178"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i w:val="1"/>
          <w:iCs w:val="1"/>
          <w:color w:val="auto"/>
        </w:rPr>
        <w:t xml:space="preserve">Logistics: </w:t>
      </w:r>
      <w:r>
        <w:rPr>
          <w:rFonts w:ascii="Arial" w:cs="Arial" w:eastAsia="Arial" w:hAnsi="Arial"/>
          <w:sz w:val="16"/>
          <w:szCs w:val="16"/>
          <w:color w:val="auto"/>
        </w:rPr>
        <w:t>Matson’s Logistics business is conducted through Matson Logistics, Inc. (“Matson Logistics”), a wholly-owned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supply chain management, non-vessel operating common carrier (“NVOCC”) freight forwarding and other services.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Mission and Vision: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mission is to move freight better than anyone. Our vision is to create value for our shareholders by: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Being our customers’ first choice,</w:t>
      </w:r>
    </w:p>
    <w:p>
      <w:pPr>
        <w:spacing w:after="0" w:line="57" w:lineRule="exact"/>
        <w:rPr>
          <w:sz w:val="20"/>
          <w:szCs w:val="20"/>
          <w:color w:val="auto"/>
        </w:rPr>
      </w:pPr>
    </w:p>
    <w:p>
      <w:pPr>
        <w:ind w:left="380" w:right="3459"/>
        <w:spacing w:after="0" w:line="265" w:lineRule="auto"/>
        <w:rPr>
          <w:sz w:val="20"/>
          <w:szCs w:val="20"/>
          <w:color w:val="auto"/>
        </w:rPr>
      </w:pPr>
      <w:r>
        <w:rPr>
          <w:rFonts w:ascii="Arial" w:cs="Arial" w:eastAsia="Arial" w:hAnsi="Arial"/>
          <w:sz w:val="17"/>
          <w:szCs w:val="17"/>
          <w:color w:val="auto"/>
        </w:rPr>
        <w:t>Leveraging our core strengths to drive growth and increase profitability, Improving the communities in which we work and live,</w:t>
      </w:r>
    </w:p>
    <w:p>
      <w:pPr>
        <w:ind w:left="380" w:right="4979"/>
        <w:spacing w:after="0" w:line="258" w:lineRule="auto"/>
        <w:rPr>
          <w:sz w:val="20"/>
          <w:szCs w:val="20"/>
          <w:color w:val="auto"/>
        </w:rPr>
      </w:pPr>
      <w:r>
        <w:rPr>
          <w:rFonts w:ascii="Arial" w:cs="Arial" w:eastAsia="Arial" w:hAnsi="Arial"/>
          <w:sz w:val="18"/>
          <w:szCs w:val="18"/>
          <w:color w:val="auto"/>
        </w:rPr>
        <w:t>Being an environmental leader in our industry, and Being a great place to work.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225" w:lineRule="exact"/>
        <w:rPr>
          <w:sz w:val="20"/>
          <w:szCs w:val="20"/>
          <w:color w:val="auto"/>
        </w:rPr>
      </w:pPr>
    </w:p>
    <w:p>
      <w:pPr>
        <w:ind w:left="1340" w:hanging="642"/>
        <w:spacing w:after="0"/>
        <w:tabs>
          <w:tab w:leader="none" w:pos="1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OCEAN TRANSPORTATION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Ocean Transportation Services: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Matson’s Ocean Transportation segment provides the following services:</w:t>
      </w:r>
    </w:p>
    <w:p>
      <w:pPr>
        <w:spacing w:after="0" w:line="22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provides ocean carriage (lift-on/lift-off, roll-on/roll-off and conventional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between the ports of Long Beach and Oakland, California; Tacoma, Washington; and Honolulu, Hawaii. Matson also operates a network of inter-island barges that provide connecting services from its hub at Honolulu to other major Hawaii ports on the islands of Hawaii, Maui and Kauai. Matson is the largest carrier of ocean cargo between the U.S. West Coast and Hawaii.</w:t>
      </w:r>
    </w:p>
    <w:p>
      <w:pPr>
        <w:spacing w:after="0" w:line="188" w:lineRule="exact"/>
        <w:rPr>
          <w:sz w:val="20"/>
          <w:szCs w:val="20"/>
          <w:color w:val="auto"/>
        </w:rPr>
      </w:pPr>
    </w:p>
    <w:p>
      <w:pPr>
        <w:jc w:val="both"/>
        <w:ind w:left="60" w:right="139"/>
        <w:spacing w:after="0" w:line="301" w:lineRule="auto"/>
        <w:rPr>
          <w:sz w:val="20"/>
          <w:szCs w:val="20"/>
          <w:color w:val="auto"/>
        </w:rPr>
      </w:pPr>
      <w:r>
        <w:rPr>
          <w:rFonts w:ascii="Arial" w:cs="Arial" w:eastAsia="Arial" w:hAnsi="Arial"/>
          <w:sz w:val="16"/>
          <w:szCs w:val="16"/>
          <w:color w:val="auto"/>
        </w:rPr>
        <w:t>Westbound cargo carried by Matson to Hawaii includes dry containers of mixed commodities, refrigerated commodities, food and beverages, retail merchandise, building materials, automobiles and household goods. Matson’s eastbound cargo from Hawaii includes automobiles, household goods, dry containers of mixed commodities and livestock. The majority of Matson’s Hawaii service revenue is derived from the westbound carriage of containerized freight.</w:t>
      </w:r>
    </w:p>
    <w:p>
      <w:pPr>
        <w:spacing w:after="0" w:line="157"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i w:val="1"/>
          <w:iCs w:val="1"/>
          <w:color w:val="auto"/>
        </w:rPr>
        <w:t xml:space="preserve">China Service: </w:t>
      </w:r>
      <w:r>
        <w:rPr>
          <w:rFonts w:ascii="Arial" w:cs="Arial" w:eastAsia="Arial" w:hAnsi="Arial"/>
          <w:sz w:val="18"/>
          <w:szCs w:val="18"/>
          <w:color w:val="auto"/>
        </w:rPr>
        <w:t>Matson’s expedited China-Long Beach Express (“CLX”) service is part of an integrated service that carries</w:t>
      </w:r>
      <w:r>
        <w:rPr>
          <w:rFonts w:ascii="Arial" w:cs="Arial" w:eastAsia="Arial" w:hAnsi="Arial"/>
          <w:sz w:val="18"/>
          <w:szCs w:val="18"/>
          <w:i w:val="1"/>
          <w:iCs w:val="1"/>
          <w:color w:val="auto"/>
        </w:rPr>
        <w:t xml:space="preserve"> </w:t>
      </w:r>
      <w:r>
        <w:rPr>
          <w:rFonts w:ascii="Arial" w:cs="Arial" w:eastAsia="Arial" w:hAnsi="Arial"/>
          <w:sz w:val="18"/>
          <w:szCs w:val="18"/>
          <w:color w:val="auto"/>
        </w:rPr>
        <w:t>cargo from Long Beach, California to Honolulu, Hawaii, to Guam, and then to Okinawa, Japan. The vessels continue to Ningbo and Shanghai, China, where they are loaded with cargo to be discharged primarily in Long Beach, California at a Matson-exclusive terminal operated by SSAT. These vessels also carry cargo destined for Hawaii which originated in Guam, Micronesia, Okinawa, China and other Asian countries. Matson provides container transshipment services from many locations in Asia including Hong Kong and Xiamen, China to the United States via the ports of Ningbo and Shanghai, China.</w:t>
      </w:r>
    </w:p>
    <w:p>
      <w:pPr>
        <w:spacing w:after="0" w:line="195"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In May 2020, as a result of increased market demand, Matson launched its second expedited service to the U.S. West Coast with the China-Long Beach Express Plus (“CLX+”) service. The CLX+ service uses chartered vessels and operates weekly from Ningbo and Shanghai, China where they are loaded with cargo to be discharged primarily at Long Beach, California, calling at an SSAT operated terminal.</w:t>
      </w:r>
    </w:p>
    <w:p>
      <w:pPr>
        <w:spacing w:after="0" w:line="187" w:lineRule="exact"/>
        <w:rPr>
          <w:sz w:val="20"/>
          <w:szCs w:val="20"/>
          <w:color w:val="auto"/>
        </w:rPr>
      </w:pPr>
    </w:p>
    <w:p>
      <w:pPr>
        <w:ind w:left="60" w:right="239"/>
        <w:spacing w:after="0" w:line="273" w:lineRule="auto"/>
        <w:rPr>
          <w:sz w:val="20"/>
          <w:szCs w:val="20"/>
          <w:color w:val="auto"/>
        </w:rPr>
      </w:pPr>
      <w:r>
        <w:rPr>
          <w:rFonts w:ascii="Arial" w:cs="Arial" w:eastAsia="Arial" w:hAnsi="Arial"/>
          <w:sz w:val="17"/>
          <w:szCs w:val="17"/>
          <w:color w:val="auto"/>
        </w:rPr>
        <w:t>In July 2021, Matson launched a temporary, third expedited service to the U.S. West Coast with the China-California Express (“CCX”) service to meet continued high market demand. The CCX service uses Matson-owned vessels and departs Shanghai, China every three out of five weeks with direct service to Oakland, California and then to Long Beach, California. Cargo at both Oakland and Long Beach, California, is discharged at Matson exclusive terminals operated by SSAT. Matson expects the CCX service to operate through the October peak season of 2022. Matson’s expedited China service currently consists of the CLX, CLX+ and the CCX services.</w:t>
      </w:r>
    </w:p>
    <w:p>
      <w:pPr>
        <w:spacing w:after="0" w:line="178"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Eastbound cargo from China to Long Beach, California consists mainly of garments, e-commerce related goods, consumer electronics, footwear and other merchandise.</w:t>
      </w:r>
    </w:p>
    <w:p>
      <w:pPr>
        <w:spacing w:after="0" w:line="170"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i w:val="1"/>
          <w:iCs w:val="1"/>
          <w:color w:val="auto"/>
        </w:rPr>
        <w:t xml:space="preserve">Guam Service: </w:t>
      </w:r>
      <w:r>
        <w:rPr>
          <w:rFonts w:ascii="Arial" w:cs="Arial" w:eastAsia="Arial" w:hAnsi="Arial"/>
          <w:sz w:val="17"/>
          <w:szCs w:val="17"/>
          <w:color w:val="auto"/>
        </w:rPr>
        <w:t>Matson’s Guam service provides weekly carriage between the U.S. West Coast and Guam, as part of its</w:t>
      </w:r>
      <w:r>
        <w:rPr>
          <w:rFonts w:ascii="Arial" w:cs="Arial" w:eastAsia="Arial" w:hAnsi="Arial"/>
          <w:sz w:val="17"/>
          <w:szCs w:val="17"/>
          <w:i w:val="1"/>
          <w:iCs w:val="1"/>
          <w:color w:val="auto"/>
        </w:rPr>
        <w:t xml:space="preserve"> </w:t>
      </w:r>
      <w:r>
        <w:rPr>
          <w:rFonts w:ascii="Arial" w:cs="Arial" w:eastAsia="Arial" w:hAnsi="Arial"/>
          <w:sz w:val="17"/>
          <w:szCs w:val="17"/>
          <w:color w:val="auto"/>
        </w:rPr>
        <w:t>CLX service. Matson also provides weekly connecting service from Guam to the Commonwealth of the Northern Mariana Islands. Cargo destined to these markets is similar to that described under “Hawaii Service” above.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Japan Service: </w:t>
      </w:r>
      <w:r>
        <w:rPr>
          <w:rFonts w:ascii="Arial" w:cs="Arial" w:eastAsia="Arial" w:hAnsi="Arial"/>
          <w:sz w:val="16"/>
          <w:szCs w:val="16"/>
          <w:color w:val="auto"/>
        </w:rPr>
        <w:t>Matson’s Japan service provides carriage to the port of Naha in Okinawa, Japan, as part of its CLX service.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This service mainly carries general sustenance cargo and household goods supporting the U.S. military.</w:t>
      </w:r>
    </w:p>
    <w:p>
      <w:pPr>
        <w:spacing w:after="0" w:line="211"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i w:val="1"/>
          <w:iCs w:val="1"/>
          <w:color w:val="auto"/>
        </w:rPr>
        <w:t xml:space="preserve">Micronesia Service: </w:t>
      </w:r>
      <w:r>
        <w:rPr>
          <w:rFonts w:ascii="Arial" w:cs="Arial" w:eastAsia="Arial" w:hAnsi="Arial"/>
          <w:sz w:val="18"/>
          <w:szCs w:val="18"/>
          <w:color w:val="auto"/>
        </w:rPr>
        <w:t>Matson’s Micronesia service provides carriage between the U.S. West Coast and the islands of</w:t>
      </w:r>
      <w:r>
        <w:rPr>
          <w:rFonts w:ascii="Arial" w:cs="Arial" w:eastAsia="Arial" w:hAnsi="Arial"/>
          <w:sz w:val="18"/>
          <w:szCs w:val="18"/>
          <w:i w:val="1"/>
          <w:iCs w:val="1"/>
          <w:color w:val="auto"/>
        </w:rPr>
        <w:t xml:space="preserve"> </w:t>
      </w:r>
      <w:r>
        <w:rPr>
          <w:rFonts w:ascii="Arial" w:cs="Arial" w:eastAsia="Arial" w:hAnsi="Arial"/>
          <w:sz w:val="18"/>
          <w:szCs w:val="18"/>
          <w:color w:val="auto"/>
        </w:rPr>
        <w:t>Kwajalein, Ebeye and Majuro in the Republic of the Marshall Islands, the islands of Yap, Pohnpei, Chuuk and Kosrae in the Federated States of Micronesia, and the Republic of Palau. Cargo destined for these locations is transshipped through Guam and consists mainly of general sustenance cargo.</w:t>
      </w:r>
    </w:p>
    <w:p>
      <w:pPr>
        <w:spacing w:after="0" w:line="187"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i w:val="1"/>
          <w:iCs w:val="1"/>
          <w:color w:val="auto"/>
        </w:rPr>
        <w:t xml:space="preserve">Alaska Service: </w:t>
      </w:r>
      <w:r>
        <w:rPr>
          <w:rFonts w:ascii="Arial" w:cs="Arial" w:eastAsia="Arial" w:hAnsi="Arial"/>
          <w:sz w:val="16"/>
          <w:szCs w:val="16"/>
          <w:color w:val="auto"/>
        </w:rPr>
        <w:t>Matson’s Alaska service provides ocean carriage between the port of Tacoma, Washington, and the ports</w:t>
      </w:r>
      <w:r>
        <w:rPr>
          <w:rFonts w:ascii="Arial" w:cs="Arial" w:eastAsia="Arial" w:hAnsi="Arial"/>
          <w:sz w:val="16"/>
          <w:szCs w:val="16"/>
          <w:i w:val="1"/>
          <w:iCs w:val="1"/>
          <w:color w:val="auto"/>
        </w:rPr>
        <w:t xml:space="preserve"> </w:t>
      </w:r>
      <w:r>
        <w:rPr>
          <w:rFonts w:ascii="Arial" w:cs="Arial" w:eastAsia="Arial" w:hAnsi="Arial"/>
          <w:sz w:val="16"/>
          <w:szCs w:val="16"/>
          <w:color w:val="auto"/>
        </w:rPr>
        <w:t>of Anchorage, Kodiak and Dutch Harbor, Alaska. Matson also provides a barge service between Dutch Harbor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Akutan in Alaska, and transportation services to other locations in Alaska including the Kenai Peninsula, Fairbanks and the North Slope.</w:t>
      </w:r>
    </w:p>
    <w:p>
      <w:pPr>
        <w:spacing w:after="0" w:line="170"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Northbound cargo to Alaska consists mainly of dry containers of mixed commodities, refrigerated commodities, foods and beverages, retail merchandise, household goods and automobiles. Southbound cargo from Alaska primarily consists of seafood, household goods and automobiles.</w:t>
      </w:r>
    </w:p>
    <w:p>
      <w:pPr>
        <w:spacing w:after="0" w:line="184"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In September 2020, Matson launched its Alaska-Asia Express (“AAX”) service that provides carriage of dry and frozen seafood from Dutch Harbor, Alaska to Ningbo and Shanghai, China. The AAX service utilizes CLX+ vessels on their westbound trip to China. Matson also provides transshipment services from Ningbo and Shanghai, China to other locations in Asia.</w:t>
      </w:r>
    </w:p>
    <w:p>
      <w:pPr>
        <w:spacing w:after="0" w:line="187"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i w:val="1"/>
          <w:iCs w:val="1"/>
          <w:color w:val="auto"/>
        </w:rPr>
        <w:t xml:space="preserve">South Pacific Service: </w:t>
      </w:r>
      <w:r>
        <w:rPr>
          <w:rFonts w:ascii="Arial" w:cs="Arial" w:eastAsia="Arial" w:hAnsi="Arial"/>
          <w:sz w:val="18"/>
          <w:szCs w:val="18"/>
          <w:color w:val="auto"/>
        </w:rPr>
        <w:t>Matson’s New Zealand Express (“NZX”) service provides carriage of general sustenance cargo</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Auckland, New Zealand and select islands in the South Pacific, including Fiji (Suva and Lautoka), Samoa (Apia), American Samoa (Pago Pago), the Cook Islands (Rarotonga and Aitutaki), Tonga (Nukualofa and Vava’u), and Niue. Matson’s NZX service also provides transshipment services to the islands of Nauru and the Solomon Islands (Honiara). Additionally, Matson provides slot charter arrangements for the transportation of cargo from major ports on the east coast of Australia to ports in the South Pacific islands. The NZX service also distributes and sells domestic bulk fuel to a variety of these islands.</w:t>
      </w:r>
    </w:p>
    <w:p>
      <w:pPr>
        <w:spacing w:after="0" w:line="195"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Matson’s South Pacific Express (“SPX”) service provides carriage of general sustenance cargo from the U.S. West Coast to ports in the South Pacific islands using vessel sharing agreements with other carriers. The SPX service provides direct calls to Tahiti (Papeete), American Samoa (Pago Pago) and Samoa (Apia) in the South Pacific. Cargo destined for other ports including Tonga (Nukualofa) and the Cook Islands (Rarotonga and Aitutaki) is then transshipped in Apia, Samoa to the NZX service for delivery to its final destination. Northbound SPX cargo originating in the South Pacific is transshipped from the NZX service with other carriers to the U.S. West Coast. Cargo destined for Hawaii or Washington is further transshipped in Oakland, California for delivery to its final destination.</w:t>
      </w:r>
    </w:p>
    <w:p>
      <w:pPr>
        <w:spacing w:after="0" w:line="177" w:lineRule="exact"/>
        <w:rPr>
          <w:sz w:val="20"/>
          <w:szCs w:val="20"/>
          <w:color w:val="auto"/>
        </w:rPr>
      </w:pPr>
    </w:p>
    <w:p>
      <w:pPr>
        <w:jc w:val="both"/>
        <w:ind w:left="60" w:right="159"/>
        <w:spacing w:after="0" w:line="259" w:lineRule="auto"/>
        <w:rPr>
          <w:sz w:val="20"/>
          <w:szCs w:val="20"/>
          <w:color w:val="auto"/>
        </w:rPr>
      </w:pPr>
      <w:r>
        <w:rPr>
          <w:rFonts w:ascii="Arial" w:cs="Arial" w:eastAsia="Arial" w:hAnsi="Arial"/>
          <w:sz w:val="18"/>
          <w:szCs w:val="18"/>
          <w:color w:val="auto"/>
        </w:rPr>
        <w:t>In June 2021, Matson launched its new China-Auckland Express (“CAX”) service that operates from Shanghai, China to Auckland, New Zealand to meet increased demand from China. The CAX service departs Shanghai every two out of five weeks and transports cargo consisting mainly of garments, e-commerce related goods, consumer electronics, footwear and other merchandise.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Terminal and Other Related Services:</w:t>
      </w:r>
    </w:p>
    <w:p>
      <w:pPr>
        <w:spacing w:after="0" w:line="225" w:lineRule="exact"/>
        <w:rPr>
          <w:sz w:val="20"/>
          <w:szCs w:val="20"/>
          <w:color w:val="auto"/>
        </w:rPr>
      </w:pPr>
    </w:p>
    <w:p>
      <w:pPr>
        <w:ind w:left="60" w:right="59"/>
        <w:spacing w:after="0" w:line="286" w:lineRule="auto"/>
        <w:rPr>
          <w:sz w:val="20"/>
          <w:szCs w:val="20"/>
          <w:color w:val="auto"/>
        </w:rPr>
      </w:pPr>
      <w:r>
        <w:rPr>
          <w:rFonts w:ascii="Arial" w:cs="Arial" w:eastAsia="Arial" w:hAnsi="Arial"/>
          <w:sz w:val="17"/>
          <w:szCs w:val="17"/>
          <w:color w:val="auto"/>
        </w:rPr>
        <w:t>Matson provides stevedoring, refrigerated cargo services, inland transportation, container equipment maintenance and other terminal services (collectively, “terminal services”) at terminals located on the Hawaiian islands of Oahu, Hawaii, Maui and Kauai; and in the Alaska terminal locations of Anchorage, Kodiak and Dutch Harbor.</w:t>
      </w:r>
    </w:p>
    <w:p>
      <w:pPr>
        <w:spacing w:after="0" w:line="16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SSAT currently provides terminal and stevedoring services to various carriers at eight terminal facilities on the U.S. West Coast, including three facilities dedicated for MatNav’s use, in Long Beach and Oakland, California; and in Tacoma, Washington.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Matson utilizes the services of other third-party terminal operators at all of the other ports served by its vessels.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Vessel Management Services:</w:t>
      </w:r>
    </w:p>
    <w:p>
      <w:pPr>
        <w:spacing w:after="0" w:line="225"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Matson contracts with the U.S. Department of Transportation to provide vessel management services to manage and maintain three Ready Reserve Force vessels on behalf of the U.S. Department of Transportation Maritime Administration.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Vessel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Vessels:</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Matson’s fleet includes both owned and chartered vessels. Matson’s owned vessels represent an investment of approximately $2.2 billion. The majority of Matson’s owned vessels are U.S. flagged and Jones Act qualified vessels, and operate in the Hawaii, China, Guam, Japan, Micronesia and Alaska services. Details of Matson’s active and reserve vessels as of December 31, 2021 are as follows:</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b w:val="1"/>
                <w:bCs w:val="1"/>
                <w:color w:val="auto"/>
              </w:rPr>
              <w:t>Usable Cargo Capacity</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Vessel</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Vehicles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Design</w:t>
            </w:r>
          </w:p>
        </w:tc>
        <w:tc>
          <w:tcPr>
            <w:tcW w:w="112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5"/>
              </w:rPr>
              <w:t>Approximate</w:t>
            </w: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19"/>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Vessels</w:t>
            </w:r>
          </w:p>
        </w:tc>
        <w:tc>
          <w:tcPr>
            <w:tcW w:w="140" w:type="dxa"/>
            <w:vAlign w:val="bottom"/>
          </w:tcPr>
          <w:p>
            <w:pPr>
              <w:spacing w:after="0"/>
              <w:rPr>
                <w:sz w:val="10"/>
                <w:szCs w:val="10"/>
                <w:color w:val="auto"/>
              </w:rPr>
            </w:pPr>
          </w:p>
        </w:tc>
        <w:tc>
          <w:tcPr>
            <w:tcW w:w="300" w:type="dxa"/>
            <w:vAlign w:val="bottom"/>
          </w:tcPr>
          <w:p>
            <w:pPr>
              <w:spacing w:after="0" w:line="119" w:lineRule="exact"/>
              <w:rPr>
                <w:sz w:val="20"/>
                <w:szCs w:val="20"/>
                <w:color w:val="auto"/>
              </w:rPr>
            </w:pPr>
            <w:r>
              <w:rPr>
                <w:rFonts w:ascii="Arial" w:cs="Arial" w:eastAsia="Arial" w:hAnsi="Arial"/>
                <w:sz w:val="13"/>
                <w:szCs w:val="13"/>
                <w:b w:val="1"/>
                <w:bCs w:val="1"/>
                <w:color w:val="auto"/>
                <w:w w:val="99"/>
              </w:rPr>
              <w:t>Year</w:t>
            </w:r>
          </w:p>
        </w:tc>
        <w:tc>
          <w:tcPr>
            <w:tcW w:w="160" w:type="dxa"/>
            <w:vAlign w:val="bottom"/>
          </w:tcPr>
          <w:p>
            <w:pPr>
              <w:spacing w:after="0"/>
              <w:rPr>
                <w:sz w:val="10"/>
                <w:szCs w:val="10"/>
                <w:color w:val="auto"/>
              </w:rPr>
            </w:pPr>
          </w:p>
        </w:tc>
        <w:tc>
          <w:tcPr>
            <w:tcW w:w="52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Official</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TEUs (1)</w:t>
            </w:r>
          </w:p>
        </w:tc>
        <w:tc>
          <w:tcPr>
            <w:tcW w:w="580" w:type="dxa"/>
            <w:vAlign w:val="bottom"/>
            <w:gridSpan w:val="2"/>
          </w:tcPr>
          <w:p>
            <w:pPr>
              <w:jc w:val="center"/>
              <w:ind w:left="68"/>
              <w:spacing w:after="0" w:line="119" w:lineRule="exact"/>
              <w:rPr>
                <w:sz w:val="20"/>
                <w:szCs w:val="20"/>
                <w:color w:val="auto"/>
              </w:rPr>
            </w:pPr>
            <w:r>
              <w:rPr>
                <w:rFonts w:ascii="Arial" w:cs="Arial" w:eastAsia="Arial" w:hAnsi="Arial"/>
                <w:sz w:val="13"/>
                <w:szCs w:val="13"/>
                <w:b w:val="1"/>
                <w:bCs w:val="1"/>
                <w:color w:val="auto"/>
                <w:w w:val="98"/>
              </w:rPr>
              <w:t>Reefer</w:t>
            </w:r>
          </w:p>
        </w:tc>
        <w:tc>
          <w:tcPr>
            <w:tcW w:w="140" w:type="dxa"/>
            <w:vAlign w:val="bottom"/>
          </w:tcPr>
          <w:p>
            <w:pPr>
              <w:spacing w:after="0"/>
              <w:rPr>
                <w:sz w:val="10"/>
                <w:szCs w:val="10"/>
                <w:color w:val="auto"/>
              </w:rPr>
            </w:pPr>
          </w:p>
        </w:tc>
        <w:tc>
          <w:tcPr>
            <w:tcW w:w="5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Autos</w:t>
            </w:r>
          </w:p>
        </w:tc>
        <w:tc>
          <w:tcPr>
            <w:tcW w:w="14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Length</w:t>
            </w:r>
          </w:p>
        </w:tc>
        <w:tc>
          <w:tcPr>
            <w:tcW w:w="1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2"/>
              </w:rPr>
              <w:t>Speed</w:t>
            </w:r>
          </w:p>
        </w:tc>
        <w:tc>
          <w:tcPr>
            <w:tcW w:w="14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Deadweight</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71"/>
        </w:trPr>
        <w:tc>
          <w:tcPr>
            <w:tcW w:w="2280" w:type="dxa"/>
            <w:vAlign w:val="bottom"/>
            <w:gridSpan w:val="2"/>
            <w:vMerge w:val="continue"/>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b w:val="1"/>
                <w:bCs w:val="1"/>
                <w:color w:val="auto"/>
                <w:w w:val="89"/>
              </w:rPr>
              <w:t>Built</w:t>
            </w: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w w:val="94"/>
              </w:rPr>
              <w:t>Number</w:t>
            </w: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Slots</w:t>
            </w: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4"/>
              </w:rPr>
              <w:t>(Knots) (2)</w:t>
            </w:r>
          </w:p>
        </w:tc>
        <w:tc>
          <w:tcPr>
            <w:tcW w:w="1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(Long Tons)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Date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Vessels-Owned:</w:t>
            </w: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DANIEL K. INOUYE (4)</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2018</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1274136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3,220</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408</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854’ 0”</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23.5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KAIMANA HILA (4)</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2019</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1"/>
              </w:rPr>
              <w:t>1274135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3,220</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408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854’ 0”</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23.5</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MANOA (4)(9)</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1982</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89"/>
              </w:rPr>
              <w:t>651627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2,824</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408</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860’ 2”</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23.0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MAHIMAHI (4)(9)</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1982</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89"/>
              </w:rPr>
              <w:t>653424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2,824</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408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860’ 2”</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23.0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LURLINE (4)</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2019</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1274143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2,750</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432</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869’ 5”</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23.0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MATSONIA (4)</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2020</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1"/>
              </w:rPr>
              <w:t>1274123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2,750</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432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869’ 5”</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23.0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MANULANI (4)(9)</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2005</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1168529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2,378</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284</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712’ 0”</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22.5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MAUNAWILI (4)(9)</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2004</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1"/>
              </w:rPr>
              <w:t>1153166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2,378</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326</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711’ 9”</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22.5</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MANUKAI (4)(9)</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2003</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1141163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2,378</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326</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98"/>
              </w:rPr>
              <w:t>711’ 9”</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22.5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R.J. PFEIFFER (4)(9)</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1992</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89"/>
              </w:rPr>
              <w:t>979814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2,245</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300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713’ 6”</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23.0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MOKIHANA (4)</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1983</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89"/>
              </w:rPr>
              <w:t>655397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1,994</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354</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1,323</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860’ 2”</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23.0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MAUNALEI (4)(9)</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2006</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1"/>
              </w:rPr>
              <w:t>1181627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1,992</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328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681’ 1”</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22.1</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MATSON KODIAK (4)(9)</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1987</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89"/>
              </w:rPr>
              <w:t>910308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1,668</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280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710’ 0”</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MATSON ANCHORAGE (4)(9)</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1987</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89"/>
              </w:rPr>
              <w:t>910306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1,668</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280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710’ 0”</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20.0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MATSON TACOMA (4)(9)</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1987</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89"/>
              </w:rPr>
              <w:t>910307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1,668</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280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710’ 0”</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KAMOKUIKI (5)</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2000</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1"/>
              </w:rPr>
              <w:t>9232979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100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433’ 9”</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17.5</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OLOMANA (6)</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2004</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9184225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645</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120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388’ 7”</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14.0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IMUA (6)</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2004</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1"/>
              </w:rPr>
              <w:t>9184237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645</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89"/>
              </w:rPr>
              <w:t>90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388’ 6”</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15.0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LILOA II (6)</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2006</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9184249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89"/>
              </w:rPr>
              <w:t>90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388’ 6”</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15.0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PAPA MAU (6)</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1999</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1"/>
              </w:rPr>
              <w:t>9141704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521</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89"/>
              </w:rPr>
              <w:t>68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381’ 5”</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14.0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Vessels-Chartered:</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MATSON HAWAII (6)</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2009</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1"/>
              </w:rPr>
              <w:t>9386471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4,360</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326</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849’ 3”</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23.3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July 2023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NAVIOS FELICITAS (6)(10)</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2010</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9395953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4,360</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326</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849’ 0”</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24.6</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1"/>
              </w:rPr>
              <w:t>January 2022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MATSON LANAI (6)</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2007</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1"/>
              </w:rPr>
              <w:t>9334143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4,253</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400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855’ 2”</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24.3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June 2025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MATSON MAUI (6)(10)</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2007</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9340764</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4,253</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400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854’ 8”</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24.5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2"/>
              </w:rPr>
              <w:t>February 2026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MATSON KAUAI (6)</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2008</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1"/>
              </w:rPr>
              <w:t>9353278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4,218</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350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841’ 4”</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24.8</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January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MATSON OAHU (6)</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2006</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9308015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3,461</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550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783’ 8”</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23.0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8"/>
              </w:rPr>
              <w:t>April 2023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MATSON MOLOKAI (6)</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2007</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1"/>
              </w:rPr>
              <w:t>9338084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2,824</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4"/>
              </w:rPr>
              <w:t>586</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8"/>
              </w:rPr>
              <w:t>728’ 10”</w:t>
            </w:r>
          </w:p>
        </w:tc>
        <w:tc>
          <w:tcPr>
            <w:tcW w:w="8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5"/>
              </w:rPr>
              <w:t>22.0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May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MATSON NIIHAU (6)</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2005</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9294159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2,824</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586</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8"/>
              </w:rPr>
              <w:t>728’ 10”</w:t>
            </w:r>
          </w:p>
        </w:tc>
        <w:tc>
          <w:tcPr>
            <w:tcW w:w="8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21.0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2023</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Barges-Owned:</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MAUNA LOA (4)(7)</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9"/>
              </w:rPr>
              <w:t>2013</w:t>
            </w:r>
          </w:p>
        </w:tc>
        <w:tc>
          <w:tcPr>
            <w:tcW w:w="68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1"/>
              </w:rPr>
              <w:t>1247426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58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89"/>
              </w:rPr>
              <w:t>78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362’ 6”</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HALEAKALA (4)(8)</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1984</w:t>
            </w:r>
          </w:p>
        </w:tc>
        <w:tc>
          <w:tcPr>
            <w:tcW w:w="68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89"/>
              </w:rPr>
              <w:t>676972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335</w:t>
            </w:r>
          </w:p>
        </w:tc>
        <w:tc>
          <w:tcPr>
            <w:tcW w:w="58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89"/>
              </w:rPr>
              <w:t>78</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rPr>
              <w:t>350’ 0”</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Barges-Chartered:</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tcPr>
          <w:p>
            <w:pPr>
              <w:ind w:left="200"/>
              <w:spacing w:after="0"/>
              <w:rPr>
                <w:sz w:val="20"/>
                <w:szCs w:val="20"/>
                <w:color w:val="auto"/>
              </w:rPr>
            </w:pPr>
            <w:r>
              <w:rPr>
                <w:rFonts w:ascii="Arial" w:cs="Arial" w:eastAsia="Arial" w:hAnsi="Arial"/>
                <w:sz w:val="14"/>
                <w:szCs w:val="14"/>
                <w:color w:val="auto"/>
              </w:rPr>
              <w:t>ILIULIUK BAY (4)(8)</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w w:val="89"/>
              </w:rPr>
              <w:t>2013</w:t>
            </w:r>
          </w:p>
        </w:tc>
        <w:tc>
          <w:tcPr>
            <w:tcW w:w="68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1249384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178</w:t>
            </w:r>
          </w:p>
        </w:tc>
        <w:tc>
          <w:tcPr>
            <w:tcW w:w="16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250’ 0”</w:t>
            </w:r>
          </w:p>
        </w:tc>
        <w:tc>
          <w:tcPr>
            <w:tcW w:w="1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4,000</w:t>
            </w:r>
          </w:p>
        </w:tc>
        <w:tc>
          <w:tcPr>
            <w:tcW w:w="1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December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14141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43"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Twenty-foot Equivalent Units (“TEU”) is a standard measure of cargo volume correlated to a standard 20-foot dry cargo container.</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Vessel Design Speed may vary from the operating speed of the vessel.</w:t>
      </w:r>
    </w:p>
    <w:p>
      <w:pPr>
        <w:ind w:left="380" w:right="239"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Charter expiration date represents the approximate earliest month the vessel can be returned to its owner. Some vessel charter agreements include options to further extend the charter period.</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U.S. flagged and Jones Act qualified vessel or barge.</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U.S. flagged vessel.</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Foreign flagged vessel.</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Flat-deck barge.</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Lift-on/lift-off barge equipped with a crane.</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Vessel installed with exhaust gas cleaning systems (commonly referred to as “scrubbers”).</w:t>
      </w:r>
    </w:p>
    <w:p>
      <w:pPr>
        <w:ind w:left="380" w:hanging="330"/>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Navios Felicitas </w:t>
      </w:r>
      <w:r>
        <w:rPr>
          <w:rFonts w:ascii="Arial" w:cs="Arial" w:eastAsia="Arial" w:hAnsi="Arial"/>
          <w:sz w:val="14"/>
          <w:szCs w:val="14"/>
          <w:color w:val="auto"/>
        </w:rPr>
        <w:t>was returned to its owner in January 2022 and replaced by</w:t>
      </w:r>
      <w:r>
        <w:rPr>
          <w:rFonts w:ascii="Arial" w:cs="Arial" w:eastAsia="Arial" w:hAnsi="Arial"/>
          <w:sz w:val="14"/>
          <w:szCs w:val="14"/>
          <w:i w:val="1"/>
          <w:iCs w:val="1"/>
          <w:color w:val="auto"/>
        </w:rPr>
        <w:t xml:space="preserve"> Matson Maui</w:t>
      </w:r>
      <w:r>
        <w:rPr>
          <w:rFonts w:ascii="Arial" w:cs="Arial" w:eastAsia="Arial" w:hAnsi="Arial"/>
          <w:sz w:val="14"/>
          <w:szCs w:val="14"/>
          <w:color w:val="auto"/>
        </w:rPr>
        <w:t>, which was placed into service in February 2022.</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Matson is constructing a new U.S. flagged and Jones Act qualifying flat-deck barge at a cost of approximately</w:t>
      </w:r>
    </w:p>
    <w:p>
      <w:pPr>
        <w:spacing w:after="0" w:line="23"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$25.0 million for operation within its Hawaii neighbor island service. The new barge is expected to be delivered in the first half of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Vessel Emission Regulations:</w:t>
      </w:r>
    </w:p>
    <w:p>
      <w:pPr>
        <w:spacing w:after="0" w:line="225"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Being a leader in environmental stewardship is one of Matson’s core values. Matson’s vessels transit through some of the most environmentally sensitive areas in the United States including the Hawaiian Islands and the coasts of California, Oregon, Washington and Alaska. Matson is focused in particular on reducing transportation emissions, including carbon dioxide, nitrous oxide, particulate matter and sulfur dioxide through improvements in vessel fuel consumption, choice of fuel types and the development of more fuel-efficient transportation solutions. Matson further contributes positively to the environment by testing and deploying leading technologies as the fleet is modernized.</w:t>
      </w:r>
    </w:p>
    <w:p>
      <w:pPr>
        <w:spacing w:after="0" w:line="178"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The International Maritime Organization (“IMO”), to which the U.S. and over 100 other countries are signatories, is a specialized agency of the United Nations that sets international environmental standards applicable to vessels operating under the flag of any signatory country. Effective January 1, 2020, the IMO imposed regulations that generally require all vessels to burn fuel oil with a maximum sulfur content of ≤0.5 percent (“IMO 2020”). There are three main options for a vessel to meet the IMO 2020 requirements: (1) burn low sulfur fuel oil (“LSFO”), (2) install exhaust gas cleaning systems (commonly referred to as “scrubbers”) on vessels to reduce sulfur emissions from heavy fuel oil (“HFO”), or (3) switch to lower emission fuels such as liquefied natural gas (“LNG”), which requires converting existing vessels or constructing new vessels with LNG-capable engines and fuel tanks. With respect to North America, all waters, with certain limited exceptions, within 200 nautical miles of U.S. and Canadian coastlines have been designated emission control areas (“ECAs”). Since January 1, 2015, U.S. Environmental Protection Agency regulations have reduced the fuel oil maximum sulfur content in designated ECAs to ≤0.1 percent or the equivalent emissions by the use of scrubbers. In addition, since August 1, 2012, the California Air Resource Board and U.S. Environmental Protection Agency under the Vessel General Permit regulations have reduced the fuel oil maximum sulfur content to ≤0.1 percent within 24 miles of the California coastline and within Puget Sound.</w:t>
      </w:r>
    </w:p>
    <w:p>
      <w:pPr>
        <w:spacing w:after="0" w:line="184"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All of Matson’s vessels in the Alaska and Hawaii services are designed to operate in compliance with IMO 2020 and ECA regulations as applicable, and can use LSFO. In the Alaska and Hawaii services, Matson installed scrubbers on ten diesel engine-powered vessels to allow them to use HFO and still comply with IMO 2020 and ECA regulations. Matson also maintains vessels which may operate as dry-dock relief or for emergency activation purposes under an EPA approved ECA permit enabling the use of fuel oil with a maximum sulfur content of ≤0.5 percent within the North America ECA or at any time on IMO compliant fuels. Matson’s Aloha and Kanaloa Class vessels burn compliant LSFO. These vessels are also equipped with dual-fuel engines and can be converted to run on LNG. All of Matson’s other vessels use LSFO to meet IMO 2020 and ECA emission standards.</w:t>
      </w:r>
    </w:p>
    <w:p>
      <w:pPr>
        <w:spacing w:after="0" w:line="178"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In June 2021, the IMO adopted new greenhouse gas (“GHG”) emission requirements applicable to ships. Beginning with a company’s first annual, intermediate or renewal survey for an international air pollution prevention certificate on or after January 1, 2023, all containerships with more than 10,000 dead weight tons will be required to meet specified Energy Efficiency Existing Ship Index (“EEXI”) levels. EEXI is a one-time certification measuring a ship’s theoretical carbon dioxide (CO</w:t>
      </w:r>
      <w:r>
        <w:rPr>
          <w:rFonts w:ascii="Arial" w:cs="Arial" w:eastAsia="Arial" w:hAnsi="Arial"/>
          <w:sz w:val="25"/>
          <w:szCs w:val="25"/>
          <w:color w:val="auto"/>
          <w:vertAlign w:val="subscript"/>
        </w:rPr>
        <w:t>2</w:t>
      </w:r>
      <w:r>
        <w:rPr>
          <w:rFonts w:ascii="Arial" w:cs="Arial" w:eastAsia="Arial" w:hAnsi="Arial"/>
          <w:sz w:val="17"/>
          <w:szCs w:val="17"/>
          <w:color w:val="auto"/>
        </w:rPr>
        <w:t>) emissions per transport work based on its design parameters. After 2023, containerships with over 5,000 gross tonnage (“GT”) will be required to meet annual Carbon Intensity Indicator (“CII”) requirements that become increasingly stringent towards 2030. CII measures how efficiently a ship transports goods, and uses actual CO</w:t>
      </w:r>
      <w:r>
        <w:rPr>
          <w:rFonts w:ascii="Arial" w:cs="Arial" w:eastAsia="Arial" w:hAnsi="Arial"/>
          <w:sz w:val="25"/>
          <w:szCs w:val="25"/>
          <w:color w:val="auto"/>
          <w:vertAlign w:val="subscript"/>
        </w:rPr>
        <w:t>2</w:t>
      </w:r>
      <w:r>
        <w:rPr>
          <w:rFonts w:ascii="Arial" w:cs="Arial" w:eastAsia="Arial" w:hAnsi="Arial"/>
          <w:sz w:val="17"/>
          <w:szCs w:val="17"/>
          <w:color w:val="auto"/>
        </w:rPr>
        <w:t xml:space="preserve"> emissions to determine an annual rating from A to E. For ships that achieve a D rating for three consecutive years or an E rating in a single year, a corrective action plan needs to be developed as part of the vessels’ Ship Energy Efficiency Management Plan (“SEEMP”) and approved. For a discussion on the Company’s planned future capital expenditures to comply with these regulations, see Part II, Item 7 of this Form 10-K. For more information on Matson’s environmental stewardship initiatives, including GHG emission reduction goals, see Matson’s Sustainability Report and other information available at www.matson.com/sustainability.</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Hawaii Terminal Modernization and Expansion Program:</w:t>
      </w:r>
    </w:p>
    <w:p>
      <w:pPr>
        <w:spacing w:after="0" w:line="22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During 2020, Matson completed the first phase of its program to modernize and renovate its terminal facility at Sand Island, Honolulu, Hawaii. As part of this phase, Matson completed the installation of three new 65 long-ton capacity gantry cranes, upgraded and renovated three existing cranes, demolished four outdated cranes, and installed upgrades to the electrical infrastructure at the terminal.</w:t>
      </w:r>
    </w:p>
    <w:p>
      <w:pPr>
        <w:spacing w:after="0" w:line="187"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During 2021, as part of the second phase, Matson completed the installation, energization and transition to a new redundant main switchgear. Additional projects for this phase relate to improvements to its existing backup power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generators, installation of new above ground fuel storage tanks, a battery energy storage system, and other upgrades at the terminal, and are expected to be completed within the next three years.</w:t>
      </w:r>
    </w:p>
    <w:p>
      <w:pPr>
        <w:spacing w:after="0" w:line="170"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The next phase represents a broader and long-term terminal expansion program at the Sand Island terminal facility. Matson expects to expand into Pier 51A and portions of Pier 51B after Pasha Hawaii (“Pasha”) relocates to the newly constructed Kapalama container terminal facility planned for 2024. From 2022 to 2024, Matson will be performing surveying, planning and design work in preparation for this expansion.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Ocean Transportation Equipment:</w:t>
      </w:r>
    </w:p>
    <w:p>
      <w:pPr>
        <w:spacing w:after="0" w:line="225"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As a complement to its fleet of vessels, Matson owns a variety of equipment including cranes, terminal equipment, containers and chassis, which represents an investment of approximately $0.8 billion as of December 31, 2021. Matson also leases containers, chassis and other equipment under various operating lease agreements.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Major components of Matson’s Ocean Transportation operating costs are as follows:</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i w:val="1"/>
          <w:iCs w:val="1"/>
          <w:color w:val="auto"/>
        </w:rPr>
        <w:t xml:space="preserve">Direct Cargo Expense </w:t>
      </w:r>
      <w:r>
        <w:rPr>
          <w:rFonts w:ascii="Arial" w:cs="Arial" w:eastAsia="Arial" w:hAnsi="Arial"/>
          <w:sz w:val="18"/>
          <w:szCs w:val="18"/>
          <w:color w:val="auto"/>
        </w:rPr>
        <w:t>includes terminal handling costs including labor, purchased outside transportation and other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w:t>
      </w:r>
    </w:p>
    <w:p>
      <w:pPr>
        <w:spacing w:after="0" w:line="170"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i w:val="1"/>
          <w:iCs w:val="1"/>
          <w:color w:val="auto"/>
        </w:rPr>
        <w:t xml:space="preserve">Vessel Operating Expense </w:t>
      </w:r>
      <w:r>
        <w:rPr>
          <w:rFonts w:ascii="Arial" w:cs="Arial" w:eastAsia="Arial" w:hAnsi="Arial"/>
          <w:sz w:val="17"/>
          <w:szCs w:val="17"/>
          <w:color w:val="auto"/>
        </w:rPr>
        <w:t>includes crew wages and related costs; fuel, pilots, tugs and line related costs; vessel charter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other vessel operating related expenses. Matson purchases fuel oil, lubricants and gasoline for its operations and also pays fuel-related surcharges to other third party transportation providers.</w:t>
      </w:r>
    </w:p>
    <w:p>
      <w:pPr>
        <w:spacing w:after="0" w:line="16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i w:val="1"/>
          <w:iCs w:val="1"/>
          <w:color w:val="auto"/>
        </w:rPr>
        <w:t xml:space="preserve">Operating Overhead </w:t>
      </w:r>
      <w:r>
        <w:rPr>
          <w:rFonts w:ascii="Arial" w:cs="Arial" w:eastAsia="Arial" w:hAnsi="Arial"/>
          <w:sz w:val="18"/>
          <w:szCs w:val="18"/>
          <w:color w:val="auto"/>
        </w:rPr>
        <w:t>includes equipment repair costs, equipment lease and repositioning expenses, vessel repair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costs, depreciation and dry-docking amortization, insurance, port engineers and other maintenance costs, and other vessel and shoreside related overhead.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major competitors in Matson’s Ocean Transportation segment:</w:t>
      </w:r>
    </w:p>
    <w:p>
      <w:pPr>
        <w:spacing w:after="0" w:line="225"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has one major U.S. flagged Jones Act competitor, Pasha, which operates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container and roll-on/roll-off services between the ports of Long Beach, Oakland and San Diego, California to Hawaii. A U.S. flagged Jones Act barge operator, Aloha Marine Lines, also offers barge service between the Pacific Northwest and Hawaii.</w:t>
      </w:r>
    </w:p>
    <w:p>
      <w:pPr>
        <w:spacing w:after="0" w:line="187"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Foreign-flagged vessels carrying cargo to Hawaii from non-U.S. locations also provide alternatives for companies shipping to Hawaii. Other competitors in the Hawaii service include proprietary operators and contract carriers of bulk cargo, and airfreight freight carriers.</w:t>
      </w:r>
    </w:p>
    <w:p>
      <w:pPr>
        <w:spacing w:after="0" w:line="184" w:lineRule="exact"/>
        <w:rPr>
          <w:sz w:val="20"/>
          <w:szCs w:val="20"/>
          <w:color w:val="auto"/>
        </w:rPr>
      </w:pPr>
    </w:p>
    <w:p>
      <w:pPr>
        <w:ind w:left="60" w:right="59"/>
        <w:spacing w:after="0" w:line="289" w:lineRule="auto"/>
        <w:rPr>
          <w:sz w:val="20"/>
          <w:szCs w:val="20"/>
          <w:color w:val="auto"/>
        </w:rPr>
      </w:pPr>
      <w:r>
        <w:rPr>
          <w:rFonts w:ascii="Arial" w:cs="Arial" w:eastAsia="Arial" w:hAnsi="Arial"/>
          <w:sz w:val="16"/>
          <w:szCs w:val="16"/>
          <w:color w:val="auto"/>
        </w:rPr>
        <w:t>Matson operates three strings of vessels to Hawaii. These strings provide customers an industry-leading five departures from ports on the U.S. West Coast to Hawaii every week – two each from Long Beach and Oakland, California and one from Tacoma, Washington. Each of these strings operates on a fixed day-of-the-week schedule. Two of the vessel strings continue from Honolulu to China before returning to Long Beach. Matson’s frequent sailings and punctuality permit customers to reduce inventory carrying costs. Matson also competes by offering one of the most comprehensive services to customers, including: the only container service to and from the three largest U.S. West Coast ports; the most efficient terminal network on the U.S. West Coast with three exclusive use terminals provided by SSAT; a dedicated inter-island barge network which is integrated with Matson’s line haul schedule; roll-on/roll-off service from Long Beach and Oakland; a world-class customer service team; and efficiency and experience in handling cargo of many types.</w:t>
      </w:r>
    </w:p>
    <w:p>
      <w:pPr>
        <w:spacing w:after="0" w:line="166" w:lineRule="exact"/>
        <w:rPr>
          <w:sz w:val="20"/>
          <w:szCs w:val="20"/>
          <w:color w:val="auto"/>
        </w:rPr>
      </w:pPr>
    </w:p>
    <w:p>
      <w:pPr>
        <w:ind w:left="60" w:right="339"/>
        <w:spacing w:after="0" w:line="301" w:lineRule="auto"/>
        <w:rPr>
          <w:sz w:val="20"/>
          <w:szCs w:val="20"/>
          <w:color w:val="auto"/>
        </w:rPr>
      </w:pPr>
      <w:r>
        <w:rPr>
          <w:rFonts w:ascii="Arial" w:cs="Arial" w:eastAsia="Arial" w:hAnsi="Arial"/>
          <w:sz w:val="16"/>
          <w:szCs w:val="16"/>
          <w:i w:val="1"/>
          <w:iCs w:val="1"/>
          <w:color w:val="auto"/>
        </w:rPr>
        <w:t xml:space="preserve">Alaska Service: </w:t>
      </w:r>
      <w:r>
        <w:rPr>
          <w:rFonts w:ascii="Arial" w:cs="Arial" w:eastAsia="Arial" w:hAnsi="Arial"/>
          <w:sz w:val="16"/>
          <w:szCs w:val="16"/>
          <w:color w:val="auto"/>
        </w:rPr>
        <w:t>Matson’s Alaska service has one major U.S. flagged Jones Act competitor, Totem Ocean Trailer</w:t>
      </w:r>
      <w:r>
        <w:rPr>
          <w:rFonts w:ascii="Arial" w:cs="Arial" w:eastAsia="Arial" w:hAnsi="Arial"/>
          <w:sz w:val="16"/>
          <w:szCs w:val="16"/>
          <w:i w:val="1"/>
          <w:iCs w:val="1"/>
          <w:color w:val="auto"/>
        </w:rPr>
        <w:t xml:space="preserve"> </w:t>
      </w:r>
      <w:r>
        <w:rPr>
          <w:rFonts w:ascii="Arial" w:cs="Arial" w:eastAsia="Arial" w:hAnsi="Arial"/>
          <w:sz w:val="16"/>
          <w:szCs w:val="16"/>
          <w:color w:val="auto"/>
        </w:rPr>
        <w:t>Express, Inc., which operates a roll-on/roll off service between Tacoma, Washington and Anchorage, Alaska. There are also two U.S. flagged Jones Act barge operators, Alaska Marine Lines, which mainly provides services from Seattle, Washington to the ports of Anchorage and Dutch Harbor, and other locations in Alaska, and Samson Tug &amp; Barge,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which mainly serves Western Alaska and other locations. The barge operators have historically shipped lower value commodities that can accommodate a longer transit time, as well as construction materials and other cargo that are not conducive to movement in containers. Foreign-flagged vessels provide alternatives for companies shipping cargo (mainly seafood) from the Alaska ports of Kodiak and Dutch Harbor. Other competition includes air freight and over-the-road trucking services. Matson’s AAX service has two major competitors, CMA CGM and Maersk Lines, which provide services between Dutch Harbor, Alaska and Asia.</w:t>
      </w:r>
    </w:p>
    <w:p>
      <w:pPr>
        <w:spacing w:after="0" w:line="192"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Matson offers customers twice weekly scheduled service from Tacoma, Washington to Anchorage and Kodiak, Alaska, and a weekly service to Dutch Harbor, Alaska. The Company also provides a barge service between Dutch Harbor and Akutan in Alaska. Matson is the only Jones Act containership operator providing service to Kodiak and Dutch Harbor in Alaska, which are the primary loading ports for southbound seafood. Matson offers dedicated terminal services at the Alaska ports of Anchorage, Kodiak and Dutch Harbor performed by Matson, and at the port of Tacoma, Washington performed by SSAT. Matson’s AAX service also offers customers a service from Dutch Harbor, Alaska to Ningbo and Shanghai, China, with transshipment services from those ports to other locations in Asia.</w:t>
      </w:r>
    </w:p>
    <w:p>
      <w:pPr>
        <w:spacing w:after="0" w:line="177"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i w:val="1"/>
          <w:iCs w:val="1"/>
          <w:color w:val="auto"/>
        </w:rPr>
        <w:t xml:space="preserve">China Service: </w:t>
      </w:r>
      <w:r>
        <w:rPr>
          <w:rFonts w:ascii="Arial" w:cs="Arial" w:eastAsia="Arial" w:hAnsi="Arial"/>
          <w:sz w:val="18"/>
          <w:szCs w:val="18"/>
          <w:color w:val="auto"/>
        </w:rPr>
        <w:t>Major competitors to Matson’s China service include large international carriers such as CMA CGM,</w:t>
      </w:r>
      <w:r>
        <w:rPr>
          <w:rFonts w:ascii="Arial" w:cs="Arial" w:eastAsia="Arial" w:hAnsi="Arial"/>
          <w:sz w:val="18"/>
          <w:szCs w:val="18"/>
          <w:i w:val="1"/>
          <w:iCs w:val="1"/>
          <w:color w:val="auto"/>
        </w:rPr>
        <w:t xml:space="preserve"> </w:t>
      </w:r>
      <w:r>
        <w:rPr>
          <w:rFonts w:ascii="Arial" w:cs="Arial" w:eastAsia="Arial" w:hAnsi="Arial"/>
          <w:sz w:val="18"/>
          <w:szCs w:val="18"/>
          <w:color w:val="auto"/>
        </w:rPr>
        <w:t>OOCL, ZIM, Evergreen and Maersk. Other competition includes air freight carriers.</w:t>
      </w:r>
    </w:p>
    <w:p>
      <w:pPr>
        <w:spacing w:after="0" w:line="170"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Matson’s China service competes by offering fast and reliable service from the ports of Ningbo and Shanghai in China, and feeder services from other Asian ports of origin, to Long Beach and Oakland, California. Matson provides fixed day-of-the-week arrivals and industry leading cargo availability. Matson’s service is further differentiated by best-in-class stevedoring services provided by SSAT, Matson dedicated terminal space, access to Shippers Transport Express off-dock container yards for faster truck turn times, Matson-dedicated equipment including chassis to speed cargo availability, one-stop intermodal connections, and world-class customer service. Matson also provides intermodal services in coordination with Matson Logistics. Matson has offices located in Shanghai, Shenzhen, Xiamen, Ningbo and Hong Kong, and has contracted with terminal operators in Ningbo and Shanghai.</w:t>
      </w:r>
    </w:p>
    <w:p>
      <w:pPr>
        <w:spacing w:after="0" w:line="178"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i w:val="1"/>
          <w:iCs w:val="1"/>
          <w:color w:val="auto"/>
        </w:rPr>
        <w:t xml:space="preserve">Guam Service: </w:t>
      </w:r>
      <w:r>
        <w:rPr>
          <w:rFonts w:ascii="Arial" w:cs="Arial" w:eastAsia="Arial" w:hAnsi="Arial"/>
          <w:sz w:val="18"/>
          <w:szCs w:val="18"/>
          <w:color w:val="auto"/>
        </w:rPr>
        <w:t>Matson’s Guam service has one major competitor, APL, a U.S. flagged subsidiary of CMA CGM, which</w:t>
      </w:r>
      <w:r>
        <w:rPr>
          <w:rFonts w:ascii="Arial" w:cs="Arial" w:eastAsia="Arial" w:hAnsi="Arial"/>
          <w:sz w:val="18"/>
          <w:szCs w:val="18"/>
          <w:i w:val="1"/>
          <w:iCs w:val="1"/>
          <w:color w:val="auto"/>
        </w:rPr>
        <w:t xml:space="preserve"> </w:t>
      </w:r>
      <w:r>
        <w:rPr>
          <w:rFonts w:ascii="Arial" w:cs="Arial" w:eastAsia="Arial" w:hAnsi="Arial"/>
          <w:sz w:val="18"/>
          <w:szCs w:val="18"/>
          <w:color w:val="auto"/>
        </w:rPr>
        <w:t>operates a weekly U.S. flagged container feeder service connecting the U.S. West Coast to Guam and Saipan, via transshipments to U.S. flagged feeder vessels in Yokohama, Japan and Busan, South Korea. Waterman operates a roll-on/roll-off service, which periodically calls at Guam. There are also several foreign carriers, including CMA CGM, that call at Guam from foreign origin ports.</w:t>
      </w:r>
    </w:p>
    <w:p>
      <w:pPr>
        <w:spacing w:after="0" w:line="188"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Matson offers customers a weekly service to Guam as part of the CLX service from three ports on the U.S. West Coast. Matson’s ocean transit time, frequent sailing and reliable on-time performance provides an industry-leading service to its customers.</w:t>
      </w:r>
    </w:p>
    <w:p>
      <w:pPr>
        <w:spacing w:after="0" w:line="184" w:lineRule="exact"/>
        <w:rPr>
          <w:sz w:val="20"/>
          <w:szCs w:val="20"/>
          <w:color w:val="auto"/>
        </w:rPr>
      </w:pPr>
    </w:p>
    <w:p>
      <w:pPr>
        <w:ind w:left="60" w:right="1059"/>
        <w:spacing w:after="0" w:line="308" w:lineRule="auto"/>
        <w:rPr>
          <w:sz w:val="20"/>
          <w:szCs w:val="20"/>
          <w:color w:val="auto"/>
        </w:rPr>
      </w:pPr>
      <w:r>
        <w:rPr>
          <w:rFonts w:ascii="Arial" w:cs="Arial" w:eastAsia="Arial" w:hAnsi="Arial"/>
          <w:sz w:val="17"/>
          <w:szCs w:val="17"/>
          <w:i w:val="1"/>
          <w:iCs w:val="1"/>
          <w:color w:val="auto"/>
        </w:rPr>
        <w:t xml:space="preserve">Japan Service: </w:t>
      </w:r>
      <w:r>
        <w:rPr>
          <w:rFonts w:ascii="Arial" w:cs="Arial" w:eastAsia="Arial" w:hAnsi="Arial"/>
          <w:sz w:val="17"/>
          <w:szCs w:val="17"/>
          <w:color w:val="auto"/>
        </w:rPr>
        <w:t>Matson’s Japan service has one major competitor, APL, which operates a weekly U.S. flagged</w:t>
      </w:r>
      <w:r>
        <w:rPr>
          <w:rFonts w:ascii="Arial" w:cs="Arial" w:eastAsia="Arial" w:hAnsi="Arial"/>
          <w:sz w:val="17"/>
          <w:szCs w:val="17"/>
          <w:i w:val="1"/>
          <w:iCs w:val="1"/>
          <w:color w:val="auto"/>
        </w:rPr>
        <w:t xml:space="preserve"> </w:t>
      </w:r>
      <w:r>
        <w:rPr>
          <w:rFonts w:ascii="Arial" w:cs="Arial" w:eastAsia="Arial" w:hAnsi="Arial"/>
          <w:sz w:val="17"/>
          <w:szCs w:val="17"/>
          <w:color w:val="auto"/>
        </w:rPr>
        <w:t>containership service from the U.S. West Coast to the port of Naha in Okinawa, Japan.</w:t>
      </w:r>
    </w:p>
    <w:p>
      <w:pPr>
        <w:spacing w:after="0" w:line="14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Matson offers customers a weekly service to the port of Naha in Okinawa, Japan as part of the CLX service from three ports on the U.S. West Coast.</w:t>
      </w:r>
    </w:p>
    <w:p>
      <w:pPr>
        <w:spacing w:after="0" w:line="170"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i w:val="1"/>
          <w:iCs w:val="1"/>
          <w:color w:val="auto"/>
        </w:rPr>
        <w:t xml:space="preserve">Micronesia and South Pacific Services: </w:t>
      </w:r>
      <w:r>
        <w:rPr>
          <w:rFonts w:ascii="Arial" w:cs="Arial" w:eastAsia="Arial" w:hAnsi="Arial"/>
          <w:sz w:val="18"/>
          <w:szCs w:val="18"/>
          <w:color w:val="auto"/>
        </w:rPr>
        <w:t>Matson’s Micronesia and South Pacific services have competition from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local and international carriers that provide freight services to the area.</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Matson serves customers in numerous industries and carries a wide variety of cargo, mitigating its dependence upon any single customer or single type of cargo. The Company’s 10 largest Ocean Transportation customers account for approximately 15 percent of the Company’s Ocean Transportation revenue. For additional information on Ocean Transportation revenues for the years ended December 31, 2021, 2020 and 2019, see Note 2 to the Consolidated Financial Statements in Item 8 of Part II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Historically, Matson’s Ocean Transportation services have typically experienced seasonality in volume, generally following a pattern of increasing volume starting in the second quarter of each year, culminating in a peak season throughout the third quarter, with subsequent decline in demand during the fourth and first quarters. This seasonality trend is amplified in the Alaska service primarily due to winter weather and the timing of southbound seafood trade. As a result, earnings have tended to follow a similar pattern, offset by periodic vessel dry-docking and other episodic cost factors, which can lead to earnings variability. In addition, in the China trade, volume is typically driven primarily by U.S. consumer demand for goods during key retail selling seasons. Freight rates are impacted mainly by macro supply and demand variables.</w:t>
      </w:r>
    </w:p>
    <w:p>
      <w:pPr>
        <w:spacing w:after="0" w:line="166"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Since 2020, Matson’s typical seasonal trends have been impacted by the global pandemic which has resulted in elevated levels of demand experienced in our Ocean Transportation services. Matson’s expanded services in China and other locations have resulted in significant increases in volume during the second half of 2020 and throughout 2021. Supply chain congestion and elevated levels of demand are expected to impact the Company’s Ocean Transportation services during 2022.</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Maritime Laws and the Jones Act:</w:t>
      </w:r>
    </w:p>
    <w:p>
      <w:pPr>
        <w:spacing w:after="0" w:line="225"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i w:val="1"/>
          <w:iCs w:val="1"/>
          <w:color w:val="auto"/>
        </w:rPr>
        <w:t xml:space="preserve">Maritime Laws: </w:t>
      </w:r>
      <w:r>
        <w:rPr>
          <w:rFonts w:ascii="Arial" w:cs="Arial" w:eastAsia="Arial" w:hAnsi="Arial"/>
          <w:sz w:val="18"/>
          <w:szCs w:val="18"/>
          <w:color w:val="auto"/>
        </w:rPr>
        <w:t>All interstate and intrastate marine commerce within the U.S. falls under the Merchant Marine Act of</w:t>
      </w:r>
      <w:r>
        <w:rPr>
          <w:rFonts w:ascii="Arial" w:cs="Arial" w:eastAsia="Arial" w:hAnsi="Arial"/>
          <w:sz w:val="18"/>
          <w:szCs w:val="18"/>
          <w:i w:val="1"/>
          <w:iCs w:val="1"/>
          <w:color w:val="auto"/>
        </w:rPr>
        <w:t xml:space="preserve"> </w:t>
      </w:r>
      <w:r>
        <w:rPr>
          <w:rFonts w:ascii="Arial" w:cs="Arial" w:eastAsia="Arial" w:hAnsi="Arial"/>
          <w:sz w:val="18"/>
          <w:szCs w:val="18"/>
          <w:color w:val="auto"/>
        </w:rPr>
        <w:t>1920 (commonly referred to as the Jones Act).</w:t>
      </w:r>
    </w:p>
    <w:p>
      <w:pPr>
        <w:spacing w:after="0" w:line="170" w:lineRule="exact"/>
        <w:rPr>
          <w:sz w:val="20"/>
          <w:szCs w:val="20"/>
          <w:color w:val="auto"/>
        </w:rPr>
      </w:pPr>
    </w:p>
    <w:p>
      <w:pPr>
        <w:ind w:left="60" w:right="219"/>
        <w:spacing w:after="0" w:line="287" w:lineRule="auto"/>
        <w:rPr>
          <w:sz w:val="20"/>
          <w:szCs w:val="20"/>
          <w:color w:val="auto"/>
        </w:rPr>
      </w:pPr>
      <w:r>
        <w:rPr>
          <w:rFonts w:ascii="Arial" w:cs="Arial" w:eastAsia="Arial" w:hAnsi="Arial"/>
          <w:sz w:val="16"/>
          <w:szCs w:val="16"/>
          <w:color w:val="auto"/>
        </w:rPr>
        <w:t>The Jones Act is a long-standing cornerstone of U.S. maritime policy. Under the Jones Act, all vessels transporting cargo between covered U.S. ports must, subject to limited exceptions, be built in the U.S., registered under the U.S. flag, be manned predominantly by U.S. crews, and owned and operated by U.S.-organized companies that are controlled and</w:t>
      </w:r>
    </w:p>
    <w:p>
      <w:pPr>
        <w:spacing w:after="0" w:line="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75 percent owned by U.S. citizens. U.S. flagged vessels are generally required to be maintained at higher standards than foreign flagged vessels and are subject to rigorous supervision and inspections by, or on behalf of, the U.S. Coast Guard, which requires appropriate certifications and background checks of the crew members. Under Section 27 of the Jones Act, the carriage of cargo between the U.S. West Coast, Hawaii and Alaska on foreign-built or foreign-documented vessels is prohibited.</w:t>
      </w:r>
    </w:p>
    <w:p>
      <w:pPr>
        <w:spacing w:after="0" w:line="191"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During the years ended December 31, 2021, 2020 and 2019, approximately 41 percent, 62 percent and 72 percent, respectively, of Matson’s Ocean Transportation revenues came from the Hawaii and Alaska trades that were subject to the Jones Act. Matson’s Hawaii and Alaska trade routes are included within the non-contiguous Jones Act market. The commerce of both Hawaii, as an island economy, and Alaska, due to its geographical location, are dependent on ocean transportation. The Jones Act ensures frequent, reliable, roundtrip service to these locations. Matson’s vessels operating in these trade routes are Jones Act qualified and maintained in compliance with such requirements.</w:t>
      </w:r>
    </w:p>
    <w:p>
      <w:pPr>
        <w:spacing w:after="0" w:line="178"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Matson is a member of the American Maritime Partnership (“AMP”), which supports the retention of the Jones Act and similar cabotage laws. The Jones Act has broad support from both houses of Congress and the Executive Branch. Matson believes that the geopolitical environment has further solidified political support for U.S. flagged vessels because a vital and dedicated U.S. merchant marine is a cornerstone for a strong homeland defense, as well as a critical source of trained U.S. mariners for wartime support. AMP seeks to inform elected officials and the public about the economic, national security, commercial, safety and environmental benefits of the Jones Act and similar cabotage laws. Repeal of the Jones Act would allow foreign-flagged vessel operators that do not have to abide by all U.S. laws and regulations to sail between U.S. ports in direct competition with Matson and other U.S. domestic operators that must comply with all such laws and regulations.</w:t>
      </w:r>
    </w:p>
    <w:p>
      <w:pPr>
        <w:spacing w:after="0" w:line="181"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Other U.S. maritime laws require vessels operating between Guam, a U.S. territory, and U.S. ports to be U.S. flagged and predominantly U.S. crewed, but not U.S. built.</w:t>
      </w:r>
    </w:p>
    <w:p>
      <w:pPr>
        <w:spacing w:after="0" w:line="170"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Cabotage laws are not unique to the United States, and similar laws exist around the world in over 90 countries, including regions in which Matson provides ocean transportation services. Any changes in such laws may have an impact on the services provided by Matson in those regions.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Rate Regulations and Fuel-Related Surcharges:</w:t>
      </w:r>
    </w:p>
    <w:p>
      <w:pPr>
        <w:spacing w:after="0" w:line="225"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Matson is subject to the jurisdiction of the Surface Transportation Board with respect to its domestic ocean rates. A rate in the non-contiguous domestic trade is presumed reasonable and will not be subject to investigation if the aggregate of increases and decreases is not more than 7.5 percent above, or more than 10 percent below, the rate in effect one year before the effective date of the proposed rate, subject to increase or decrease by the percentage change in the U.S. Producer Price Index. Matson generally seeks to provide a 30-day notice to customers of any increases in general rates and other charges, and passes along decreases as soon as possible.</w:t>
      </w:r>
    </w:p>
    <w:p>
      <w:pPr>
        <w:spacing w:after="0" w:line="178"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Matson’s Ocean Transportation services engaged in U.S.-foreign commerce are subject to the jurisdiction of the Federal Maritime Commission (“FMC”). The FMC is a federal independent regulatory agency that is responsible for the regulation of international ocean-borne transportation to and from the U.S.</w:t>
      </w:r>
    </w:p>
    <w:p>
      <w:pPr>
        <w:spacing w:after="0" w:line="184"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Matson applies a fuel-related surcharge rate to its Ocean Transportation customers. Matson’s fuel-related surcharge is correlated to market rates for fuel prices and other factors, and is intended to help Matson recover fuel-related expenses.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Environmental Regulations:</w:t>
      </w:r>
    </w:p>
    <w:p>
      <w:pPr>
        <w:spacing w:after="0" w:line="225"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In addition to the vessel emission regulations discussed above, Matson’s operations are required to comply with other environmental regulations and requirements including the Oil Pollution Act of 1990, the Comprehensive Environmental Response Compensation &amp; Liability Act of 1980, the Rivers and Harbors Act of 1899, the Clean Water Act, the Invasive Species Act and the Clean Air Act. Matson is also subject to state regulations affecting terminal and vessel emissions, such as the requirement to shut down vessel generator engines while at berth at California ports and switch to shore electrical power. The Company actively monitors its operations for compliance with these and other regulations.</w:t>
      </w:r>
    </w:p>
    <w:p>
      <w:pPr>
        <w:spacing w:after="0" w:line="164"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For more information on Matson’s environmental stewardship initiatives, including its environmental goals, see Matson’s Sustainability Report and other information available at www.matson.com/sustainability.</w:t>
      </w:r>
    </w:p>
    <w:p>
      <w:pPr>
        <w:spacing w:after="0" w:line="166" w:lineRule="exact"/>
        <w:rPr>
          <w:sz w:val="20"/>
          <w:szCs w:val="20"/>
          <w:color w:val="auto"/>
        </w:rPr>
      </w:pPr>
    </w:p>
    <w:p>
      <w:pPr>
        <w:ind w:left="1340" w:hanging="642"/>
        <w:spacing w:after="0"/>
        <w:tabs>
          <w:tab w:leader="none" w:pos="1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LOGISTICS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Services: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Matson Logistics provides the following services:</w:t>
      </w:r>
    </w:p>
    <w:p>
      <w:pPr>
        <w:spacing w:after="0" w:line="225"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i w:val="1"/>
          <w:iCs w:val="1"/>
          <w:color w:val="auto"/>
        </w:rPr>
        <w:t xml:space="preserve">Transportation Brokerage Services: </w:t>
      </w:r>
      <w:r>
        <w:rPr>
          <w:rFonts w:ascii="Arial" w:cs="Arial" w:eastAsia="Arial" w:hAnsi="Arial"/>
          <w:sz w:val="18"/>
          <w:szCs w:val="18"/>
          <w:color w:val="auto"/>
        </w:rPr>
        <w:t>Matson Logistics provides intermodal rail, highway, and other third-party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North American customers and international ocean carrier customers, including MatNav. Matson Logistics creates award winning benefits and value for its customers through volume purchases of rail, motor carrier and ocean transportation services, augmented by services such as shipment tracking and tracing, accessibility to its private fleet of 53-foot intermodal containers and single-vendor invoicing. Matson Logistics operates customer service centers and has sales offices throughout North America.</w:t>
      </w:r>
    </w:p>
    <w:p>
      <w:pPr>
        <w:spacing w:after="0" w:line="192"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i w:val="1"/>
          <w:iCs w:val="1"/>
          <w:color w:val="auto"/>
        </w:rPr>
        <w:t xml:space="preserve">Freight Forwarding Services: </w:t>
      </w:r>
      <w:r>
        <w:rPr>
          <w:rFonts w:ascii="Arial" w:cs="Arial" w:eastAsia="Arial" w:hAnsi="Arial"/>
          <w:sz w:val="17"/>
          <w:szCs w:val="17"/>
          <w:color w:val="auto"/>
        </w:rPr>
        <w:t>Matson Logistics provides LCL consolidation and freight forwarding services primarily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Alaska market through its wholly-owned subsidiary, Span Intermediate, LLC (“Span Alaska”). Span Alaska’s business aggregates LCL freight at its cross-dock facility in Auburn, Washington for consolidation and shipment to its service center in Anchorage and a network of other facilities in Alaska. Span Alaska also provides trucking services to its Auburn cross-dock facility and from its Alaska based cross-dock facilities to final customer destinations in Alaska.</w:t>
      </w:r>
    </w:p>
    <w:p>
      <w:pPr>
        <w:spacing w:after="0" w:line="176"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i w:val="1"/>
          <w:iCs w:val="1"/>
          <w:color w:val="auto"/>
        </w:rPr>
        <w:t xml:space="preserve">Warehousing and Distribution Services: </w:t>
      </w:r>
      <w:r>
        <w:rPr>
          <w:rFonts w:ascii="Arial" w:cs="Arial" w:eastAsia="Arial" w:hAnsi="Arial"/>
          <w:sz w:val="16"/>
          <w:szCs w:val="16"/>
          <w:color w:val="auto"/>
        </w:rPr>
        <w:t>Matson Logistics operates two warehouses in Georgia and two warehouses in</w:t>
      </w:r>
      <w:r>
        <w:rPr>
          <w:rFonts w:ascii="Arial" w:cs="Arial" w:eastAsia="Arial" w:hAnsi="Arial"/>
          <w:sz w:val="16"/>
          <w:szCs w:val="16"/>
          <w:i w:val="1"/>
          <w:iCs w:val="1"/>
          <w:color w:val="auto"/>
        </w:rPr>
        <w:t xml:space="preserve"> </w:t>
      </w:r>
      <w:r>
        <w:rPr>
          <w:rFonts w:ascii="Arial" w:cs="Arial" w:eastAsia="Arial" w:hAnsi="Arial"/>
          <w:sz w:val="16"/>
          <w:szCs w:val="16"/>
          <w:color w:val="auto"/>
        </w:rPr>
        <w:t>Northern California providing warehousing, trans-loading, value-added packaging and distribution services.</w:t>
      </w:r>
    </w:p>
    <w:p>
      <w:pPr>
        <w:spacing w:after="0" w:line="124" w:lineRule="exact"/>
        <w:rPr>
          <w:sz w:val="20"/>
          <w:szCs w:val="20"/>
          <w:color w:val="auto"/>
        </w:rPr>
      </w:pPr>
    </w:p>
    <w:p>
      <w:pPr>
        <w:ind w:left="60" w:right="259"/>
        <w:spacing w:after="0" w:line="286" w:lineRule="auto"/>
        <w:rPr>
          <w:sz w:val="20"/>
          <w:szCs w:val="20"/>
          <w:color w:val="auto"/>
        </w:rPr>
      </w:pPr>
      <w:r>
        <w:rPr>
          <w:rFonts w:ascii="Arial" w:cs="Arial" w:eastAsia="Arial" w:hAnsi="Arial"/>
          <w:sz w:val="17"/>
          <w:szCs w:val="17"/>
          <w:i w:val="1"/>
          <w:iCs w:val="1"/>
          <w:color w:val="auto"/>
        </w:rPr>
        <w:t xml:space="preserve">Supply Chain Management and Other Services: </w:t>
      </w:r>
      <w:r>
        <w:rPr>
          <w:rFonts w:ascii="Arial" w:cs="Arial" w:eastAsia="Arial" w:hAnsi="Arial"/>
          <w:sz w:val="17"/>
          <w:szCs w:val="17"/>
          <w:color w:val="auto"/>
        </w:rPr>
        <w:t>Matson Logistics provides customers with a variety of logistics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purchase order management, customs brokerage, LCL and full container load NVOCC freight forwarding services. Matson Logistics has supply chain operations in North America, China and other locations.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w:t>
      </w:r>
    </w:p>
    <w:p>
      <w:pPr>
        <w:spacing w:after="0" w:line="225" w:lineRule="exact"/>
        <w:rPr>
          <w:sz w:val="20"/>
          <w:szCs w:val="20"/>
          <w:color w:val="auto"/>
        </w:rPr>
      </w:pPr>
    </w:p>
    <w:p>
      <w:pPr>
        <w:ind w:left="60" w:right="279"/>
        <w:spacing w:after="0" w:line="308" w:lineRule="auto"/>
        <w:rPr>
          <w:sz w:val="20"/>
          <w:szCs w:val="20"/>
          <w:color w:val="auto"/>
        </w:rPr>
      </w:pPr>
      <w:r>
        <w:rPr>
          <w:rFonts w:ascii="Arial" w:cs="Arial" w:eastAsia="Arial" w:hAnsi="Arial"/>
          <w:sz w:val="17"/>
          <w:szCs w:val="17"/>
          <w:color w:val="auto"/>
        </w:rPr>
        <w:t>Matson Logistics’ operating costs primarily consist of the costs of purchased transportation, leases of warehouses, cross-dock and other facility operating costs, salaries and benefits, and other operating overhead.</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Matson Logistics competes with hundreds of local, regional, national and international companies that provide transportation and third-party logistics services. The industry is highly fragmented and, therefore, competition varies by geography and areas of service.</w:t>
      </w:r>
    </w:p>
    <w:p>
      <w:pPr>
        <w:spacing w:after="0" w:line="184" w:lineRule="exact"/>
        <w:rPr>
          <w:sz w:val="20"/>
          <w:szCs w:val="20"/>
          <w:color w:val="auto"/>
        </w:rPr>
      </w:pPr>
    </w:p>
    <w:p>
      <w:pPr>
        <w:ind w:left="60" w:right="219"/>
        <w:spacing w:after="0" w:line="273" w:lineRule="auto"/>
        <w:rPr>
          <w:sz w:val="20"/>
          <w:szCs w:val="20"/>
          <w:color w:val="auto"/>
        </w:rPr>
      </w:pPr>
      <w:r>
        <w:rPr>
          <w:rFonts w:ascii="Arial" w:cs="Arial" w:eastAsia="Arial" w:hAnsi="Arial"/>
          <w:sz w:val="17"/>
          <w:szCs w:val="17"/>
          <w:color w:val="auto"/>
        </w:rPr>
        <w:t>Matson Logistics’ transportation brokerage services compete most directly with C.H. Robinson Worldwide, Hub Group, XPO and other freight brokers and intermodal marketing companies, and asset-invested market leaders such as J.B. Hunt. Competition is differentiated by the depth, scale and scope of customer relationships; vendor relationships and rates; network capacity; real-time visibility into the movement of customers’ goods; and other technology solutions. Additionally, while Matson Logistics primarily provides surface transportation brokerage, it also competes to a lesser degree with other forms of transportation for the movement of cargo.</w:t>
      </w:r>
    </w:p>
    <w:p>
      <w:pPr>
        <w:spacing w:after="0" w:line="178"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Matson Logistics’ freight forwarding services compete most directly with a variety of freight forwarding companies that operate within Alaska including Carlile, Lynden, American Fast Freight and Alaska Traffic Company.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Matson Logistics serves customers in numerous industries and geographical locations. The Company’s 10 largest logistics customers account for approximately 25 percent of the Company’s Logistics revenue. For additional information on Logistics revenues for the years ended December 31, 2021, 2020 and 2019, see Note 2 to the Consolidated Financial Statements in Item 8 of Part II below.</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In general, Matson Logistics’ services are not significantly impacted by seasonality factors, with the exception of its freight forwarding service to Alaska which may be affected by winter weather and the seasonal nature of the tourism industry. However, Matson’s Logistics businesses are being impacted by the global pandemic which has resulted in elevated levels of demand for our Logistics services that is expected to continue during 2022.</w:t>
      </w:r>
    </w:p>
    <w:p>
      <w:pPr>
        <w:spacing w:after="0" w:line="383" w:lineRule="exact"/>
        <w:rPr>
          <w:sz w:val="20"/>
          <w:szCs w:val="20"/>
          <w:color w:val="auto"/>
        </w:rPr>
      </w:pPr>
    </w:p>
    <w:p>
      <w:pPr>
        <w:ind w:left="700" w:hanging="650"/>
        <w:spacing w:after="0"/>
        <w:tabs>
          <w:tab w:leader="none" w:pos="7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Human Capital Strategy:</w:t>
      </w:r>
    </w:p>
    <w:p>
      <w:pPr>
        <w:spacing w:after="0" w:line="225" w:lineRule="exact"/>
        <w:rPr>
          <w:sz w:val="20"/>
          <w:szCs w:val="20"/>
          <w:color w:val="auto"/>
        </w:rPr>
      </w:pPr>
    </w:p>
    <w:p>
      <w:pPr>
        <w:ind w:left="60" w:right="339"/>
        <w:spacing w:after="0" w:line="273" w:lineRule="auto"/>
        <w:rPr>
          <w:sz w:val="20"/>
          <w:szCs w:val="20"/>
          <w:color w:val="auto"/>
        </w:rPr>
      </w:pPr>
      <w:r>
        <w:rPr>
          <w:rFonts w:ascii="Arial" w:cs="Arial" w:eastAsia="Arial" w:hAnsi="Arial"/>
          <w:sz w:val="17"/>
          <w:szCs w:val="17"/>
          <w:color w:val="auto"/>
        </w:rPr>
        <w:t>In support of Matson’s vision to be a great place to work for all employees, the Company focuses on a variety of human capital programs that have been developed to attract, retain and motivate its employee workforce. As a company that operates in various global locations, the Company’s human capital programs are designed to reflect the unique market practices in each geographic location. The Company’s success depends in part on employing a diverse, talented and engaged workforce that reflects its local communities, supports an environment of high standards and performance, and thrives in the Company’s collaborative and respectful culture.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During 2021, Matson had 4,259 employees worldwide, of which 147 employees were based in international locations and 3,040 employees were covered by collective bargaining agreements with unions. These numbers include seagoing personnel who rotate through billets (as described below) and temporary employees, but do not include employees of SSAT or other non-employee affiliates such as agents and contractors. The composition of Matson’s workforce by geography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34290</wp:posOffset>
            </wp:positionV>
            <wp:extent cx="1062990" cy="908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299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Matson’s fleet of active vessels requires 392 billets to operate. Each billet corresponds to a position on a vessel that typically is filled by two or more employees because seagoing personnel rotate between active sea-duty and time ashore. These amounts exclude billets related to Matson’s foreign flagged chartered vessels where the vessel owner is responsible for its seagoing personnel. Matson’s vessel management services also employed personnel in 32 billets to manage three U.S. government vessels.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0D0D0D"/>
        </w:rPr>
        <w:t>Diversity, Equity and Inclusion:</w:t>
      </w:r>
    </w:p>
    <w:p>
      <w:pPr>
        <w:spacing w:after="0" w:line="225"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For many years, Matson has been committed to improving diversity, providing equal pay for equal work and creating an inclusive culture. According to the U.S. Bureau of Labor Statistics, traditionally the shipping industry’s workforce has been predominately represented by white males. While Matson’s workforce is representative of many of the communities where it operates, the Company has taken steps to do more to change the status quo within the Company and industry. In 2021, the Company continued to advance many of its diversity, equity and inclusion efforts. This includes continuing its efforts to analyze pay among various employee groups to confirm pay equity across the Company. Externally, the Company supports programs intended to help build a diverse talent pool for Matson and its industry. In 2020, the Company committed $100,000 toward creation of new Matson scholarships to be offered in conjunction with 16 higher education institutions and maritime academies in its communities with the goal of increasing diversity among those pursuing studies in transportation and logistics. The first scholarships were granted in Fall 2021. Separately, the Company committed more than $200,000 to fund paid internships with the goal of providing professional work experience opportunities and promoting the Company and the industry to a diverse group of students in its various regional locations. The first internships under this program are anticipated for Summer 2022.</w:t>
      </w:r>
    </w:p>
    <w:p>
      <w:pPr>
        <w:spacing w:after="0" w:line="18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The composition of Matson’s domestic shoreside workforce by gender and race in 2021 is as follows (data for seagoing personnel is not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74295</wp:posOffset>
            </wp:positionV>
            <wp:extent cx="2846070" cy="908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composition of management positions within Matson’s domestic shoreside workforce by gender and race in 2021 is as follows (data for seagoing personnel is not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117475</wp:posOffset>
            </wp:positionV>
            <wp:extent cx="2931795" cy="908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31795" cy="90868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“Minority” in these graphs refers to any employee who self-identifies as such under the categories established by the Equal Employment Opportunity Commission.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0D0D0D"/>
        </w:rPr>
        <w:t>Total Rewards Programs:</w:t>
      </w:r>
    </w:p>
    <w:p>
      <w:pPr>
        <w:spacing w:after="0" w:line="225"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Matson provides a highly competitive and balanced total rewards program designed to attract, retain and motivate its employees. While factors such as job, location and business unit ultimately determine which plans an employee may be eligible for participation, the Company’s total rewards offering includes market competitive base salaries, cash and equity incentives, recognition awards, health and welfare benefits, and employee and employer funded retirement plans. The Company believes that management level positions should have a portion of pay aligned with its short- and long-term business objectives. Accordingly, the Company’s total rewards program contains several pay-for-performance components tied to individual, business unit and company performance, as well as Matson stock price performance.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0D0D0D"/>
        </w:rPr>
        <w:t>Succession and Career Planning:</w:t>
      </w:r>
    </w:p>
    <w:p>
      <w:pPr>
        <w:spacing w:after="0" w:line="22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Matson’s workforce is characterized by uniquely skilled, long-tenured employees. To create career pathways for future leaders while planning for the loss of retiring employees, the Company takes a proactive approach to succession and career planning. The Company focuses on providing the next generation of promising talent with the tools they need to build their own careers at Matson. In 2021, 46 percent of open positions were filled through internal promotions. The Company also provided approximately 3,200 hours of employee training and development, while giving annual performance reviews to its non-union workforce.</w:t>
      </w:r>
    </w:p>
    <w:p>
      <w:pPr>
        <w:spacing w:after="0" w:line="192" w:lineRule="exact"/>
        <w:rPr>
          <w:sz w:val="20"/>
          <w:szCs w:val="20"/>
          <w:color w:val="auto"/>
        </w:rPr>
      </w:pPr>
    </w:p>
    <w:p>
      <w:pPr>
        <w:ind w:left="60" w:right="1179"/>
        <w:spacing w:after="0" w:line="277" w:lineRule="auto"/>
        <w:rPr>
          <w:sz w:val="20"/>
          <w:szCs w:val="20"/>
          <w:color w:val="auto"/>
        </w:rPr>
      </w:pPr>
      <w:r>
        <w:rPr>
          <w:rFonts w:ascii="Arial" w:cs="Arial" w:eastAsia="Arial" w:hAnsi="Arial"/>
          <w:sz w:val="18"/>
          <w:szCs w:val="18"/>
          <w:color w:val="141412"/>
        </w:rPr>
        <w:t xml:space="preserve">For more information on Matson’s human capital programs, see our Sustainability Report which is available at </w:t>
      </w:r>
      <w:r>
        <w:rPr>
          <w:rFonts w:ascii="Arial" w:cs="Arial" w:eastAsia="Arial" w:hAnsi="Arial"/>
          <w:sz w:val="18"/>
          <w:szCs w:val="18"/>
          <w:color w:val="000000"/>
        </w:rPr>
        <w:t>www.matson.com/sustainability</w:t>
      </w:r>
      <w:r>
        <w:rPr>
          <w:rFonts w:ascii="Arial" w:cs="Arial" w:eastAsia="Arial" w:hAnsi="Arial"/>
          <w:sz w:val="18"/>
          <w:szCs w:val="18"/>
          <w:color w:val="141412"/>
        </w:rPr>
        <w: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Bargaining Agreements:</w:t>
      </w:r>
    </w:p>
    <w:p>
      <w:pPr>
        <w:spacing w:after="0" w:line="225"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Matson’s shoreside and seagoing employees are represented by a variety of unions. As shown in the chart below, union employees comprise 71 percent of Matson’s global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74295</wp:posOffset>
            </wp:positionV>
            <wp:extent cx="1268730" cy="908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873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Matson has collective bargaining agreements with these unions that expire at various dates in the future, including as early as 2022. While Matson believes that it will be able to renegotiate these collective bargaining agreements with its various unions as they expire without any significant impact on its operations, no assurance can be given that such agreements will be reached without slow-downs, strikes, lockouts or other disruptions that may adversely impact Matson’s operations.</w:t>
      </w:r>
    </w:p>
    <w:p>
      <w:pPr>
        <w:spacing w:after="0" w:line="157"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Additionally, Matson and SSAT are members of the Pacific Maritime Association (“PMA”), which on behalf of its members negotiates collective bargaining agreements with the International Longshore and Warehouse Union (“ILWU”) on the U.S. West Coast. The PMA/ILWU collective bargaining agreements cover substantially all U.S. West Coast longshore labor. In August 2017, the ILWU agreed to extend its contract with the PMA to July 1, 2022. The Company believes that the renegotiation of this contract will be completed during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Multi-employer Pension and Post-retirement Plans:</w:t>
      </w:r>
    </w:p>
    <w:p>
      <w:pPr>
        <w:spacing w:after="0" w:line="225"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Matson contributes to a number of multi-employer pension and post-retirement plans. Matson has no present intention of withdrawing from, and does not anticipate the termination of any of the multi-employer pension plans to which it contributes (see Notes 11 and 12 to the Consolidated Financial Statements in Item 8 of Part II below for a discussion of withdrawal liabilities under certain multi-employer pension plans).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Matson makes available, free of charge on or through its Internet website, Matson’s annual reports on Form 10-K, quarterly reports on Form 10-Q, current reports on Form 8-K and amendments to those reports filed or furnished pursuant to Section 13(a) or 15(d) of the Securities Exchange Act of 1934 as soon as reasonably practicable after it electronically files such material with, or furnishes them to, the U.S. Securities and Exchange Commission (“SEC”). The address of Matson’s Internet website is www.matson.com. This website is provided for convenience only, and the contents of our website do not constitute a part of and are not incorporated by reference into this Form 10-K.</w:t>
      </w:r>
    </w:p>
    <w:p>
      <w:pPr>
        <w:spacing w:after="0" w:line="178" w:lineRule="exact"/>
        <w:rPr>
          <w:sz w:val="20"/>
          <w:szCs w:val="20"/>
          <w:color w:val="auto"/>
        </w:rPr>
      </w:pPr>
    </w:p>
    <w:p>
      <w:pPr>
        <w:jc w:val="both"/>
        <w:ind w:left="60" w:right="479"/>
        <w:spacing w:after="0" w:line="263"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Matson and other issuers that file electronically with the SEC. The address of the SEC’s Internet website is www.sec.gov.</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The following material factors, events and uncertainties may make an investment in the Company speculative or risky and should be reviewed carefully. The Company’s business faces the material risks set forth below; however, these risk factors do not identify all risks the Company faces, and additional risks or uncertainties that are currently unknown or are not currently believed to be material may occur or become material. The occurrence of these or the events and uncertainties described below may, in ways the Company may not be able to accurately predict, recognize or control, adversely affect the Company’s business, financial condition, operating results, cash flows, liquidity, demand, revenue, growth, prospects, reputation or stock price. All forward-looking statements made by the Company or on the Company’s behalf are qualified by the risks described below.</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the Jones Act</w:t>
      </w:r>
    </w:p>
    <w:p>
      <w:pPr>
        <w:spacing w:after="0" w:line="221" w:lineRule="exact"/>
        <w:rPr>
          <w:sz w:val="20"/>
          <w:szCs w:val="20"/>
          <w:color w:val="auto"/>
        </w:rPr>
      </w:pPr>
    </w:p>
    <w:p>
      <w:pPr>
        <w:ind w:left="60" w:right="339"/>
        <w:spacing w:after="0" w:line="282" w:lineRule="auto"/>
        <w:rPr>
          <w:sz w:val="20"/>
          <w:szCs w:val="20"/>
          <w:color w:val="auto"/>
        </w:rPr>
      </w:pPr>
      <w:r>
        <w:rPr>
          <w:rFonts w:ascii="Arial" w:cs="Arial" w:eastAsia="Arial" w:hAnsi="Arial"/>
          <w:sz w:val="18"/>
          <w:szCs w:val="18"/>
          <w:b w:val="1"/>
          <w:bCs w:val="1"/>
          <w:color w:val="auto"/>
        </w:rPr>
        <w:t>Repeal, substantial amendment, or waiver of the Jones Act or its application would have an adverse effect on the Company’s business.</w:t>
      </w:r>
    </w:p>
    <w:p>
      <w:pPr>
        <w:spacing w:after="0" w:line="166"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The Merchant Marine Act of 1920 (commonly referred to as the Jones Act) regulates all interstate and intrastate marine commerce within the U.S. If the Jones Act were repealed, substantially amended or waived and, as a consequence, competitors were to enter the Hawaii or Alaska markets with lower operating costs by utilizing their ability to acquire and operate foreign-flagged and foreign-built vessels and/or being exempt from other U.S. regulations, the Company’s business would be adversely affected. In addition, the Company’s position as a U.S. citizen operator of Jones Act vessels would be negatively impacted if periodic efforts and attempts by foreign interests to circumvent certain aspects of the Jones Act were successful. If maritime cabotage services were included in the General Agreement on Trade in Services, the United States-Mexico-Canada Agreement, or other international trade agreements, or if the restrictions contained in the Jones Act were otherwise altered, the shipping of cargo between covered U.S. ports could be opened to foreign-flagged or foreign-built vessels and could have other adverse impacts to our business. In the past, the Prime Minister of the United Kingdom has suggested that the Jones Act should be a topic of trade negotiations between the U.S. and the United Kingdom.</w:t>
      </w:r>
    </w:p>
    <w:p>
      <w:pPr>
        <w:spacing w:after="0" w:line="168" w:lineRule="exact"/>
        <w:rPr>
          <w:sz w:val="20"/>
          <w:szCs w:val="20"/>
          <w:color w:val="auto"/>
        </w:rPr>
      </w:pPr>
    </w:p>
    <w:p>
      <w:pPr>
        <w:ind w:left="60" w:right="59"/>
        <w:spacing w:after="0" w:line="282" w:lineRule="auto"/>
        <w:rPr>
          <w:sz w:val="20"/>
          <w:szCs w:val="20"/>
          <w:color w:val="auto"/>
        </w:rPr>
      </w:pPr>
      <w:r>
        <w:rPr>
          <w:rFonts w:ascii="Arial" w:cs="Arial" w:eastAsia="Arial" w:hAnsi="Arial"/>
          <w:sz w:val="18"/>
          <w:szCs w:val="18"/>
          <w:b w:val="1"/>
          <w:bCs w:val="1"/>
          <w:color w:val="auto"/>
        </w:rPr>
        <w:t>The Company’s business would be adversely affected if the Company were determined not to be a U.S. citizen under the Jones Act.</w:t>
      </w:r>
    </w:p>
    <w:p>
      <w:pPr>
        <w:spacing w:after="0" w:line="166" w:lineRule="exact"/>
        <w:rPr>
          <w:sz w:val="20"/>
          <w:szCs w:val="20"/>
          <w:color w:val="auto"/>
        </w:rPr>
      </w:pPr>
    </w:p>
    <w:p>
      <w:pPr>
        <w:jc w:val="both"/>
        <w:ind w:left="60" w:right="139"/>
        <w:spacing w:after="0" w:line="275" w:lineRule="auto"/>
        <w:rPr>
          <w:sz w:val="20"/>
          <w:szCs w:val="20"/>
          <w:color w:val="auto"/>
        </w:rPr>
      </w:pPr>
      <w:r>
        <w:rPr>
          <w:rFonts w:ascii="Arial" w:cs="Arial" w:eastAsia="Arial" w:hAnsi="Arial"/>
          <w:sz w:val="17"/>
          <w:szCs w:val="17"/>
          <w:color w:val="auto"/>
        </w:rPr>
        <w:t>Certain provisions of the Company’s articles of incorporation protect the Company’s ability to maintain its status as a U.S. citizen under the Jones Act. If non-U.S. citizens were able to defeat such articles of incorporation restrictions and own in the aggregate more than 25 percent of the Company’s common stock, the Company would no longer be considered a U.S. citizen under the Jones Act. Such an event could result in the Company’s ineligibility to engage in coastwise trade and the imposition of substantial penalties against it, including seizure or forfeiture of its vessels.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the Company’s Operations</w:t>
      </w:r>
    </w:p>
    <w:p>
      <w:pPr>
        <w:spacing w:after="0" w:line="221" w:lineRule="exact"/>
        <w:rPr>
          <w:sz w:val="20"/>
          <w:szCs w:val="20"/>
          <w:color w:val="auto"/>
        </w:rPr>
      </w:pPr>
    </w:p>
    <w:p>
      <w:pPr>
        <w:ind w:left="60" w:right="279"/>
        <w:spacing w:after="0" w:line="282" w:lineRule="auto"/>
        <w:rPr>
          <w:sz w:val="20"/>
          <w:szCs w:val="20"/>
          <w:color w:val="auto"/>
        </w:rPr>
      </w:pPr>
      <w:r>
        <w:rPr>
          <w:rFonts w:ascii="Arial" w:cs="Arial" w:eastAsia="Arial" w:hAnsi="Arial"/>
          <w:sz w:val="18"/>
          <w:szCs w:val="18"/>
          <w:b w:val="1"/>
          <w:bCs w:val="1"/>
          <w:color w:val="auto"/>
        </w:rPr>
        <w:t>Changes in economic conditions or governmental policies, including from the COVID-19 pandemic, have affected and could in the future affect the Company.</w:t>
      </w:r>
    </w:p>
    <w:p>
      <w:pPr>
        <w:spacing w:after="0" w:line="166"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The transportation industry in which the Company operates has been impacted by fluctuations, volatility, downturns, inflation, recessions and other economic shifts or market instabilities, as well as the development of and changes in governmental policies and relations, across the jurisdictions in which it operates. These adverse economic conditions may also impact customers’ business levels and needs. Within the United States, a weakening of economic drivers in Hawaii and Alaska, which include tourism, military spending, construction, personal income growth and employment, the weakening of consumer confidence, market demand, and the economy in the U.S. Mainland, inflation, and the effect of a change in the strength of the U.S. dollar against other foreign currencies may reduce the demand for goods, adversely affecting inland and ocean transportation volumes or rates. In addition, overcapacity in the global or transpacific ocean transportation markets, a change in the cost of goods or currency exchange rates, pressure from U.S. or foreign governments, imposition of tariffs and uncertainties regarding tariff rates or a change in international trade policies could adversely affect freight volumes and rates in the Company’s China service.</w:t>
      </w:r>
    </w:p>
    <w:p>
      <w:pPr>
        <w:spacing w:after="0" w:line="182"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Since March 2020, the COVID-19 pandemic has harmed the U.S. and global economies, shut down or limited many business operations, led to port closures, and disrupted manufacturing, rail services, supply chains, travel, drayage of containers and transportation of goods for extended periods of time. In the United States and in many other countries worldwide, public health officials and state and local governments have recommended or mandated a range of precautions to mitigate the spread of COVID-19 and its variants as they evolve and fluctuate in their global impacts. The full impact of such disruptions on the Company’s business remains uncertain.</w:t>
      </w:r>
    </w:p>
    <w:p>
      <w:pPr>
        <w:spacing w:after="0" w:line="178" w:lineRule="exact"/>
        <w:rPr>
          <w:sz w:val="20"/>
          <w:szCs w:val="20"/>
          <w:color w:val="auto"/>
        </w:rPr>
      </w:pPr>
    </w:p>
    <w:p>
      <w:pPr>
        <w:jc w:val="both"/>
        <w:ind w:left="60" w:right="519"/>
        <w:spacing w:after="0" w:line="287" w:lineRule="auto"/>
        <w:rPr>
          <w:sz w:val="20"/>
          <w:szCs w:val="20"/>
          <w:color w:val="auto"/>
        </w:rPr>
      </w:pPr>
      <w:r>
        <w:rPr>
          <w:rFonts w:ascii="Arial" w:cs="Arial" w:eastAsia="Arial" w:hAnsi="Arial"/>
          <w:sz w:val="16"/>
          <w:szCs w:val="16"/>
          <w:color w:val="auto"/>
        </w:rPr>
        <w:t>The pandemic and related uncertainties and restrictions have previously reduced tourism in the markets the Company serves, including Hawaii, Guam and Alaska, and led to increased unemployment and weakened consumer demand in certain segments, including reduced demand for freight that the Company would otherwise carry in those tradelanes.</w:t>
      </w:r>
    </w:p>
    <w:p>
      <w:pPr>
        <w:spacing w:after="0" w:line="2" w:lineRule="exact"/>
        <w:rPr>
          <w:sz w:val="20"/>
          <w:szCs w:val="20"/>
          <w:color w:val="auto"/>
        </w:rPr>
      </w:pPr>
    </w:p>
    <w:p>
      <w:pPr>
        <w:ind w:left="60" w:right="239"/>
        <w:spacing w:after="0" w:line="295" w:lineRule="auto"/>
        <w:rPr>
          <w:sz w:val="20"/>
          <w:szCs w:val="20"/>
          <w:color w:val="auto"/>
        </w:rPr>
      </w:pPr>
      <w:r>
        <w:rPr>
          <w:rFonts w:ascii="Arial" w:cs="Arial" w:eastAsia="Arial" w:hAnsi="Arial"/>
          <w:sz w:val="16"/>
          <w:szCs w:val="16"/>
          <w:color w:val="auto"/>
        </w:rPr>
        <w:t>Fluctuations in the price of oil and reduced demand from the decline in air or car travel in response to COVID-19 could further impact the Alaskan economy, which in turn could impact the Company’s business. In addition, the global macroeconomic effects of the pandemic and related impacts on the Company’s customers’ business operations, including financial difficulties or bankruptcies, may persist for an indefinite period, even after the pandemic has subsided.</w:t>
      </w:r>
    </w:p>
    <w:p>
      <w:pPr>
        <w:spacing w:after="0" w:line="161"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In the Company’s China service, as a result of the pandemic, the Company has experienced increased demand for its expedited ocean services. As the pandemic subsides, supply and demand trends normalize and supply chain congestion eases, the high volumes and rates the Company has experienced will eventually decline, but the Company cannot predict the timing or size of such decline. These declines will reduce revenues, but certain fixed costs will remain. For example, the Company cannot terminate leases early for chartered vessels in the CLX+ service.</w:t>
      </w:r>
    </w:p>
    <w:p>
      <w:pPr>
        <w:spacing w:after="0" w:line="161" w:lineRule="exact"/>
        <w:rPr>
          <w:sz w:val="20"/>
          <w:szCs w:val="20"/>
          <w:color w:val="auto"/>
        </w:rPr>
      </w:pPr>
    </w:p>
    <w:p>
      <w:pPr>
        <w:ind w:left="60" w:right="539"/>
        <w:spacing w:after="0" w:line="287" w:lineRule="auto"/>
        <w:rPr>
          <w:sz w:val="20"/>
          <w:szCs w:val="20"/>
          <w:color w:val="auto"/>
        </w:rPr>
      </w:pPr>
      <w:r>
        <w:rPr>
          <w:rFonts w:ascii="Arial" w:cs="Arial" w:eastAsia="Arial" w:hAnsi="Arial"/>
          <w:sz w:val="16"/>
          <w:szCs w:val="16"/>
          <w:color w:val="auto"/>
        </w:rPr>
        <w:t>The high volumes of freight from China and supply chain congestion at U.S. West Coast ports have contributed to an industry-wide shortage of containers and chassis, resulting broadly in delays, backlog, limited throughput, cancelled sailings, and service interruptions within tradelanes and supply chains, as well as long lead times for new equipment.</w:t>
      </w:r>
    </w:p>
    <w:p>
      <w:pPr>
        <w:spacing w:after="0" w:line="2"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There have also been labor shortages at U.S. ports related to record cargo volume, the overall employment environment and wage pressures, and outbreaks of COVID-19 which has also contributed to supply chain and port congestion. If the Company cannot secure sufficient equipment or labor, or unload vessels on a timely basis to meet customers’ needs and schedules, customers may seek to have their transportation and logistics needs met by others on a temporary or permanent basis.</w:t>
      </w:r>
    </w:p>
    <w:p>
      <w:pPr>
        <w:spacing w:after="0" w:line="191"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Company’s operations have also been impacted by the pandemic. The Company’s employees are restricted in their ability to travel. The Company may be further impacted if its employees, including mariners aboard our vessels, are otherwise restricted from or unable to perform their duties, or if the Company’s or SSAT’s terminals are temporarily closed due to a COVID-19 outbreak. Some vessel dry-dockings could also be delayed or become more expensive if shipyards are unable to accommodate demand or obtain parts in a timely manner or if necessary personnel are not allowed to travel to the shipyards.</w:t>
      </w:r>
    </w:p>
    <w:p>
      <w:pPr>
        <w:spacing w:after="0" w:line="192" w:lineRule="exact"/>
        <w:rPr>
          <w:sz w:val="20"/>
          <w:szCs w:val="20"/>
          <w:color w:val="auto"/>
        </w:rPr>
      </w:pPr>
    </w:p>
    <w:p>
      <w:pPr>
        <w:ind w:left="60" w:right="719"/>
        <w:spacing w:after="0" w:line="342" w:lineRule="auto"/>
        <w:rPr>
          <w:sz w:val="20"/>
          <w:szCs w:val="20"/>
          <w:color w:val="auto"/>
        </w:rPr>
      </w:pPr>
      <w:r>
        <w:rPr>
          <w:rFonts w:ascii="Arial" w:cs="Arial" w:eastAsia="Arial" w:hAnsi="Arial"/>
          <w:sz w:val="16"/>
          <w:szCs w:val="16"/>
          <w:color w:val="auto"/>
        </w:rPr>
        <w:t>Due to the continuing uncertainty around the duration, breadth and severity of the COVID-19 pandemic, including resurgences or mutations of the virus and the actions taken to contain the virus or treat its impact, including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59" w:lineRule="auto"/>
        <w:rPr>
          <w:sz w:val="20"/>
          <w:szCs w:val="20"/>
          <w:color w:val="auto"/>
        </w:rPr>
      </w:pPr>
      <w:r>
        <w:rPr>
          <w:rFonts w:ascii="Arial" w:cs="Arial" w:eastAsia="Arial" w:hAnsi="Arial"/>
          <w:sz w:val="18"/>
          <w:szCs w:val="18"/>
          <w:color w:val="auto"/>
        </w:rPr>
        <w:t>availability, distribution, efficacy and public acceptance of vaccines, the ultimate impact on the Company’s business, financial condition, operating results or cash flows are difficult to predict with certainty at this time. Additional or unforeseen effects from the COVID-19 pandemic may give rise to additional risks or instigate or amplify the other risks described throughout these Risk Factors.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shipping industry is competitive, and the Company has been impacted by new or increased competition.</w:t>
      </w:r>
    </w:p>
    <w:p>
      <w:pPr>
        <w:spacing w:after="0" w:line="241"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The Company may face new competition by established or start-up shipping operators that enter the Company’s markets. The shipping industry is competitive with limited barriers to entry, especially in international tradelanes. Ocean carriers can shift vessels in and out of tradelanes or charter vessels to manage capacity and meet customer demands. For example, in 2020 and 2021, in response to rising demand, several new carriers entered the China tradelane in competition with the Company’s China service. The entry of a new competitor or the addition of new vessels or capacity by existing competition on any of the Company’s routes could result in a significant increase in available shipping capacity that could have an adverse effect on the Company’s volumes and rates.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loss of or damage to key customer or agent relationships may adversely affect the Company’s business.</w:t>
      </w:r>
    </w:p>
    <w:p>
      <w:pPr>
        <w:spacing w:after="0" w:line="241" w:lineRule="exact"/>
        <w:rPr>
          <w:sz w:val="20"/>
          <w:szCs w:val="20"/>
          <w:color w:val="auto"/>
        </w:rPr>
      </w:pPr>
    </w:p>
    <w:p>
      <w:pPr>
        <w:jc w:val="both"/>
        <w:ind w:left="60" w:right="119"/>
        <w:spacing w:after="0" w:line="257" w:lineRule="auto"/>
        <w:rPr>
          <w:sz w:val="20"/>
          <w:szCs w:val="20"/>
          <w:color w:val="auto"/>
        </w:rPr>
      </w:pPr>
      <w:r>
        <w:rPr>
          <w:rFonts w:ascii="Arial" w:cs="Arial" w:eastAsia="Arial" w:hAnsi="Arial"/>
          <w:sz w:val="18"/>
          <w:szCs w:val="18"/>
          <w:color w:val="auto"/>
        </w:rPr>
        <w:t>The Company’s businesses are dependent on their relationships with customers and agents, and derive a significant portion of their revenues from the Company’s largest customers. The Company’s business relies on its relationships with the U.S. military, freight forwarders and non-vessel owning common carriers, large retailers and consumer goods manufacturers, as well as other larger customers. For more information regarding the Company’s significant customers, see the discussion in Part I, Item 1 of this Annual Report.</w:t>
      </w:r>
    </w:p>
    <w:p>
      <w:pPr>
        <w:spacing w:after="0" w:line="188"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The Company could also be adversely affected by any changes in the services, or changes to the costs of services, provided by third party vendors such as railroads, truckers, terminals, agents and shipping companies, including charter vessel owners. Service structures and relationships with these parties are important in the Company’s intermodal business, as well as in the China, Guam, Micronesia, Japan, Alaska export and South Pacific services.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loss of or damage to any of these key relationships may adversely affect the Company’s business and revenue.</w:t>
      </w:r>
    </w:p>
    <w:p>
      <w:pPr>
        <w:spacing w:after="0" w:line="233" w:lineRule="exact"/>
        <w:rPr>
          <w:sz w:val="20"/>
          <w:szCs w:val="20"/>
          <w:color w:val="auto"/>
        </w:rPr>
      </w:pPr>
    </w:p>
    <w:p>
      <w:pPr>
        <w:ind w:left="60" w:right="359"/>
        <w:spacing w:after="0" w:line="266" w:lineRule="auto"/>
        <w:rPr>
          <w:sz w:val="20"/>
          <w:szCs w:val="20"/>
          <w:color w:val="auto"/>
        </w:rPr>
      </w:pPr>
      <w:r>
        <w:rPr>
          <w:rFonts w:ascii="Arial" w:cs="Arial" w:eastAsia="Arial" w:hAnsi="Arial"/>
          <w:sz w:val="18"/>
          <w:szCs w:val="18"/>
          <w:b w:val="1"/>
          <w:bCs w:val="1"/>
          <w:color w:val="auto"/>
        </w:rPr>
        <w:t>The Company is dependent upon key vendors and third-parties for equipment, capacity and services essential to operate its business, and if the Company fails to secure sufficient third-party services, its business could be adversely affected.</w:t>
      </w:r>
    </w:p>
    <w:p>
      <w:pPr>
        <w:spacing w:after="0" w:line="180"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The Company’s businesses are dependent upon key vendors who provide terminal, rail, truck, and ocean transportation services. If the Company cannot secure sufficient transportation equipment, capacity or services from these third-parties at reasonable prices or rates to meet its or its customers’ needs and schedules, customers may seek to have their transportation and logistics needs met by others on a temporary or permanent basis. If this were to occur, the Company’s business, results of operations and financial condition could be adversely affected.</w:t>
      </w:r>
    </w:p>
    <w:p>
      <w:pPr>
        <w:spacing w:after="0" w:line="172" w:lineRule="exact"/>
        <w:rPr>
          <w:sz w:val="20"/>
          <w:szCs w:val="20"/>
          <w:color w:val="auto"/>
        </w:rPr>
      </w:pPr>
    </w:p>
    <w:p>
      <w:pPr>
        <w:ind w:left="60" w:right="419"/>
        <w:spacing w:after="0" w:line="347" w:lineRule="auto"/>
        <w:rPr>
          <w:sz w:val="20"/>
          <w:szCs w:val="20"/>
          <w:color w:val="auto"/>
        </w:rPr>
      </w:pPr>
      <w:r>
        <w:rPr>
          <w:rFonts w:ascii="Arial" w:cs="Arial" w:eastAsia="Arial" w:hAnsi="Arial"/>
          <w:sz w:val="16"/>
          <w:szCs w:val="16"/>
          <w:b w:val="1"/>
          <w:bCs w:val="1"/>
          <w:color w:val="auto"/>
        </w:rPr>
        <w:t>An increase in fuel prices, changes in the Company’s ability to collect fuel-related surcharges, and/or the cost or limited availability of required fuels on the U.S. West Coast may adversely affect the Company’s profits.</w:t>
      </w:r>
    </w:p>
    <w:p>
      <w:pPr>
        <w:spacing w:after="0" w:line="120"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Fuel is a significant operating expense for the Company’s Ocean Transportation business. The price and supply of fuel are unpredictable and fluctuate based on events beyond the Company’s control. Increases in the price of fuel may adversely affect the Company’s results of operations. Increases in fuel costs also can lead to increases in other expenses, such as energy costs and costs to purchase outside transportation services. In the Company’s Ocean Transportation and Logistics services segments, the Company utilizes fuel-related surcharges, although increases in the fuel-related surcharge may adversely affect the Company’s competitive position and may not correspond exactly with the timing of increases in fuel expense. Changes in the Company’s ability to collect fuel-related surcharges also may adversely affect its results of operations.</w:t>
      </w:r>
    </w:p>
    <w:p>
      <w:pPr>
        <w:spacing w:after="0" w:line="192"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Effective January 1, 2020, the IMO imposed a world-wide regulation generally requiring that all ships burn compliant fuel oil with a maximum sulfur content of less than or equal to 0.5 percent. Currently, LSFO is typically priced higher than HFO due to the need for further oil refinement. In some market instances, the prices between the two products could be inverted. There is no guarantee that the Company’s contracts to secure LSFO or HFO on the U.S. West Coast will secure quantities in sufficient amounts and at a reasonable cost. In addition, prolonged use of LSFO on some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6" w:lineRule="auto"/>
        <w:rPr>
          <w:sz w:val="20"/>
          <w:szCs w:val="20"/>
          <w:color w:val="auto"/>
        </w:rPr>
      </w:pPr>
      <w:r>
        <w:rPr>
          <w:rFonts w:ascii="Arial" w:cs="Arial" w:eastAsia="Arial" w:hAnsi="Arial"/>
          <w:sz w:val="17"/>
          <w:szCs w:val="17"/>
          <w:color w:val="auto"/>
        </w:rPr>
        <w:t>Matson vessels could degrade engine performance or lead to higher maintenance costs. The Company’s ability to recover the higher costs of IMO 2020 compliant fuel through fuel-related surcharges, the availability of LSFO, and the potential impact on vessel performance may adversely affect the Company’s operations, business and profit.</w:t>
      </w:r>
    </w:p>
    <w:p>
      <w:pPr>
        <w:spacing w:after="0" w:line="161" w:lineRule="exact"/>
        <w:rPr>
          <w:sz w:val="20"/>
          <w:szCs w:val="20"/>
          <w:color w:val="auto"/>
        </w:rPr>
      </w:pPr>
    </w:p>
    <w:p>
      <w:pPr>
        <w:ind w:left="60" w:right="379"/>
        <w:spacing w:after="0" w:line="347" w:lineRule="auto"/>
        <w:rPr>
          <w:sz w:val="20"/>
          <w:szCs w:val="20"/>
          <w:color w:val="auto"/>
        </w:rPr>
      </w:pPr>
      <w:r>
        <w:rPr>
          <w:rFonts w:ascii="Arial" w:cs="Arial" w:eastAsia="Arial" w:hAnsi="Arial"/>
          <w:sz w:val="16"/>
          <w:szCs w:val="16"/>
          <w:b w:val="1"/>
          <w:bCs w:val="1"/>
          <w:color w:val="auto"/>
        </w:rPr>
        <w:t>Evolving stakeholder expectations related to environmental, social and governance (“ESG”) matters exposes the Company to heightened scrutiny, additional costs, operational challenges and a number of risks.</w:t>
      </w:r>
    </w:p>
    <w:p>
      <w:pPr>
        <w:spacing w:after="0" w:line="120"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Investors, advisory firms, employees, customers, suppliers, governments and other stakeholders are increasingly focused on, and establishing expectations for, ESG matters and related corporate practices, disclosures and initiatives. These evolving expectations may impact the Company’s reputation, business and attractiveness as an investment, employer or business partner to the extent the Company – including its initiatives, goals and reporting – meets or is perceived to meet those expectations, including as a result of any third-party rating or assessment. The adoption and expansion of ESG-related legislation and regulation have also resulted and may again result in increased capital expenditures and compliance, operational and other costs to the Company.</w:t>
      </w:r>
    </w:p>
    <w:p>
      <w:pPr>
        <w:spacing w:after="0" w:line="177"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The Company’s public disclosures on its climate, sustainability, human capital and other ESG initiatives include its goals or expectations with respect to those matters, including greenhouse gas (“GHG”) emission reduction targets. These disclosures are aspirational and based on standards and frameworks for presenting and measuring progress that are not harmonized and are still developing, assumptions that may change, and disclosure controls and procedures that continue to evolve. The Company’s initiatives and goals may not be favored by certain stakeholders and could impact the attraction and retention of investors, customers and employees, as well as the Company’s willingness to do business with other companies or customers. Efforts to achieve the Company’s initiatives and goals face numerous risks and may be unsuccessful, result in additional costs or experience delays, and as a result may have a material negative impact on the Company, including its brand, reputation and stock price.</w:t>
      </w:r>
    </w:p>
    <w:p>
      <w:pPr>
        <w:spacing w:after="0" w:line="177" w:lineRule="exact"/>
        <w:rPr>
          <w:sz w:val="20"/>
          <w:szCs w:val="20"/>
          <w:color w:val="auto"/>
        </w:rPr>
      </w:pPr>
    </w:p>
    <w:p>
      <w:pPr>
        <w:ind w:left="60" w:right="659"/>
        <w:spacing w:after="0" w:line="312" w:lineRule="auto"/>
        <w:rPr>
          <w:sz w:val="20"/>
          <w:szCs w:val="20"/>
          <w:color w:val="auto"/>
        </w:rPr>
      </w:pPr>
      <w:r>
        <w:rPr>
          <w:rFonts w:ascii="Arial" w:cs="Arial" w:eastAsia="Arial" w:hAnsi="Arial"/>
          <w:sz w:val="17"/>
          <w:szCs w:val="17"/>
          <w:b w:val="1"/>
          <w:bCs w:val="1"/>
          <w:color w:val="auto"/>
        </w:rPr>
        <w:t>The Company may not be timely or successful in completing its fleet upgrade initiatives, which may result in significant costs and adversely impact the Company’s ability to meet its climate goals.</w:t>
      </w:r>
    </w:p>
    <w:p>
      <w:pPr>
        <w:spacing w:after="0" w:line="144"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 xml:space="preserve">The Company’s four new Aloha and Kanaloa class vessels include dual fuel capable engines that can run on LSFO or liquefied natural gas (“LNG”). In November 2021, the Company announced plans to install tanks, piping and cryogenic equipment on </w:t>
      </w:r>
      <w:r>
        <w:rPr>
          <w:rFonts w:ascii="Arial" w:cs="Arial" w:eastAsia="Arial" w:hAnsi="Arial"/>
          <w:sz w:val="16"/>
          <w:szCs w:val="16"/>
          <w:i w:val="1"/>
          <w:iCs w:val="1"/>
          <w:color w:val="auto"/>
        </w:rPr>
        <w:t>Daniel K. Inouye</w:t>
      </w:r>
      <w:r>
        <w:rPr>
          <w:rFonts w:ascii="Arial" w:cs="Arial" w:eastAsia="Arial" w:hAnsi="Arial"/>
          <w:sz w:val="16"/>
          <w:szCs w:val="16"/>
          <w:color w:val="auto"/>
        </w:rPr>
        <w:t xml:space="preserve"> and to re-engine </w:t>
      </w:r>
      <w:r>
        <w:rPr>
          <w:rFonts w:ascii="Arial" w:cs="Arial" w:eastAsia="Arial" w:hAnsi="Arial"/>
          <w:sz w:val="16"/>
          <w:szCs w:val="16"/>
          <w:i w:val="1"/>
          <w:iCs w:val="1"/>
          <w:color w:val="auto"/>
        </w:rPr>
        <w:t>Manukai</w:t>
      </w:r>
      <w:r>
        <w:rPr>
          <w:rFonts w:ascii="Arial" w:cs="Arial" w:eastAsia="Arial" w:hAnsi="Arial"/>
          <w:sz w:val="16"/>
          <w:szCs w:val="16"/>
          <w:color w:val="auto"/>
        </w:rPr>
        <w:t xml:space="preserve"> to operate on LNG. The Company also expects to begin LNG installations on </w:t>
      </w:r>
      <w:r>
        <w:rPr>
          <w:rFonts w:ascii="Arial" w:cs="Arial" w:eastAsia="Arial" w:hAnsi="Arial"/>
          <w:sz w:val="16"/>
          <w:szCs w:val="16"/>
          <w:i w:val="1"/>
          <w:iCs w:val="1"/>
          <w:color w:val="auto"/>
        </w:rPr>
        <w:t>Kaimana Hila</w:t>
      </w:r>
      <w:r>
        <w:rPr>
          <w:rFonts w:ascii="Arial" w:cs="Arial" w:eastAsia="Arial" w:hAnsi="Arial"/>
          <w:sz w:val="16"/>
          <w:szCs w:val="16"/>
          <w:color w:val="auto"/>
        </w:rPr>
        <w:t xml:space="preserve">, </w:t>
      </w:r>
      <w:r>
        <w:rPr>
          <w:rFonts w:ascii="Arial" w:cs="Arial" w:eastAsia="Arial" w:hAnsi="Arial"/>
          <w:sz w:val="16"/>
          <w:szCs w:val="16"/>
          <w:i w:val="1"/>
          <w:iCs w:val="1"/>
          <w:color w:val="auto"/>
        </w:rPr>
        <w:t>Lurline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Matsonia</w:t>
      </w:r>
      <w:r>
        <w:rPr>
          <w:rFonts w:ascii="Arial" w:cs="Arial" w:eastAsia="Arial" w:hAnsi="Arial"/>
          <w:sz w:val="16"/>
          <w:szCs w:val="16"/>
          <w:color w:val="auto"/>
        </w:rPr>
        <w:t>, and to build three new LNG-ready vessels. In addition, the Company is in the process of building a new neighbor island flat-deck barge. The Company anticipates making significant capital expenditures in connection with these fleet initiatives. These initiatives may be hindered by substantial delays and long lead times for necessary equipment, including as a result of ongoing supply chain congestion, other residual impacts from the COVID-19 pandemic, increased demand across the industry for LNG installations and conversions, and new ship-building. Additional operating costs may be incurred to the extent additional ships are needed to maintain schedule integrity while such updates and installations are performed. Once completed, operation of these vessels may be slowed to the extent they present new maintenance requirements or unforeseen complications.</w:t>
      </w:r>
    </w:p>
    <w:p>
      <w:pPr>
        <w:spacing w:after="0" w:line="172"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Use of LNG fuel may not result in anticipated GHG emission reductions, and the Company’s investments in LNG-ready vessels may be insufficient to meet the Company’s previously announced GHG emission reduction goals on a timely basis or at all. There is no guarantee that the Company will be able to secure LNG via bunker barges or other methods on the U.S. West Coast in sufficient amounts to fuel its vessels or at a reasonable cost, as increased demand for LNG could decrease available supply of LNG and increase prices. Governments have in the past and may again in the future impose tariffs on LNG that also may increase supply costs. As a result of these risks, the Company may not fully realize the benefits of these investments.</w:t>
      </w:r>
    </w:p>
    <w:p>
      <w:pPr>
        <w:spacing w:after="0" w:line="191" w:lineRule="exact"/>
        <w:rPr>
          <w:sz w:val="20"/>
          <w:szCs w:val="20"/>
          <w:color w:val="auto"/>
        </w:rPr>
      </w:pPr>
    </w:p>
    <w:p>
      <w:pPr>
        <w:ind w:left="60" w:right="219"/>
        <w:spacing w:after="0" w:line="282" w:lineRule="auto"/>
        <w:rPr>
          <w:sz w:val="20"/>
          <w:szCs w:val="20"/>
          <w:color w:val="auto"/>
        </w:rPr>
      </w:pPr>
      <w:r>
        <w:rPr>
          <w:rFonts w:ascii="Arial" w:cs="Arial" w:eastAsia="Arial" w:hAnsi="Arial"/>
          <w:sz w:val="18"/>
          <w:szCs w:val="18"/>
          <w:b w:val="1"/>
          <w:bCs w:val="1"/>
          <w:color w:val="auto"/>
        </w:rPr>
        <w:t>The Company’s operations are susceptible to weather, natural disasters, maritime accidents, spill events and other physical and operating risks, including those arising from climate change.</w:t>
      </w:r>
    </w:p>
    <w:p>
      <w:pPr>
        <w:spacing w:after="0" w:line="166"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As a maritime transportation company, the Company’s operations are vulnerable to disruption as a result of weather, natural disasters and other climate-driven events, such as rising temperatures, sea levels and storm severity, bad weather at sea, hurricanes, typhoons, tsunamis, floods and earthquakes, as well as a maritime accident, oil or other spill, or other environmental mishap. Climate change has increased and may continue to increase the frequency, severity and uncertainty of such events. Such events interfere with the Company’s ability to provide on-time scheduled service, resulting in increased expenses and potential loss of business associated with such events. In addition, severe weather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and natural disasters can result in interference with the Company’s terminal operations and may cause serious damage to its vessels and cranes. These impacts could be particularly acute in certain ports in Alaska where the Company is dependent on a single crane. The Company’s vessels and their cargoes are also subject to operating risks such as mechanical failure, collisions and human error.</w:t>
      </w:r>
    </w:p>
    <w:p>
      <w:pPr>
        <w:spacing w:after="0" w:line="187"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The occurrence of any of these events may result in damage to or loss of vessels, containers, cargo and other equipment, increased maintenance expense, loss of life or physical injury to its employees or people, pollution, or the slow down or suspension of operations. These events can expose the Company to reputational harm and liability for resulting damages and possible penalties that, pursuant to typical maritime industry policies, it must pay and then seek reimbursement from its insurer. Affected vessels may also be removed from service and thus would be unavailable for income-generating activity.</w:t>
      </w:r>
    </w:p>
    <w:p>
      <w:pPr>
        <w:spacing w:after="0" w:line="161"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The Company’s casualty and liability insurance policies are generally subject to large retentions and deductibles and may not cover all losses the Company may incur.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may be impacted by transitional and other risks arising from climate change.</w:t>
      </w:r>
    </w:p>
    <w:p>
      <w:pPr>
        <w:spacing w:after="0" w:line="229"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The Company may be impacted by transitional and other risks arising from climate change and the global shift toward a low carbon future. Organizational, industrial and governmental shifts in operations as well as legal and regulatory requirements to reduce or eliminate emissions and/or increase efficiency may require the Company to increase expenditures, make changes to existing infrastructure, vessels and equipment and shift its business model. For example, the maritime industry is moving toward deployment of clean energy technologies and use of electricity powered by renewable energy sources to power terminal operations as a way to reduce shoreside greenhouse gas emissions. As the Company and SSAT increase their reliance on the power grid at terminals, including for cold-ironing and ground service fleets, the Company may experience increased risks related to power outages, brown outs or black outs. The likelihood of these risks is compounded by uncertainties regarding the reliability of renewable energy sources as well as any increased frequency of extreme weather events that may disrupt the generation or transmission of electricity. In addition, compliance with new climate change requirements or regulations such as the IMO’s requirements related to EEXI and CII could require Matson’s fleet to slow down if efficiency improvements or transitions to alternative fuels together are not enough to reduce GHG emissions sufficiently, thus impacting Matson’s expedited business model and competitive advantage. New environmental requirements for vessel performance and operation could also require the Company to accelerate the building of new vessels, increase the construction costs for new vessels and equipment to accommodate even newer technology as it emerges while today’s technology becomes obsolete, initiate unexpected retrofit projects for existing vessels, retire older vessels earlier than expected, or render reserve vessels unusable. If these outcomes were to occur, the Company’s business, results of operations, cash flows and financial condition could be adversely affected.</w:t>
      </w:r>
    </w:p>
    <w:p>
      <w:pPr>
        <w:spacing w:after="0" w:line="167" w:lineRule="exact"/>
        <w:rPr>
          <w:sz w:val="20"/>
          <w:szCs w:val="20"/>
          <w:color w:val="auto"/>
        </w:rPr>
      </w:pPr>
    </w:p>
    <w:p>
      <w:pPr>
        <w:ind w:left="60" w:right="239"/>
        <w:spacing w:after="0" w:line="347" w:lineRule="auto"/>
        <w:rPr>
          <w:sz w:val="20"/>
          <w:szCs w:val="20"/>
          <w:color w:val="auto"/>
        </w:rPr>
      </w:pPr>
      <w:r>
        <w:rPr>
          <w:rFonts w:ascii="Arial" w:cs="Arial" w:eastAsia="Arial" w:hAnsi="Arial"/>
          <w:sz w:val="16"/>
          <w:szCs w:val="16"/>
          <w:b w:val="1"/>
          <w:bCs w:val="1"/>
          <w:color w:val="auto"/>
        </w:rPr>
        <w:t>In addition to the COVID-19 pandemic, the Company faces risks related to actual or threatened health epidemics, pandemics or other major health crises, which could significantly disrupt the Company’s business.</w:t>
      </w:r>
    </w:p>
    <w:p>
      <w:pPr>
        <w:spacing w:after="0" w:line="120"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The Company’s business could be impacted adversely by the effects of public health epidemics, pandemics or other major heath crises (which the Company refers to collectively as public health crises). Actual or threatened public health crises may have a number of adverse impacts, including volatility in the global economy, impacts to the Company’s customers’ business operations, reduced tourism in the markets the Company serves, or significant disruptions in ocean-borne transportation of goods, logistics demand and supply chain activity, caused by a variety of factors such as quarantines, factory and office closures, port closures, or other government-imposed restrictions, any of which could adversely impact the Company’s business, financial condition, operating results and cash flows.</w:t>
      </w:r>
    </w:p>
    <w:p>
      <w:pPr>
        <w:spacing w:after="0" w:line="173" w:lineRule="exact"/>
        <w:rPr>
          <w:sz w:val="20"/>
          <w:szCs w:val="20"/>
          <w:color w:val="auto"/>
        </w:rPr>
      </w:pPr>
    </w:p>
    <w:p>
      <w:pPr>
        <w:ind w:left="60" w:right="79"/>
        <w:spacing w:after="0" w:line="282" w:lineRule="auto"/>
        <w:rPr>
          <w:sz w:val="20"/>
          <w:szCs w:val="20"/>
          <w:color w:val="auto"/>
        </w:rPr>
      </w:pPr>
      <w:r>
        <w:rPr>
          <w:rFonts w:ascii="Arial" w:cs="Arial" w:eastAsia="Arial" w:hAnsi="Arial"/>
          <w:sz w:val="18"/>
          <w:szCs w:val="18"/>
          <w:b w:val="1"/>
          <w:bCs w:val="1"/>
          <w:color w:val="auto"/>
        </w:rPr>
        <w:t>The Company’s significant operating agreements and leases could be replaced on less favorable terms or may not be replaced when they expire.</w:t>
      </w:r>
    </w:p>
    <w:p>
      <w:pPr>
        <w:spacing w:after="0" w:line="166"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The significant operating agreements and leases entered into by the Company in its businesses, including those related to terminals, chartered vessels and warehouses as well as those with SSAT, expire at various points in the future and may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not be replaced with comparable assets with the specifications necessary for the Company’s or SSAT’s businesses or could be replaced on less favorable terms, thereby adversely affecting the Company’s future financial position, results of operations and cash flows.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may face unexpected dry-docking or repair costs for its vessels.</w:t>
      </w:r>
    </w:p>
    <w:p>
      <w:pPr>
        <w:spacing w:after="0" w:line="229" w:lineRule="exact"/>
        <w:rPr>
          <w:sz w:val="20"/>
          <w:szCs w:val="20"/>
          <w:color w:val="auto"/>
        </w:rPr>
      </w:pPr>
    </w:p>
    <w:p>
      <w:pPr>
        <w:ind w:left="60" w:right="59"/>
        <w:spacing w:after="0" w:line="289" w:lineRule="auto"/>
        <w:rPr>
          <w:sz w:val="20"/>
          <w:szCs w:val="20"/>
          <w:color w:val="auto"/>
        </w:rPr>
      </w:pPr>
      <w:r>
        <w:rPr>
          <w:rFonts w:ascii="Arial" w:cs="Arial" w:eastAsia="Arial" w:hAnsi="Arial"/>
          <w:sz w:val="16"/>
          <w:szCs w:val="16"/>
          <w:color w:val="auto"/>
        </w:rPr>
        <w:t>The Company routinely engage shipyards to dry-dock its vessels for regulatory compliance and to provide repair and maintenance. Vessels may also have to be dry-docked or repaired at sea in the event of accidents or other unforeseen damage. Unexpected dry-dockings or repairs could require the Company to activate a reserve vessel, purchase additional fuel and operate a less-efficient, smaller vessel for a period of time. The Company also operates a number of older active and reserve vessels that may require more frequent and extensive maintenance. The cost of repairs is difficult to predict with certainty and can be substantial. In addition, the time when a vessel is out of service for maintenance is determined by a number of factors, including regulatory deadlines, market conditions, shipyard availability and customer requirements, and accordingly, the length of time that a vessel may be out of service may be longer than anticipated, which could adversely affect the Company’s business, financial condition, results of operations and cash flows.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Company is involved in a joint venture and is subject to risks associated with joint venture relationships.</w:t>
      </w:r>
    </w:p>
    <w:p>
      <w:pPr>
        <w:spacing w:after="0" w:line="241"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The Company is involved in a terminal joint venture with SSAT (and through SSAT, other joint ventures at various U.S. West Coast terminals), and may initiate future joint venture projects. A joint venture involves certain risks for the Company such as:</w:t>
      </w:r>
    </w:p>
    <w:p>
      <w:pPr>
        <w:spacing w:after="0" w:line="184" w:lineRule="exact"/>
        <w:rPr>
          <w:sz w:val="20"/>
          <w:szCs w:val="20"/>
          <w:color w:val="auto"/>
        </w:rPr>
      </w:pPr>
    </w:p>
    <w:p>
      <w:pPr>
        <w:ind w:left="380" w:right="459" w:hanging="330"/>
        <w:spacing w:after="0" w:line="258"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lack of voting control over the joint venture, including the risk that the joint venture takes actions resulting in reputational harm to the Company;</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Misalignment or inconsistency of interests between the Company and the joint venture partner;</w:t>
      </w:r>
    </w:p>
    <w:p>
      <w:pPr>
        <w:spacing w:after="0" w:line="9" w:lineRule="exact"/>
        <w:rPr>
          <w:rFonts w:ascii="Arial" w:cs="Arial" w:eastAsia="Arial" w:hAnsi="Arial"/>
          <w:sz w:val="18"/>
          <w:szCs w:val="18"/>
          <w:color w:val="auto"/>
        </w:rPr>
      </w:pPr>
    </w:p>
    <w:p>
      <w:pPr>
        <w:ind w:left="380" w:right="119" w:hanging="330"/>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Reliance on the joint venture partner to fund its share of capital or fulfill its other commitments, including the risk that the joint venture partner could become bankrupt; and</w:t>
      </w:r>
    </w:p>
    <w:p>
      <w:pPr>
        <w:ind w:left="380" w:right="159" w:hanging="330"/>
        <w:spacing w:after="0" w:line="26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difficulties and financial losses at the joint venture, which may lead to the Company writing down assets or incurring impairment charges.</w:t>
      </w:r>
    </w:p>
    <w:p>
      <w:pPr>
        <w:spacing w:after="0" w:line="185"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In addition, the Company relies on SSAT for its stevedoring services at the ports of Long Beach and Oakland, California and Tacoma, Washington on the U.S. West Coast. The Company could be adversely affected by any changes in the services provided or to the costs of such services provided by SSAT.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 is subject to risks associated with conducting business in foreign shipping markets.</w:t>
      </w:r>
    </w:p>
    <w:p>
      <w:pPr>
        <w:spacing w:after="0" w:line="229"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color w:val="auto"/>
        </w:rPr>
        <w:t>Matson’s China, Alaska export, Micronesia, Japan and South Pacific services are subject to risks associated with conducting business in a foreign shipping market, which include:</w:t>
      </w:r>
    </w:p>
    <w:p>
      <w:pPr>
        <w:spacing w:after="0" w:line="170" w:lineRule="exact"/>
        <w:rPr>
          <w:sz w:val="20"/>
          <w:szCs w:val="20"/>
          <w:color w:val="auto"/>
        </w:rPr>
      </w:pPr>
    </w:p>
    <w:p>
      <w:pPr>
        <w:ind w:left="380" w:right="619" w:hanging="330"/>
        <w:spacing w:after="0" w:line="258"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associated with operating in foreign countries and developing relationships with foreign companies, business associates and governments, including as a result of cultural differences;</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 including dynamic employment and immigration laws;</w:t>
      </w:r>
    </w:p>
    <w:p>
      <w:pPr>
        <w:spacing w:after="0" w:line="20" w:lineRule="exact"/>
        <w:rPr>
          <w:rFonts w:ascii="Arial" w:cs="Arial" w:eastAsia="Arial" w:hAnsi="Arial"/>
          <w:sz w:val="17"/>
          <w:szCs w:val="17"/>
          <w:color w:val="auto"/>
        </w:rPr>
      </w:pPr>
    </w:p>
    <w:p>
      <w:pPr>
        <w:ind w:left="380" w:right="399" w:hanging="330"/>
        <w:spacing w:after="0" w:line="25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ability to comply with U.S. and foreign legal and regulatory restrictions, including anti-corruption laws such as the Foreign Corrupt Practices Act;</w:t>
      </w: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having continued access to existing port facilities or feeder vessels;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ability to manage changes in the cost of goods or currency exchange rate fluctuations;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economic instability; and</w:t>
      </w:r>
    </w:p>
    <w:p>
      <w:pPr>
        <w:spacing w:after="0" w:line="9" w:lineRule="exact"/>
        <w:rPr>
          <w:rFonts w:ascii="Arial" w:cs="Arial" w:eastAsia="Arial" w:hAnsi="Arial"/>
          <w:sz w:val="18"/>
          <w:szCs w:val="18"/>
          <w:color w:val="auto"/>
        </w:rPr>
      </w:pPr>
    </w:p>
    <w:p>
      <w:pPr>
        <w:ind w:left="380" w:right="379" w:hanging="330"/>
        <w:spacing w:after="0" w:line="26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Dynamics involving U.S. trade relations with other countries, including the imposition of or uncertainty associated with the level of tariffs or other governmental actions.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Company’s terminals in Hawaii and Alaska require modernization.</w:t>
      </w:r>
    </w:p>
    <w:p>
      <w:pPr>
        <w:spacing w:after="0" w:line="22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has completed the first phase of renovating and modernizing its Sand Island terminal in Honolulu Harbor. Significant additional upgrades and projects remain. The Company has also continued discussions with state and local authorities in Anchorage, Alaska regarding upgrades to those terminal and port facilities. Regulatory, construction or other delays or cost overruns related to the expansion and modernization of the terminals could have an adverse impact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on the Company’s business plans, financial condition and results of operations. In addition, the terminal modernization programs may not result in improved operational productivity or generate expected returns.</w:t>
      </w:r>
    </w:p>
    <w:p>
      <w:pPr>
        <w:spacing w:after="0" w:line="166" w:lineRule="exact"/>
        <w:rPr>
          <w:sz w:val="20"/>
          <w:szCs w:val="20"/>
          <w:color w:val="auto"/>
        </w:rPr>
      </w:pPr>
    </w:p>
    <w:p>
      <w:pPr>
        <w:ind w:left="60" w:right="399"/>
        <w:spacing w:after="0" w:line="312" w:lineRule="auto"/>
        <w:rPr>
          <w:sz w:val="20"/>
          <w:szCs w:val="20"/>
          <w:color w:val="auto"/>
        </w:rPr>
      </w:pPr>
      <w:r>
        <w:rPr>
          <w:rFonts w:ascii="Arial" w:cs="Arial" w:eastAsia="Arial" w:hAnsi="Arial"/>
          <w:sz w:val="17"/>
          <w:szCs w:val="17"/>
          <w:b w:val="1"/>
          <w:bCs w:val="1"/>
          <w:color w:val="auto"/>
        </w:rPr>
        <w:t>Heightened security measures, war, actual or threatened terrorist attacks, efforts to combat terrorism and other acts of violence may adversely impact the Company’s operations and profitability.</w:t>
      </w:r>
    </w:p>
    <w:p>
      <w:pPr>
        <w:spacing w:after="0" w:line="144"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War, terrorist attacks and other acts of violence may cause consumer confidence and spending to decrease, or may affect the ability or willingness of tourists to travel to Hawaii, Guam or Alaska, thereby adversely affecting those economies and the Company. Additionally, future terrorist attacks could increase volatility in the U.S. and worldwide financial markets. Acts of war or terrorism may be directed at the Company’s shipping operations, or may cause the U.S. government to take control of Matson’s vessels for military operation. Heightened security measures, including customs inspections and related procedures in countries of origin and destination, potentially slow the movement and increase the cost of freight through U.S. or foreign ports, across borders or on U.S. or foreign railroads or highways.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Acquisitions may have an adverse effect on the Company’s business.</w:t>
      </w:r>
    </w:p>
    <w:p>
      <w:pPr>
        <w:spacing w:after="0" w:line="229"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The Company’s growth strategy includes expansion through acquisitions, including, for example, the Company’s acquisitions of Horizon Lines, Inc. (“Horizon”) in 2015 and Span Intermediate, LLC (“Span Alaska”) in 2016. There is no assurance that the Company will be successful in identifying, negotiating, or consummating any future acquisitions. Even if suitable candidates are identified, such transactions may result in difficulties in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Employees</w:t>
      </w:r>
    </w:p>
    <w:p>
      <w:pPr>
        <w:spacing w:after="0" w:line="221" w:lineRule="exact"/>
        <w:rPr>
          <w:sz w:val="20"/>
          <w:szCs w:val="20"/>
          <w:color w:val="auto"/>
        </w:rPr>
      </w:pPr>
    </w:p>
    <w:p>
      <w:pPr>
        <w:jc w:val="both"/>
        <w:ind w:left="60" w:right="119"/>
        <w:spacing w:after="0" w:line="282" w:lineRule="auto"/>
        <w:rPr>
          <w:sz w:val="20"/>
          <w:szCs w:val="20"/>
          <w:color w:val="auto"/>
        </w:rPr>
      </w:pPr>
      <w:r>
        <w:rPr>
          <w:rFonts w:ascii="Arial" w:cs="Arial" w:eastAsia="Arial" w:hAnsi="Arial"/>
          <w:sz w:val="18"/>
          <w:szCs w:val="18"/>
          <w:b w:val="1"/>
          <w:bCs w:val="1"/>
          <w:color w:val="auto"/>
        </w:rPr>
        <w:t>Work stoppages or other labor disruptions caused by the Company’s unionized workers and other workers or their unions in related industries could adversely affect the Company’s operations.</w:t>
      </w:r>
    </w:p>
    <w:p>
      <w:pPr>
        <w:spacing w:after="0" w:line="166" w:lineRule="exact"/>
        <w:rPr>
          <w:sz w:val="20"/>
          <w:szCs w:val="20"/>
          <w:color w:val="auto"/>
        </w:rPr>
      </w:pPr>
    </w:p>
    <w:p>
      <w:pPr>
        <w:jc w:val="both"/>
        <w:ind w:left="60" w:right="119"/>
        <w:spacing w:after="0" w:line="259" w:lineRule="auto"/>
        <w:rPr>
          <w:sz w:val="20"/>
          <w:szCs w:val="20"/>
          <w:color w:val="auto"/>
        </w:rPr>
      </w:pPr>
      <w:r>
        <w:rPr>
          <w:rFonts w:ascii="Arial" w:cs="Arial" w:eastAsia="Arial" w:hAnsi="Arial"/>
          <w:sz w:val="18"/>
          <w:szCs w:val="18"/>
          <w:color w:val="auto"/>
        </w:rPr>
        <w:t>A significant portion of Matson’s employees are covered by collective bargaining agreements. Furthermore, the Company relies on the services of third-parties, including SSAT, which employ persons covered by collective bargaining agreements. For additional information on collective bargaining agreements with unions, see Item 1.C. Employees and Labor Relations of Part I of this Annual Report.</w:t>
      </w:r>
    </w:p>
    <w:p>
      <w:pPr>
        <w:spacing w:after="0" w:line="187"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color w:val="auto"/>
        </w:rPr>
        <w:t>The Company has been adversely affected by actions taken by employees of the Company or other companies in related industries against efforts by management of the Company or other companies to control labor costs, restrain wage or benefit increases or modify work practices. Strikes, slow-downs and disruptions have occurred as a result of the failure of Matson or other companies in its industry to negotiate collective bargaining agreements with such unions successfully.</w:t>
      </w:r>
    </w:p>
    <w:p>
      <w:pPr>
        <w:spacing w:after="0" w:line="157"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In addition, any slow-downs, strikes, lock-outs or other disruptions, including limits on the availability of labor through trade union hiring halls, have had and in the future, particularly in years when collective bargaining agreements are being negotiated, could have an adverse impact on Matson’s or SSAT’s operations.</w:t>
      </w:r>
    </w:p>
    <w:p>
      <w:pPr>
        <w:spacing w:after="0" w:line="180" w:lineRule="exact"/>
        <w:rPr>
          <w:sz w:val="20"/>
          <w:szCs w:val="20"/>
          <w:color w:val="auto"/>
        </w:rPr>
      </w:pPr>
    </w:p>
    <w:p>
      <w:pPr>
        <w:ind w:left="60" w:right="539"/>
        <w:spacing w:after="0" w:line="282" w:lineRule="auto"/>
        <w:rPr>
          <w:sz w:val="20"/>
          <w:szCs w:val="20"/>
          <w:color w:val="auto"/>
        </w:rPr>
      </w:pPr>
      <w:r>
        <w:rPr>
          <w:rFonts w:ascii="Arial" w:cs="Arial" w:eastAsia="Arial" w:hAnsi="Arial"/>
          <w:sz w:val="18"/>
          <w:szCs w:val="18"/>
          <w:b w:val="1"/>
          <w:bCs w:val="1"/>
          <w:color w:val="auto"/>
        </w:rPr>
        <w:t>Loss of the Company’s key personnel or failure to adequately manage human capital could adversely affect its business.</w:t>
      </w:r>
    </w:p>
    <w:p>
      <w:pPr>
        <w:spacing w:after="0" w:line="166"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The Company’s future success will depend, in significant part, upon the continued services of its key personnel and skilled employees, including its senior management, as well as key personnel at its joint venture partners. The permanent or temporary loss of the services of key personnel could adversely affect the Company’s future operating results because of such employees’ experience with and knowledge of the Company’s business and customer relationships. If key personnel and skilled employees depart or are unable to work, the Company’s ability to execute its business model could be impaired to the extent it cannot replace such personnel or sufficiently train new personnel in a timely manner. In addition, the Company may incur significant costs to replace these employees. Whether the</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Company can meet its labor needs is subject to a variety of pressures, including market compensation and benefit levels, which may be impacted by pressure within the industry to increase wages, including due to the threat of a labor strike; the availability of labor, which may be impacted by national and global labor trends including higher-than-normal levels of individuals leaving the workforce during COVID-19 and industry trends including aging workforces that may reduce the available pool of skilled workers; a mismatch of skills or experience to support the evolving needs of the Company’s business; and employee expectations or desire for changes in the work environment. In addition, the Company’s workforce is aging, and within the next few years an increasing number of employees will be eligible to retire, which may result in a period of higher turnover rates than we have historically experienced and could amplify these challenges. The Company does not maintain key person insurance on any of its key personnel.</w:t>
      </w:r>
    </w:p>
    <w:p>
      <w:pPr>
        <w:spacing w:after="0" w:line="181"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Company’s investments in and efforts to manage its human capital and maintain a desirable workplace culture, including to create a safe and healthy work environment, improve diversity and create a respectful, responsive and inclusive culture, and foster a rewarding workplace for employee development and advancement, may not be successful in identifying, attracting, developing, motivating, retaining, competing for or replacing qualified personnel. These efforts and the Company’s reputation may also be impacted by any failure or perceived failure to meet or timely progress on publicly disclosed human capital-related goals and initiatives, including with respect to diversity, equity and inclusion, or to compare favorably with the progress or goals of its industry or peers. In addition, the Company may be subject to federal, state or local vaccine or other COVID-19 related mandates (including as a U.S. government contractor) and enforcement of such mandates may result in reputational harm, labor disruption and increased operating costs and impact the Company’s ability to attract and retain qualified talent, among other risks.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Information Technology</w:t>
      </w:r>
    </w:p>
    <w:p>
      <w:pPr>
        <w:spacing w:after="0" w:line="221" w:lineRule="exact"/>
        <w:rPr>
          <w:sz w:val="20"/>
          <w:szCs w:val="20"/>
          <w:color w:val="auto"/>
        </w:rPr>
      </w:pPr>
    </w:p>
    <w:p>
      <w:pPr>
        <w:ind w:left="60" w:right="959"/>
        <w:spacing w:after="0" w:line="282" w:lineRule="auto"/>
        <w:rPr>
          <w:sz w:val="20"/>
          <w:szCs w:val="20"/>
          <w:color w:val="auto"/>
        </w:rPr>
      </w:pPr>
      <w:r>
        <w:rPr>
          <w:rFonts w:ascii="Arial" w:cs="Arial" w:eastAsia="Arial" w:hAnsi="Arial"/>
          <w:sz w:val="18"/>
          <w:szCs w:val="18"/>
          <w:b w:val="1"/>
          <w:bCs w:val="1"/>
          <w:color w:val="auto"/>
        </w:rPr>
        <w:t>If the Company is not able to use its information technology and communications systems effectively, the Company’s ability to conduct business might be negatively impacted.</w:t>
      </w:r>
    </w:p>
    <w:p>
      <w:pPr>
        <w:spacing w:after="0" w:line="16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The Company is highly dependent on the proper functioning of our information technology systems to enable operations and compete effectively. The Company regularly updates its information technology systems or implements new systems, which could cause substantial business interruption. There is no assurance that the systems upgrades or new systems will meet the Company’s current or future business needs, or that they will operate as designed. For example, the Company recently completed a multi-year process to implement a new enterprise resource planning, or ERP, system intended to enhance operating efficiencies and provide more effective management of its business operations. System enhancements are on-going.</w:t>
      </w:r>
    </w:p>
    <w:p>
      <w:pPr>
        <w:spacing w:after="0" w:line="19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Company’s information technology systems also rely on third-party service providers for access to the Internet, satellite-based communications systems, the electric grid, database storage facilities and telecommunications providers. The Company has no control over the operations of these third-party service providers. In the past, disruptions in the Company’s third-party service providers have impacted the Company’s operations, including the Company’s ability to book and manage freight, stow vessels, and process customs declarations. During periods where government and health officials recommended or required doing so in response to the COVID-19 pandemic, some of the Company’s employees worked from home or remotely, increasing the Company’s dependence on its information technology systems and third-party providers during that time. If the Company’s information technology and communications systems experience reliability issues, integration or compatibility concerns or if the Company’s third-party providers are unable to perform effectively or experience disruptions or failures, there could be an adverse impact on the availability and functioning of the Company’s information technology and communications systems, which could lead to business disruption or inefficiencies, reputational harm or loss of customers.</w:t>
      </w:r>
    </w:p>
    <w:p>
      <w:pPr>
        <w:spacing w:after="0" w:line="175" w:lineRule="exact"/>
        <w:rPr>
          <w:sz w:val="20"/>
          <w:szCs w:val="20"/>
          <w:color w:val="auto"/>
        </w:rPr>
      </w:pPr>
    </w:p>
    <w:p>
      <w:pPr>
        <w:ind w:left="60" w:right="159"/>
        <w:spacing w:after="0" w:line="386" w:lineRule="auto"/>
        <w:rPr>
          <w:sz w:val="20"/>
          <w:szCs w:val="20"/>
          <w:color w:val="auto"/>
        </w:rPr>
      </w:pPr>
      <w:r>
        <w:rPr>
          <w:rFonts w:ascii="Arial" w:cs="Arial" w:eastAsia="Arial" w:hAnsi="Arial"/>
          <w:sz w:val="15"/>
          <w:szCs w:val="15"/>
          <w:b w:val="1"/>
          <w:bCs w:val="1"/>
          <w:color w:val="auto"/>
        </w:rPr>
        <w:t>The Company’s information technology systems have in the past and may in the future be exposed to cybersecurity risks and other disruptions that could impair the Company’s ability to operate and adversely affect its business.</w:t>
      </w:r>
    </w:p>
    <w:p>
      <w:pPr>
        <w:spacing w:after="0" w:line="97"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shipping industry is a more frequent target of cyber attacks than some other industries because of the essential nature of these services. The Company relies extensively on its information technology systems and third-party service providers in many aspects of its business,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Despite the Company’s continuous efforts to make investments in the Company’s information technology systems and system-wide data security program, the implementation of security measures to protect the Company’s data and infrastructure against breaches and other cyber threats, and the Company’s use of internal processes and controls designed to protect the security and availability of the Company’s systems, the Company has in the past experienced and may in the future experience cybersecurity risks, such as computer viruses, hacking, malware, denial of service attacks, cyber terrorism, circumvention of security systems, malfeasance, breaches due to employee error, natural disasters, telecommunications failure, or other catastrophic events at the Company’s facilities, aboard its vessels or at third-party locations.</w:t>
      </w:r>
    </w:p>
    <w:p>
      <w:pPr>
        <w:spacing w:after="0" w:line="192"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Any failure, breach or unauthorized access to the Company’s systems or those of third-parties on which the Company relies could result in the loss of confidential, sensitive or proprietary information, interruptions in its service or production or otherwise impact the Company’s ability to conduct business operations, and could result in potential reductions in revenue and profits, damage to its reputation or liability.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Financial Matters</w:t>
      </w:r>
    </w:p>
    <w:p>
      <w:pPr>
        <w:spacing w:after="0" w:line="221" w:lineRule="exact"/>
        <w:rPr>
          <w:sz w:val="20"/>
          <w:szCs w:val="20"/>
          <w:color w:val="auto"/>
        </w:rPr>
      </w:pPr>
    </w:p>
    <w:p>
      <w:pPr>
        <w:ind w:left="60" w:right="359"/>
        <w:spacing w:after="0" w:line="282" w:lineRule="auto"/>
        <w:rPr>
          <w:sz w:val="20"/>
          <w:szCs w:val="20"/>
          <w:color w:val="auto"/>
        </w:rPr>
      </w:pPr>
      <w:r>
        <w:rPr>
          <w:rFonts w:ascii="Arial" w:cs="Arial" w:eastAsia="Arial" w:hAnsi="Arial"/>
          <w:sz w:val="18"/>
          <w:szCs w:val="18"/>
          <w:b w:val="1"/>
          <w:bCs w:val="1"/>
          <w:color w:val="auto"/>
        </w:rPr>
        <w:t>The Company may be required to record a significant charge to earnings if recorded intangible assets associated with the Span Alaska acquisition become impaired.</w:t>
      </w:r>
    </w:p>
    <w:p>
      <w:pPr>
        <w:spacing w:after="0" w:line="16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The Company recorded significant intangible assets related to goodwill, customer relationships and trade name arising from the Span Alaska acquisition. The Company is required to test goodwill for impairment annually, or whenever events or changes in circumstances indicate that it is more likely than not that the fair value of a reporting unit is less than its carrying amount. Factors that could lead to an impairment of goodwill or intangible customer relationships include any significant adverse changes affecting the reporting segment’s financial condition, results of operations, and future cash flows.</w:t>
      </w:r>
    </w:p>
    <w:p>
      <w:pPr>
        <w:spacing w:after="0" w:line="188" w:lineRule="exact"/>
        <w:rPr>
          <w:sz w:val="20"/>
          <w:szCs w:val="20"/>
          <w:color w:val="auto"/>
        </w:rPr>
      </w:pPr>
    </w:p>
    <w:p>
      <w:pPr>
        <w:ind w:left="60" w:right="459"/>
        <w:spacing w:after="0" w:line="282" w:lineRule="auto"/>
        <w:rPr>
          <w:sz w:val="20"/>
          <w:szCs w:val="20"/>
          <w:color w:val="auto"/>
        </w:rPr>
      </w:pPr>
      <w:r>
        <w:rPr>
          <w:rFonts w:ascii="Arial" w:cs="Arial" w:eastAsia="Arial" w:hAnsi="Arial"/>
          <w:sz w:val="18"/>
          <w:szCs w:val="18"/>
          <w:b w:val="1"/>
          <w:bCs w:val="1"/>
          <w:color w:val="auto"/>
        </w:rPr>
        <w:t>A deterioration of the Company’s credit profile, disruptions of the credit markets or higher interest rates could restrict its ability to access the debt capital markets or increase the cost of debt.</w:t>
      </w:r>
    </w:p>
    <w:p>
      <w:pPr>
        <w:spacing w:after="0" w:line="166" w:lineRule="exact"/>
        <w:rPr>
          <w:sz w:val="20"/>
          <w:szCs w:val="20"/>
          <w:color w:val="auto"/>
        </w:rPr>
      </w:pPr>
    </w:p>
    <w:p>
      <w:pPr>
        <w:ind w:left="60" w:right="59"/>
        <w:spacing w:after="0" w:line="267" w:lineRule="auto"/>
        <w:rPr>
          <w:sz w:val="20"/>
          <w:szCs w:val="20"/>
          <w:color w:val="auto"/>
        </w:rPr>
      </w:pPr>
      <w:r>
        <w:rPr>
          <w:rFonts w:ascii="Arial" w:cs="Arial" w:eastAsia="Arial" w:hAnsi="Arial"/>
          <w:sz w:val="17"/>
          <w:szCs w:val="17"/>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or the Company may not be able to refinance debt at the same levels or on the same terms. Because the Company relies on its ability to draw on its revolving credit facilities to support its operations when required, any volatility in the credit and financial markets that prevents the Company from accessing funds (for example, a lender that does not fulfill its lending obligation)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facilities based on floating rates. Floating rate debt creates higher debt service requirements if market interest rates increase, as may be the case in connection with the U.S. Federal Reserve’s announced plans to increase interest rates in 2022, which would adversely affect the Company’s cash flow and results of operations. In addition, the floating rate on certain borrowings under the Company’s revolving credit facility is tied to LIBOR. Regulators in the United States and other countries have begun to phase out the use of LIBOR, with a complete phase out of U.S. dollar LIBOR rates currently expected by June 2023. Uncertainty regarding the transition from LIBOR to an alternate benchmark rate or rates could pose funding risks for the Company and adversely affect the Company’s financing costs. Disruptions to the credit markets as a result of the COVID-19 pandemic or other macroeconomic or financial market developments could increase the Company’s cost of capital and limit the Company’s access to capital.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19"/>
        <w:spacing w:after="0" w:line="266" w:lineRule="auto"/>
        <w:rPr>
          <w:sz w:val="20"/>
          <w:szCs w:val="20"/>
          <w:color w:val="auto"/>
        </w:rPr>
      </w:pPr>
      <w:r>
        <w:rPr>
          <w:rFonts w:ascii="Arial" w:cs="Arial" w:eastAsia="Arial" w:hAnsi="Arial"/>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80"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color w:val="auto"/>
        </w:rPr>
        <w:t>The Company’s credit facilities contain certain restrictive financial covenants, the most restrictive of which include a maximum ratio of debt to earnings before interest, taxes, depreciation and amortization (“EBITDA”), a minimum ratio of EBITDA to interest expense, certain prohibitions on additional priority debt, certain prohibitions on sale and leaseback transactions, and the maintenance of minimum 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Company’s effective income tax rate may vary.</w:t>
      </w:r>
    </w:p>
    <w:p>
      <w:pPr>
        <w:spacing w:after="0" w:line="229"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Capital Construction Fund (“CCF”) deductions, non-deductible expenses, and expenses eligible for tax credits; changes in the mix of earnings among countries with varying tax rates; changes to the allowable amounts of foreign derived intangible income deductions; and acquisitions and changes in the Company’s corporate structure. These factors may result in periodic revisions to the Company’s effective income tax rate, which could affect the Company’s cash flow and results of operations.</w:t>
      </w:r>
    </w:p>
    <w:p>
      <w:pPr>
        <w:spacing w:after="0" w:line="164" w:lineRule="exact"/>
        <w:rPr>
          <w:sz w:val="20"/>
          <w:szCs w:val="20"/>
          <w:color w:val="auto"/>
        </w:rPr>
      </w:pPr>
    </w:p>
    <w:p>
      <w:pPr>
        <w:ind w:left="60" w:right="459"/>
        <w:spacing w:after="0" w:line="282" w:lineRule="auto"/>
        <w:rPr>
          <w:sz w:val="20"/>
          <w:szCs w:val="20"/>
          <w:color w:val="auto"/>
        </w:rPr>
      </w:pPr>
      <w:r>
        <w:rPr>
          <w:rFonts w:ascii="Arial" w:cs="Arial" w:eastAsia="Arial" w:hAnsi="Arial"/>
          <w:sz w:val="18"/>
          <w:szCs w:val="18"/>
          <w:b w:val="1"/>
          <w:bCs w:val="1"/>
          <w:color w:val="auto"/>
        </w:rPr>
        <w:t>Changes in the value of pension assets, or a change in pension law or key assumptions, may adversely affect the Company’s financial performance.</w:t>
      </w:r>
    </w:p>
    <w:p>
      <w:pPr>
        <w:spacing w:after="0" w:line="166"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The amount of the Company’s employee pension and post-retirement benefit costs and obligations is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pacing w:after="0" w:line="164" w:lineRule="exact"/>
        <w:rPr>
          <w:sz w:val="20"/>
          <w:szCs w:val="20"/>
          <w:color w:val="auto"/>
        </w:rPr>
      </w:pPr>
    </w:p>
    <w:p>
      <w:pPr>
        <w:ind w:left="60" w:right="879"/>
        <w:spacing w:after="0" w:line="347" w:lineRule="auto"/>
        <w:rPr>
          <w:sz w:val="20"/>
          <w:szCs w:val="20"/>
          <w:color w:val="auto"/>
        </w:rPr>
      </w:pPr>
      <w:r>
        <w:rPr>
          <w:rFonts w:ascii="Arial" w:cs="Arial" w:eastAsia="Arial" w:hAnsi="Arial"/>
          <w:sz w:val="16"/>
          <w:szCs w:val="16"/>
          <w:b w:val="1"/>
          <w:bCs w:val="1"/>
          <w:color w:val="auto"/>
        </w:rPr>
        <w:t>The Company may have exposure under its multi-employer pension and post-retirement plans in which it participates that extends beyond its funding obligation with respect to the Company’s employees.</w:t>
      </w:r>
    </w:p>
    <w:p>
      <w:pPr>
        <w:spacing w:after="0" w:line="120"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of this Annual Report).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any of the multi-employer plans to which the Company contributes fails to satisfy the minimum funding requirements, the Internal Revenue Service will impose certain penalties and taxes on the Company and other contributing employers.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Legal, Regulatory and Compliance Matters</w:t>
      </w:r>
    </w:p>
    <w:p>
      <w:pPr>
        <w:spacing w:after="0" w:line="221" w:lineRule="exact"/>
        <w:rPr>
          <w:sz w:val="20"/>
          <w:szCs w:val="20"/>
          <w:color w:val="auto"/>
        </w:rPr>
      </w:pPr>
    </w:p>
    <w:p>
      <w:pPr>
        <w:ind w:left="60" w:right="59"/>
        <w:spacing w:after="0" w:line="266" w:lineRule="auto"/>
        <w:rPr>
          <w:sz w:val="20"/>
          <w:szCs w:val="20"/>
          <w:color w:val="auto"/>
        </w:rPr>
      </w:pPr>
      <w:r>
        <w:rPr>
          <w:rFonts w:ascii="Arial" w:cs="Arial" w:eastAsia="Arial" w:hAnsi="Arial"/>
          <w:sz w:val="18"/>
          <w:szCs w:val="18"/>
          <w:b w:val="1"/>
          <w:bCs w:val="1"/>
          <w:color w:val="auto"/>
        </w:rPr>
        <w:t>As an ocean transportation and logistics services company, the Company is subject to numerous safety, environmental, and other laws and regulations that impact the Company’s operations, are costly to comply with and expose us to liability.</w:t>
      </w:r>
    </w:p>
    <w:p>
      <w:pPr>
        <w:spacing w:after="0" w:line="180"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The Company, including its vessels and terminals, is subject to numerous federal, state and local laws and regulations, including those related to safety, cabotage, equipment standards and government rates. In addition, the Company is subject to environmental laws and regulations, including those relating to air quality initiatives at port locations; air emissions; use of shore power at California ports; wastewater discharges; management of storm water; the transportation, handling and disposal of solid and hazardous materials, oil and oil-related products, hazardous substances and wastes; the investigation and remediation of contamination; health, safety and the protection of the environment and natural resources; and climate change, including any regulations, mandates or restrictions related to greenhouse gas emissions, such as a “cap and trade” system of allowances and credits, and energy use. Any changes in applicable laws and regulations, including their enforcement, interpretation or implementation that results in more stringent requirements than currently anticipated, as well as any new laws and regulations that are adopted could impose significant additional costs and limitations on the Company’s ability to operate. Mitigation strategies or contingency plans to remain in compliance with applicable laws and regulations may be unsuccessful, result in additional costs or experience delays. Such costs may not be recoverable through increased payments from customers. For a discussion of specific laws and regulations, see Part I, Item 1, of this Annual Report.</w:t>
      </w:r>
    </w:p>
    <w:p>
      <w:pPr>
        <w:spacing w:after="0" w:line="184"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Federal, state and local laws and regulations require us to obtain certificates of financial responsibility and to adopt procedures for oil and hazardous substance spill prevention, response and clean up, among other requirements impacting the Company’s business. In complying with applicable laws and regulations, the Company has incurred expenses and may incur material future costs and expenses related to vessel and equipment modifications, new equipment, higher-priced fuel, changes in operating practices and procedures, tracking emissions, changing routes, adopting or modifying energy sources and undergoing additional oversight inspections, all of which could adversely affect the Company’s business and financial condition. For example, Matson’s vessels operate within emissions control areas, and the Company’s U.S. flagged vessels generally must be maintained “in class” and are subject to periodic inspections by the American Bureau of Shipping or similar classification societies. They also must be periodically inspected by, or on behalf of, the United States Coast Guard. The Company’s vessels’ operating certificates and licenses are renewed periodically during the required annual surveys of the vessels, but there is no assurance that the Company’s programs and policies will be sufficient to have such certificates and licenses renewed. The EPA also requires vessels to obtain coverage under a general permit and to comply with inspection, monitoring, discharge, recordkeeping and reporting requirements.</w:t>
      </w:r>
    </w:p>
    <w:p>
      <w:pPr>
        <w:spacing w:after="0" w:line="106" w:lineRule="exact"/>
        <w:rPr>
          <w:sz w:val="20"/>
          <w:szCs w:val="20"/>
          <w:color w:val="auto"/>
        </w:rPr>
      </w:pPr>
    </w:p>
    <w:p>
      <w:pPr>
        <w:ind w:left="60" w:right="239"/>
        <w:spacing w:after="0" w:line="301" w:lineRule="auto"/>
        <w:rPr>
          <w:sz w:val="20"/>
          <w:szCs w:val="20"/>
          <w:color w:val="auto"/>
        </w:rPr>
      </w:pPr>
      <w:r>
        <w:rPr>
          <w:rFonts w:ascii="Arial" w:cs="Arial" w:eastAsia="Arial" w:hAnsi="Arial"/>
          <w:sz w:val="16"/>
          <w:szCs w:val="16"/>
          <w:color w:val="auto"/>
        </w:rPr>
        <w:t>These laws and regulations provide for substantial fines, as well as criminal and civil penalties, in the event of any violations of, or non-compliance with, their requirements (including any waivers, permits or recordkeeping and other reporting requirements). Any vessel-generated pollution from incidents in U.S. waters within three nautical miles, and in some cases, within the 200-mile exclusive economic zone, for example, could expose us to such fines or penalties.</w:t>
      </w:r>
    </w:p>
    <w:p>
      <w:pPr>
        <w:spacing w:after="0" w:line="86" w:lineRule="exact"/>
        <w:rPr>
          <w:sz w:val="20"/>
          <w:szCs w:val="20"/>
          <w:color w:val="auto"/>
        </w:rPr>
      </w:pPr>
    </w:p>
    <w:p>
      <w:pPr>
        <w:ind w:left="60" w:right="959"/>
        <w:spacing w:after="0" w:line="347" w:lineRule="auto"/>
        <w:rPr>
          <w:sz w:val="20"/>
          <w:szCs w:val="20"/>
          <w:color w:val="auto"/>
        </w:rPr>
      </w:pPr>
      <w:r>
        <w:rPr>
          <w:rFonts w:ascii="Arial" w:cs="Arial" w:eastAsia="Arial" w:hAnsi="Arial"/>
          <w:sz w:val="16"/>
          <w:szCs w:val="16"/>
          <w:b w:val="1"/>
          <w:bCs w:val="1"/>
          <w:color w:val="auto"/>
        </w:rPr>
        <w:t>The Company is subject to, and may in the future be subject to, disputes, legal or other proceedings, and government inquiries or investigations that could have an adverse effect on the Company.</w:t>
      </w:r>
    </w:p>
    <w:p>
      <w:pPr>
        <w:spacing w:after="0" w:line="52"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The nature of the Company’s business exposes it to the potential for disputes, legal or other proceedings, and government inquiries or investigations relating to antitrust matters, labor and employment matters, personal injury and property damage, environmental, shore power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The Company may continue to be exposed to risks and unknown liabilities related to the Horizon acquisition.</w:t>
      </w:r>
    </w:p>
    <w:p>
      <w:pPr>
        <w:spacing w:after="0" w:line="173"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The Company acquired Horizon subject to all of the liabilities and obligations of its non-Hawaii business, including any remaining liabilities and obligations associated with its Puerto Rico operations, which Horizon ceased during the first quarter of 2015. The disposition of these liabilities, and any other obligations that are unknown to the Company, including contingent liabilities, could have an adverse effect on the Company’s financial condition and results of operations.</w:t>
      </w:r>
    </w:p>
    <w:p>
      <w:pPr>
        <w:spacing w:after="0" w:line="90"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Pasha acquired Horizon’s former Hawaii business immediately before the Company acquired Horizon, and Pasha assumed substantially all liabilities and obligations related to Horizon’s Hawaii business and agreed to perform various covenants. In some cases, however, Horizon, as the original contracting party, may remain primarily responsible for such assumed Hawaii liabilities and obligations. The Company may incur losses related to such assumed Hawaii liabilities and obligations.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1B. UNRESOLVED STAFF COMMENTS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Matson leases terminal facilities including office and storage space. Material terminal facilities, which are used by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Ocean Transportation segment, include the following locations: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Terminal Location</w:t>
            </w:r>
          </w:p>
        </w:tc>
        <w:tc>
          <w:tcPr>
            <w:tcW w:w="1800" w:type="dxa"/>
            <w:vAlign w:val="bottom"/>
            <w:gridSpan w:val="2"/>
          </w:tcPr>
          <w:p>
            <w:pPr>
              <w:ind w:left="560"/>
              <w:spacing w:after="0"/>
              <w:rPr>
                <w:sz w:val="20"/>
                <w:szCs w:val="20"/>
                <w:color w:val="auto"/>
              </w:rPr>
            </w:pPr>
            <w:r>
              <w:rPr>
                <w:rFonts w:ascii="Arial" w:cs="Arial" w:eastAsia="Arial" w:hAnsi="Arial"/>
                <w:sz w:val="14"/>
                <w:szCs w:val="14"/>
                <w:b w:val="1"/>
                <w:bCs w:val="1"/>
                <w:color w:val="auto"/>
              </w:rPr>
              <w:t>Acreage</w:t>
            </w:r>
          </w:p>
        </w:tc>
      </w:tr>
      <w:tr>
        <w:trPr>
          <w:trHeight w:val="209"/>
        </w:trPr>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Honolulu, Hawaii</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Anchorage, Alaska</w:t>
            </w:r>
          </w:p>
        </w:tc>
        <w:tc>
          <w:tcPr>
            <w:tcW w:w="16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Dutch Harbor, Alaska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Kodiak, Alaska</w:t>
            </w: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Tacoma, Washington</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Polaris Point, Guam</w:t>
            </w: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r>
    </w:tbl>
    <w:p>
      <w:pPr>
        <w:spacing w:after="0" w:line="10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Company’s other primary terminal facilities located at the ports of Oakland and Long Beach, California, and Tacoma, Washington are leased by SSAT.</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material facilities used in the Company’s operations by both of the Company’s segments include the following:</w:t>
      </w:r>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Other Material Facilities</w:t>
            </w:r>
          </w:p>
        </w:tc>
        <w:tc>
          <w:tcPr>
            <w:tcW w:w="2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Description of Facility</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Square Footage</w:t>
            </w:r>
          </w:p>
        </w:tc>
      </w:tr>
      <w:tr>
        <w:trPr>
          <w:trHeight w:val="210"/>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Pooler, Georgia</w:t>
            </w:r>
          </w:p>
        </w:tc>
        <w:tc>
          <w:tcPr>
            <w:tcW w:w="1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Warehouse</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710,844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Oakland, California</w:t>
            </w:r>
          </w:p>
        </w:tc>
        <w:tc>
          <w:tcPr>
            <w:tcW w:w="24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Warehouse</w:t>
            </w:r>
          </w:p>
        </w:tc>
        <w:tc>
          <w:tcPr>
            <w:tcW w:w="1200" w:type="dxa"/>
            <w:vAlign w:val="bottom"/>
          </w:tcPr>
          <w:p>
            <w:pPr>
              <w:jc w:val="right"/>
              <w:spacing w:after="0"/>
              <w:rPr>
                <w:sz w:val="20"/>
                <w:szCs w:val="20"/>
                <w:color w:val="auto"/>
              </w:rPr>
            </w:pPr>
            <w:r>
              <w:rPr>
                <w:rFonts w:ascii="Arial" w:cs="Arial" w:eastAsia="Arial" w:hAnsi="Arial"/>
                <w:sz w:val="18"/>
                <w:szCs w:val="18"/>
                <w:color w:val="auto"/>
              </w:rPr>
              <w:t>406,463</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Pooler, Georgia</w:t>
            </w:r>
          </w:p>
        </w:tc>
        <w:tc>
          <w:tcPr>
            <w:tcW w:w="24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Warehouse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324,832</w:t>
            </w:r>
          </w:p>
        </w:tc>
        <w:tc>
          <w:tcPr>
            <w:tcW w:w="8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Oakland, California</w:t>
            </w:r>
          </w:p>
        </w:tc>
        <w:tc>
          <w:tcPr>
            <w:tcW w:w="24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Warehouse</w:t>
            </w:r>
          </w:p>
        </w:tc>
        <w:tc>
          <w:tcPr>
            <w:tcW w:w="1200" w:type="dxa"/>
            <w:vAlign w:val="bottom"/>
          </w:tcPr>
          <w:p>
            <w:pPr>
              <w:jc w:val="right"/>
              <w:spacing w:after="0"/>
              <w:rPr>
                <w:sz w:val="20"/>
                <w:szCs w:val="20"/>
                <w:color w:val="auto"/>
              </w:rPr>
            </w:pPr>
            <w:r>
              <w:rPr>
                <w:rFonts w:ascii="Arial" w:cs="Arial" w:eastAsia="Arial" w:hAnsi="Arial"/>
                <w:sz w:val="18"/>
                <w:szCs w:val="18"/>
                <w:color w:val="auto"/>
              </w:rPr>
              <w:t>132,000</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Anchorage, Alaska</w:t>
            </w:r>
          </w:p>
        </w:tc>
        <w:tc>
          <w:tcPr>
            <w:tcW w:w="2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Office / Cross-dock</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80" w:type="dxa"/>
            <w:vAlign w:val="bottom"/>
            <w:shd w:val="clear" w:color="auto" w:fill="CCEEFF"/>
          </w:tcPr>
          <w:p>
            <w:pPr>
              <w:spacing w:after="0"/>
              <w:rPr>
                <w:sz w:val="18"/>
                <w:szCs w:val="18"/>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Auburn, Washington</w:t>
            </w: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Office / Cross-dock</w:t>
            </w:r>
          </w:p>
        </w:tc>
        <w:tc>
          <w:tcPr>
            <w:tcW w:w="1200" w:type="dxa"/>
            <w:vAlign w:val="bottom"/>
          </w:tcPr>
          <w:p>
            <w:pPr>
              <w:jc w:val="right"/>
              <w:spacing w:after="0"/>
              <w:rPr>
                <w:sz w:val="20"/>
                <w:szCs w:val="20"/>
                <w:color w:val="auto"/>
              </w:rPr>
            </w:pPr>
            <w:r>
              <w:rPr>
                <w:rFonts w:ascii="Arial" w:cs="Arial" w:eastAsia="Arial" w:hAnsi="Arial"/>
                <w:sz w:val="18"/>
                <w:szCs w:val="18"/>
                <w:color w:val="auto"/>
              </w:rPr>
              <w:t>51,250</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The Company’s Ocean Transportation segment has certain risks that could result in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environmental remediation.</w:t>
      </w:r>
    </w:p>
    <w:p>
      <w:pPr>
        <w:spacing w:after="0" w:line="89"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In accordance with SEC rules, with respect to administrative or judicial proceedings involving the environment, the Company has determined that in future filings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07" w:lineRule="exact"/>
        <w:rPr>
          <w:sz w:val="20"/>
          <w:szCs w:val="20"/>
          <w:color w:val="auto"/>
        </w:rPr>
      </w:pPr>
    </w:p>
    <w:p>
      <w:pPr>
        <w:ind w:left="60" w:right="199"/>
        <w:spacing w:after="0" w:line="269" w:lineRule="auto"/>
        <w:rPr>
          <w:sz w:val="20"/>
          <w:szCs w:val="20"/>
          <w:color w:val="auto"/>
        </w:rPr>
      </w:pPr>
      <w:r>
        <w:rPr>
          <w:rFonts w:ascii="Arial" w:cs="Arial" w:eastAsia="Arial" w:hAnsi="Arial"/>
          <w:sz w:val="17"/>
          <w:szCs w:val="17"/>
          <w:color w:val="auto"/>
        </w:rPr>
        <w:t>On November 10, 2021, the California Air Resources Board (“CARB”) issued a Notice of Violation (the “NOV”) to Matson for alleged violations of the Airborne Toxic Control Measure for Auxiliary Diesel Engines Operated on Ocean-Going Vessels At-Berth in a California Port pursuant to California Code of Regulations, title 17, section 93118.3. CARB regulations require that a company’s fleet plug into shore power for at least 80 percent of visits at California ports and reduce auxiliary engine power generation by at least 80 percent. The NOV alleges that Matson’s fleet did not meet the 80 percent thresholds during visits to the Port of Long Beach in 2020. The violations were alleged to have been incurred by chartered vessels in the CLX+ service. These chartered vessels were not outfitted with alternative maritime power (“AMP”) capability which would have allowed them to plug into the shore power grid and shut down the vessel diesel generators when at dock. The Company has presented mitigating factors for consideration in settlement discussions with CARB, as well as plans to achieve compliance in 2022. Although potential penalties for 2020 and 2021 violations could, in the aggregate, reasonably be expected to exceed $1 million, they are not expected to be material to the Company’s business or financial condition.</w:t>
      </w:r>
    </w:p>
    <w:p>
      <w:pPr>
        <w:spacing w:after="0" w:line="17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left="60" w:right="679"/>
        <w:spacing w:after="0" w:line="308" w:lineRule="auto"/>
        <w:rPr>
          <w:sz w:val="20"/>
          <w:szCs w:val="20"/>
          <w:color w:val="auto"/>
        </w:rPr>
      </w:pPr>
      <w:r>
        <w:rPr>
          <w:rFonts w:ascii="Arial" w:cs="Arial" w:eastAsia="Arial" w:hAnsi="Arial"/>
          <w:sz w:val="17"/>
          <w:szCs w:val="17"/>
          <w:i w:val="1"/>
          <w:iCs w:val="1"/>
          <w:color w:val="auto"/>
        </w:rPr>
        <w:t xml:space="preserve">General Information: </w:t>
      </w:r>
      <w:r>
        <w:rPr>
          <w:rFonts w:ascii="Arial" w:cs="Arial" w:eastAsia="Arial" w:hAnsi="Arial"/>
          <w:sz w:val="17"/>
          <w:szCs w:val="17"/>
          <w:color w:val="auto"/>
        </w:rPr>
        <w:t>Matson’s common stock is traded on the New York Stock Exchange under the ticker symbol</w:t>
      </w:r>
      <w:r>
        <w:rPr>
          <w:rFonts w:ascii="Arial" w:cs="Arial" w:eastAsia="Arial" w:hAnsi="Arial"/>
          <w:sz w:val="17"/>
          <w:szCs w:val="17"/>
          <w:i w:val="1"/>
          <w:iCs w:val="1"/>
          <w:color w:val="auto"/>
        </w:rPr>
        <w:t xml:space="preserve"> </w:t>
      </w:r>
      <w:r>
        <w:rPr>
          <w:rFonts w:ascii="Arial" w:cs="Arial" w:eastAsia="Arial" w:hAnsi="Arial"/>
          <w:sz w:val="17"/>
          <w:szCs w:val="17"/>
          <w:color w:val="auto"/>
        </w:rPr>
        <w:t>“MATX”. As of February 18, 2022, there were 2,018 shareholders of record of Matson common stock.</w:t>
      </w:r>
    </w:p>
    <w:p>
      <w:pPr>
        <w:spacing w:after="0" w:line="146" w:lineRule="exact"/>
        <w:rPr>
          <w:sz w:val="20"/>
          <w:szCs w:val="20"/>
          <w:color w:val="auto"/>
        </w:rPr>
      </w:pPr>
    </w:p>
    <w:p>
      <w:pPr>
        <w:jc w:val="both"/>
        <w:ind w:left="60" w:right="299"/>
        <w:spacing w:after="0" w:line="263" w:lineRule="auto"/>
        <w:rPr>
          <w:sz w:val="20"/>
          <w:szCs w:val="20"/>
          <w:color w:val="auto"/>
        </w:rPr>
      </w:pPr>
      <w:r>
        <w:rPr>
          <w:rFonts w:ascii="Arial" w:cs="Arial" w:eastAsia="Arial" w:hAnsi="Arial"/>
          <w:sz w:val="18"/>
          <w:szCs w:val="18"/>
          <w:i w:val="1"/>
          <w:iCs w:val="1"/>
          <w:color w:val="auto"/>
        </w:rPr>
        <w:t xml:space="preserve">Stockholder Return Performance Graph and Trading Information: </w:t>
      </w:r>
      <w:r>
        <w:rPr>
          <w:rFonts w:ascii="Arial" w:cs="Arial" w:eastAsia="Arial" w:hAnsi="Arial"/>
          <w:sz w:val="18"/>
          <w:szCs w:val="18"/>
          <w:color w:val="auto"/>
        </w:rPr>
        <w:t>The following information in this Item 5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filed for purposes of Section 18 of the Securities Exchange Act of 1934, nor shall it be deemed incorporated by reference in any filing under the Securities Act of 1933.</w:t>
      </w:r>
    </w:p>
    <w:p>
      <w:pPr>
        <w:spacing w:after="0" w:line="184"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cumulative total return listed below assumed an initial investment of $100 and reinvestment of dividends at each fiscal end and measures the performance of this investment as of the last trading day in the month of December for each of the five years ended December 31, 2021. The graph is a historical representation of past performance only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264795</wp:posOffset>
            </wp:positionV>
            <wp:extent cx="5572125" cy="4406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2125"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 invested on December 31, 2016 in stock or index, including reinvestment of dividends.</w:t>
      </w:r>
    </w:p>
    <w:p>
      <w:pPr>
        <w:spacing w:after="0" w:line="22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Trading volume averaged 291,899 shares a day in 2021, compared with 234,930 shares a day in 2020 and 155,804 shares a day in 2019, as reported by the New York Stock Exchange.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Dividends declared per share of common stock by the Company for each fiscal quarter during 2021,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were as follows: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00" w:type="dxa"/>
            <w:vAlign w:val="bottom"/>
            <w:gridSpan w:val="2"/>
          </w:tcPr>
          <w:p>
            <w:pPr>
              <w:ind w:left="20"/>
              <w:spacing w:after="0"/>
              <w:rPr>
                <w:sz w:val="20"/>
                <w:szCs w:val="20"/>
                <w:color w:val="auto"/>
              </w:rPr>
            </w:pPr>
            <w:r>
              <w:rPr>
                <w:rFonts w:ascii="Arial" w:cs="Arial" w:eastAsia="Arial" w:hAnsi="Arial"/>
                <w:sz w:val="14"/>
                <w:szCs w:val="14"/>
                <w:b w:val="1"/>
                <w:bCs w:val="1"/>
                <w:color w:val="auto"/>
              </w:rPr>
              <w:t>Dividends Declared</w:t>
            </w:r>
          </w:p>
        </w:tc>
        <w:tc>
          <w:tcPr>
            <w:tcW w:w="20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09"/>
        </w:trPr>
        <w:tc>
          <w:tcPr>
            <w:tcW w:w="5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0"/>
                <w:szCs w:val="20"/>
                <w:color w:val="auto"/>
              </w:rPr>
            </w:pPr>
          </w:p>
        </w:tc>
      </w:tr>
    </w:tbl>
    <w:p>
      <w:pPr>
        <w:spacing w:after="0" w:line="10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Matson’s Board of Directors also declared a cash dividend of $0.30 per share for the first quarter 2022, payable on March 3, 2022 to shareholders of record on February 10, 2022. Although Matson expects to continue paying quarterly cash dividends on its common stock, the declaration and payment of dividends are subject to the discretion of the Board of Directors and will depend upon Matson’s financial condition, results of operations, cash requirements and other factors deemed relevant by the Board of Directors.</w:t>
      </w:r>
    </w:p>
    <w:p>
      <w:pPr>
        <w:spacing w:after="0" w:line="188" w:lineRule="exact"/>
        <w:rPr>
          <w:sz w:val="20"/>
          <w:szCs w:val="20"/>
          <w:color w:val="auto"/>
        </w:rPr>
      </w:pPr>
    </w:p>
    <w:p>
      <w:pPr>
        <w:ind w:left="60" w:right="199"/>
        <w:spacing w:after="0" w:line="258"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The following is a summary of Matson common stock repurchased by the Company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31, 2021:</w:t>
      </w:r>
    </w:p>
    <w:tbl>
      <w:tblPr>
        <w:tblLayout w:type="fixed"/>
        <w:tblInd w:w="40" w:type="dxa"/>
        <w:tblCellMar>
          <w:top w:w="0" w:type="dxa"/>
          <w:left w:w="0" w:type="dxa"/>
          <w:bottom w:w="0" w:type="dxa"/>
          <w:right w:w="0" w:type="dxa"/>
        </w:tblCellMar>
      </w:tblPr>
      <w:tr>
        <w:trPr>
          <w:trHeight w:val="141"/>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1" w:lineRule="exact"/>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Purchased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 (1)</w:t>
            </w:r>
          </w:p>
        </w:tc>
        <w:tc>
          <w:tcPr>
            <w:tcW w:w="14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9"/>
        </w:trPr>
        <w:tc>
          <w:tcPr>
            <w:tcW w:w="3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368,259</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368,259</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1,152,317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November 1 – 30, 2021</w:t>
            </w:r>
          </w:p>
        </w:tc>
        <w:tc>
          <w:tcPr>
            <w:tcW w:w="1040" w:type="dxa"/>
            <w:vAlign w:val="bottom"/>
          </w:tcPr>
          <w:p>
            <w:pPr>
              <w:jc w:val="right"/>
              <w:spacing w:after="0"/>
              <w:rPr>
                <w:sz w:val="20"/>
                <w:szCs w:val="20"/>
                <w:color w:val="auto"/>
              </w:rPr>
            </w:pPr>
            <w:r>
              <w:rPr>
                <w:rFonts w:ascii="Arial" w:cs="Arial" w:eastAsia="Arial" w:hAnsi="Arial"/>
                <w:sz w:val="18"/>
                <w:szCs w:val="18"/>
                <w:color w:val="auto"/>
              </w:rPr>
              <w:t>220,000</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87.13</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932,317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 31, 2021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416,520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515,797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1,004,779</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84.05</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1,004,779</w:t>
            </w: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19" w:hanging="330"/>
        <w:spacing w:after="0" w:line="238"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 June 24, 2021, the Company announced that Matson’s Board of Directors had approved a share repurchase program of up to 3.0 million shares of common stock through August 3, 2024. Shares will be repurchased in the open market from time to time, and may be made pursuant to a trading plan in accordance with Rule 10b5-1 of the Securities Exchange Act of 1934.</w:t>
      </w:r>
    </w:p>
    <w:p>
      <w:pPr>
        <w:spacing w:after="0" w:line="119"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On January 27, 2022, the Company’s Board of Directors approved the addition of three million shares to the Company’s existing share repurchase program.</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REMOVED AND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229" w:lineRule="exact"/>
        <w:rPr>
          <w:sz w:val="20"/>
          <w:szCs w:val="20"/>
          <w:color w:val="auto"/>
        </w:rPr>
      </w:pPr>
    </w:p>
    <w:p>
      <w:pPr>
        <w:ind w:left="60" w:right="79"/>
        <w:spacing w:after="0" w:line="267" w:lineRule="auto"/>
        <w:rPr>
          <w:sz w:val="20"/>
          <w:szCs w:val="20"/>
          <w:color w:val="auto"/>
        </w:rPr>
      </w:pPr>
      <w:r>
        <w:rPr>
          <w:rFonts w:ascii="Arial" w:cs="Arial" w:eastAsia="Arial" w:hAnsi="Arial"/>
          <w:sz w:val="17"/>
          <w:szCs w:val="17"/>
          <w:color w:val="auto"/>
        </w:rPr>
        <w:t>The Company, from time to time, may make or may have made certain forward-looking statements, whether orally or in writing, such as forecasts and projections of the Company’s future performance or statements of management’s plans and objectives. These statements are “forward-looking” statements as that term is defined in the Private Securities Litigation Reform Act of 1995. Such forward-looking statements may be contained in, among other things, SEC filings such as Forms 10-K, 10-Q and 8-K, the Annual Report to Shareholders, press releases made by the Company, the Company’s Internet websites (including websites of its subsidiaries), and oral statements made by the officers of the Company. Except for historical information contained in these written or oral communications, such communications contain forward-looking statements. These include, for example, all references to 2022 or future years. New risk factors emerge from time to time and it is not possible for the Company to predict all such risk factors, nor can it assess the impact of all such risk factors on the Company’s business or the extent to which any factor, or combination of factors, may cause actual results to differ materially from those contained in any forward-looking statements. Accordingly, forward-looking statements cannot be relied upon as a guarantee of future results and involve a number of risks and uncertainties that could cause actual results to differ materially from those projected in the statements, including but not limited to the factors that are described in Part I, Item 1A under the caption of “Risk Factors” of this Form 10-K, which section is incorporated herein by reference. The Company is not required, and undertakes no obligation, to revise or update forward-looking statements or any factors that may affect actual results, whether as a result of new information, future events, or circumstances occurring after the date of this report.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spacing w:after="0" w:line="288" w:lineRule="auto"/>
        <w:rPr>
          <w:rFonts w:ascii="Arial" w:cs="Arial" w:eastAsia="Arial" w:hAnsi="Arial"/>
          <w:sz w:val="16"/>
          <w:szCs w:val="16"/>
          <w:color w:val="0000EE"/>
        </w:rPr>
      </w:pPr>
      <w:r>
        <w:rPr>
          <w:rFonts w:ascii="Arial" w:cs="Arial" w:eastAsia="Arial" w:hAnsi="Arial"/>
          <w:sz w:val="16"/>
          <w:szCs w:val="16"/>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Consolidated Financial Statements from year to year, the primary factors that accounted for those changes, and how certain accounting principles, policies and estimates affect the Company’s Consolidated Financial Statements. MD&amp;A is provided as a supplement to, and should be read in conjunction with the Consolidated Financial Statements and the accompanying notes to the Consolidated Financial Statements in Item 8 of Part II below. Discussion and analysis of the financial condition and results of operations of Matson for the years ended </w:t>
      </w:r>
      <w:hyperlink r:id="rId47">
        <w:r>
          <w:rPr>
            <w:rFonts w:ascii="Arial" w:cs="Arial" w:eastAsia="Arial" w:hAnsi="Arial"/>
            <w:sz w:val="16"/>
            <w:szCs w:val="16"/>
            <w:color w:val="auto"/>
          </w:rPr>
          <w:t xml:space="preserve">December 31, 2020 and 2019 can be found in Part II, Item 7 of the Company’s </w:t>
        </w:r>
        <w:r>
          <w:rPr>
            <w:rFonts w:ascii="Arial" w:cs="Arial" w:eastAsia="Arial" w:hAnsi="Arial"/>
            <w:sz w:val="16"/>
            <w:szCs w:val="16"/>
            <w:u w:val="single" w:color="auto"/>
            <w:color w:val="0000EE"/>
          </w:rPr>
          <w:t>Annual Report on Form 10-K for the year</w:t>
        </w:r>
      </w:hyperlink>
      <w:r>
        <w:rPr>
          <w:rFonts w:ascii="Arial" w:cs="Arial" w:eastAsia="Arial" w:hAnsi="Arial"/>
          <w:sz w:val="16"/>
          <w:szCs w:val="16"/>
          <w:color w:val="auto"/>
        </w:rPr>
        <w:t xml:space="preserve"> </w:t>
      </w:r>
      <w:hyperlink r:id="rId47">
        <w:r>
          <w:rPr>
            <w:rFonts w:ascii="Arial" w:cs="Arial" w:eastAsia="Arial" w:hAnsi="Arial"/>
            <w:sz w:val="16"/>
            <w:szCs w:val="16"/>
            <w:u w:val="single" w:color="auto"/>
            <w:color w:val="0000EE"/>
          </w:rPr>
          <w:t>ended December 31, 2020</w:t>
        </w:r>
        <w:r>
          <w:rPr>
            <w:rFonts w:ascii="Arial" w:cs="Arial" w:eastAsia="Arial" w:hAnsi="Arial"/>
            <w:sz w:val="16"/>
            <w:szCs w:val="16"/>
            <w:color w:val="000000"/>
          </w:rPr>
          <w:t>, filed with the SEC on February 26, 2021.</w:t>
        </w:r>
      </w:hyperlink>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MD&amp;A is presented in the following sections:</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Historical Financial Information</w:t>
      </w:r>
    </w:p>
    <w:p>
      <w:pPr>
        <w:spacing w:after="0" w:line="57" w:lineRule="exact"/>
        <w:rPr>
          <w:sz w:val="20"/>
          <w:szCs w:val="20"/>
          <w:color w:val="auto"/>
        </w:rPr>
      </w:pPr>
    </w:p>
    <w:p>
      <w:pPr>
        <w:ind w:left="720" w:right="3359"/>
        <w:spacing w:after="0" w:line="250" w:lineRule="auto"/>
        <w:rPr>
          <w:sz w:val="20"/>
          <w:szCs w:val="20"/>
          <w:color w:val="auto"/>
        </w:rPr>
      </w:pPr>
      <w:r>
        <w:rPr>
          <w:rFonts w:ascii="Arial" w:cs="Arial" w:eastAsia="Arial" w:hAnsi="Arial"/>
          <w:sz w:val="18"/>
          <w:szCs w:val="18"/>
          <w:color w:val="auto"/>
        </w:rPr>
        <w:t>Fourth Quarter 2021 Discussion and Update on Business Conditions Consolidated Results of Operations</w:t>
      </w:r>
    </w:p>
    <w:p>
      <w:pPr>
        <w:ind w:left="720" w:right="4239"/>
        <w:spacing w:after="0" w:line="250" w:lineRule="auto"/>
        <w:rPr>
          <w:sz w:val="20"/>
          <w:szCs w:val="20"/>
          <w:color w:val="auto"/>
        </w:rPr>
      </w:pPr>
      <w:r>
        <w:rPr>
          <w:rFonts w:ascii="Arial" w:cs="Arial" w:eastAsia="Arial" w:hAnsi="Arial"/>
          <w:sz w:val="18"/>
          <w:szCs w:val="18"/>
          <w:color w:val="auto"/>
        </w:rPr>
        <w:t>Analysis of Operating Revenue and Income by Segment Liquidity and Capital Resources</w:t>
      </w:r>
    </w:p>
    <w:p>
      <w:pPr>
        <w:ind w:left="720" w:right="3419"/>
        <w:spacing w:after="0" w:line="258" w:lineRule="auto"/>
        <w:rPr>
          <w:sz w:val="20"/>
          <w:szCs w:val="20"/>
          <w:color w:val="auto"/>
        </w:rPr>
      </w:pPr>
      <w:r>
        <w:rPr>
          <w:rFonts w:ascii="Arial" w:cs="Arial" w:eastAsia="Arial" w:hAnsi="Arial"/>
          <w:sz w:val="18"/>
          <w:szCs w:val="18"/>
          <w:color w:val="auto"/>
        </w:rPr>
        <w:t>Commitments, Contingencies and Off-Balance Sheet Arrangements 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HISTORICAL FINANCIAL INFORMATION</w:t>
      </w:r>
    </w:p>
    <w:p>
      <w:pPr>
        <w:spacing w:after="0" w:line="148"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comparative selected financial information of the Company is presented for each of the five years in the period ended December 31, 2021. The information should be read in conjunction with Item 8, “Financial Statements and Supplementary Data.” All fiscal years include 52 weeks, except for the year ended December 31, 2021 which includes 53 weeks (a description of the Company’s fiscal year is included in Note 2 of the Consolidated Financial Statements in Item 8 of Part II below):</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20" w:type="dxa"/>
            <w:vAlign w:val="bottom"/>
          </w:tcPr>
          <w:p>
            <w:pPr>
              <w:spacing w:after="0"/>
              <w:rPr>
                <w:sz w:val="14"/>
                <w:szCs w:val="14"/>
                <w:color w:val="auto"/>
              </w:rPr>
            </w:pPr>
          </w:p>
        </w:tc>
        <w:tc>
          <w:tcPr>
            <w:tcW w:w="560" w:type="dxa"/>
            <w:vAlign w:val="bottom"/>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96"/>
        </w:trPr>
        <w:tc>
          <w:tcPr>
            <w:tcW w:w="4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Revenue:</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Arial" w:cs="Arial" w:eastAsia="Arial" w:hAnsi="Arial"/>
                <w:sz w:val="16"/>
                <w:szCs w:val="16"/>
                <w:color w:val="auto"/>
              </w:rPr>
              <w:t>Ocean Transportation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3,132.8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1,853.9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1,666.6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1,641.3</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1,571.8</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Logistics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475.1</w:t>
            </w:r>
          </w:p>
        </w:tc>
        <w:tc>
          <w:tcPr>
            <w:tcW w:w="40" w:type="dxa"/>
            <w:vAlign w:val="bottom"/>
            <w:shd w:val="clear" w:color="auto" w:fill="CCEEFF"/>
          </w:tcPr>
          <w:p>
            <w:pPr>
              <w:spacing w:after="0"/>
              <w:rPr>
                <w:sz w:val="17"/>
                <w:szCs w:val="17"/>
                <w:color w:val="auto"/>
              </w:rPr>
            </w:pPr>
          </w:p>
        </w:tc>
      </w:tr>
      <w:tr>
        <w:trPr>
          <w:trHeight w:val="236"/>
        </w:trPr>
        <w:tc>
          <w:tcPr>
            <w:tcW w:w="4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Operating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3,925.3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2,383.3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2,203.1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2,222.8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2,046.9</w:t>
            </w:r>
          </w:p>
        </w:tc>
        <w:tc>
          <w:tcPr>
            <w:tcW w:w="40" w:type="dxa"/>
            <w:vAlign w:val="bottom"/>
            <w:tcBorders>
              <w:bottom w:val="single" w:sz="8" w:color="CCEEFF"/>
            </w:tcBorders>
          </w:tcPr>
          <w:p>
            <w:pPr>
              <w:spacing w:after="0"/>
              <w:rPr>
                <w:sz w:val="20"/>
                <w:szCs w:val="20"/>
                <w:color w:val="auto"/>
              </w:rPr>
            </w:pPr>
          </w:p>
        </w:tc>
      </w:tr>
      <w:tr>
        <w:trPr>
          <w:trHeight w:val="183"/>
        </w:trPr>
        <w:tc>
          <w:tcPr>
            <w:tcW w:w="4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Operating and Net Income:</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Ocean Transportation (1)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1,137.7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Logistics</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40" w:type="dxa"/>
            <w:vAlign w:val="bottom"/>
            <w:tcBorders>
              <w:bottom w:val="single" w:sz="8" w:color="CCEEFF"/>
            </w:tcBorders>
          </w:tcPr>
          <w:p>
            <w:pPr>
              <w:spacing w:after="0"/>
              <w:rPr>
                <w:sz w:val="17"/>
                <w:szCs w:val="17"/>
                <w:color w:val="auto"/>
              </w:rPr>
            </w:pPr>
          </w:p>
        </w:tc>
      </w:tr>
      <w:tr>
        <w:trPr>
          <w:trHeight w:val="19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Operating Income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1,187.5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(24.2)</w:t>
            </w:r>
          </w:p>
        </w:tc>
      </w:tr>
      <w:tr>
        <w:trPr>
          <w:trHeight w:val="203"/>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 w:type="dxa"/>
            <w:vAlign w:val="bottom"/>
            <w:shd w:val="clear" w:color="auto" w:fill="CCEEFF"/>
          </w:tcPr>
          <w:p>
            <w:pPr>
              <w:spacing w:after="0"/>
              <w:rPr>
                <w:sz w:val="17"/>
                <w:szCs w:val="17"/>
                <w:color w:val="auto"/>
              </w:rPr>
            </w:pPr>
          </w:p>
        </w:tc>
      </w:tr>
      <w:tr>
        <w:trPr>
          <w:trHeight w:val="196"/>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1,171.3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259.0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125.2</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 (2)</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(243.9)</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40" w:type="dxa"/>
            <w:vAlign w:val="bottom"/>
            <w:shd w:val="clear" w:color="auto" w:fill="CCEEFF"/>
          </w:tcPr>
          <w:p>
            <w:pPr>
              <w:spacing w:after="0"/>
              <w:rPr>
                <w:sz w:val="17"/>
                <w:szCs w:val="17"/>
                <w:color w:val="auto"/>
              </w:rPr>
            </w:pPr>
          </w:p>
        </w:tc>
      </w:tr>
      <w:tr>
        <w:trPr>
          <w:trHeight w:val="236"/>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927.4</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193.1</w:t>
            </w: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231.0</w:t>
            </w:r>
          </w:p>
        </w:tc>
        <w:tc>
          <w:tcPr>
            <w:tcW w:w="40" w:type="dxa"/>
            <w:vAlign w:val="bottom"/>
            <w:tcBorders>
              <w:bottom w:val="single" w:sz="8" w:color="CCEEFF"/>
            </w:tcBorders>
          </w:tcPr>
          <w:p>
            <w:pPr>
              <w:spacing w:after="0"/>
              <w:rPr>
                <w:sz w:val="20"/>
                <w:szCs w:val="20"/>
                <w:color w:val="auto"/>
              </w:rPr>
            </w:pPr>
          </w:p>
        </w:tc>
      </w:tr>
      <w:tr>
        <w:trPr>
          <w:trHeight w:val="183"/>
        </w:trPr>
        <w:tc>
          <w:tcPr>
            <w:tcW w:w="4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Ocean Transportation</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Logistics</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40" w:type="dxa"/>
            <w:vAlign w:val="bottom"/>
            <w:tcBorders>
              <w:bottom w:val="single" w:sz="8" w:color="CCEEFF"/>
            </w:tcBorders>
          </w:tcPr>
          <w:p>
            <w:pPr>
              <w:spacing w:after="0"/>
              <w:rPr>
                <w:sz w:val="17"/>
                <w:szCs w:val="17"/>
                <w:color w:val="auto"/>
              </w:rPr>
            </w:pPr>
          </w:p>
        </w:tc>
      </w:tr>
      <w:tr>
        <w:trPr>
          <w:trHeight w:val="196"/>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Capital Expenditures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Arial" w:cs="Arial" w:eastAsia="Arial" w:hAnsi="Arial"/>
                <w:sz w:val="16"/>
                <w:szCs w:val="16"/>
                <w:color w:val="auto"/>
              </w:rPr>
              <w:t>Ocean Transportation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128.6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107.4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93.6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87.0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93.3</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Logistics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0" w:type="dxa"/>
            <w:vAlign w:val="bottom"/>
            <w:shd w:val="clear" w:color="auto" w:fill="CCEEFF"/>
          </w:tcPr>
          <w:p>
            <w:pPr>
              <w:spacing w:after="0"/>
              <w:rPr>
                <w:sz w:val="17"/>
                <w:szCs w:val="17"/>
                <w:color w:val="auto"/>
              </w:rPr>
            </w:pPr>
          </w:p>
        </w:tc>
      </w:tr>
      <w:tr>
        <w:trPr>
          <w:trHeight w:val="196"/>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94.4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101.2</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Deferred Dry-docking Amortization — Ocean Transportation</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40" w:type="dxa"/>
            <w:vAlign w:val="bottom"/>
            <w:shd w:val="clear" w:color="auto" w:fill="CCEEFF"/>
          </w:tcPr>
          <w:p>
            <w:pPr>
              <w:spacing w:after="0"/>
              <w:rPr>
                <w:sz w:val="17"/>
                <w:szCs w:val="17"/>
                <w:color w:val="auto"/>
              </w:rPr>
            </w:pPr>
          </w:p>
        </w:tc>
      </w:tr>
      <w:tr>
        <w:trPr>
          <w:trHeight w:val="236"/>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Depreciation and Amortization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w:t>
            </w:r>
          </w:p>
        </w:tc>
        <w:tc>
          <w:tcPr>
            <w:tcW w:w="40" w:type="dxa"/>
            <w:vAlign w:val="bottom"/>
            <w:tcBorders>
              <w:bottom w:val="single" w:sz="8" w:color="CCEEFF"/>
            </w:tcBorders>
          </w:tcPr>
          <w:p>
            <w:pPr>
              <w:spacing w:after="0"/>
              <w:rPr>
                <w:sz w:val="20"/>
                <w:szCs w:val="20"/>
                <w:color w:val="auto"/>
              </w:rPr>
            </w:pPr>
          </w:p>
        </w:tc>
      </w:tr>
      <w:tr>
        <w:trPr>
          <w:trHeight w:val="183"/>
        </w:trPr>
        <w:tc>
          <w:tcPr>
            <w:tcW w:w="4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Earnings Per Share in Net Income:</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21.47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4.44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1.91</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2.53</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5.35</w:t>
            </w:r>
          </w:p>
        </w:tc>
        <w:tc>
          <w:tcPr>
            <w:tcW w:w="40" w:type="dxa"/>
            <w:vAlign w:val="bottom"/>
          </w:tcPr>
          <w:p>
            <w:pPr>
              <w:spacing w:after="0"/>
              <w:rPr>
                <w:sz w:val="17"/>
                <w:szCs w:val="17"/>
                <w:color w:val="auto"/>
              </w:rPr>
            </w:pPr>
          </w:p>
        </w:tc>
      </w:tr>
      <w:tr>
        <w:trPr>
          <w:trHeight w:val="203"/>
        </w:trPr>
        <w:tc>
          <w:tcPr>
            <w:tcW w:w="4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Cash dividends per share declared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0.90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0.86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0.82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0.78</w:t>
            </w:r>
          </w:p>
        </w:tc>
        <w:tc>
          <w:tcPr>
            <w:tcW w:w="40" w:type="dxa"/>
            <w:vAlign w:val="bottom"/>
          </w:tcPr>
          <w:p>
            <w:pPr>
              <w:spacing w:after="0"/>
              <w:rPr>
                <w:sz w:val="17"/>
                <w:szCs w:val="17"/>
                <w:color w:val="auto"/>
              </w:rPr>
            </w:pPr>
          </w:p>
        </w:tc>
      </w:tr>
      <w:tr>
        <w:trPr>
          <w:trHeight w:val="203"/>
        </w:trPr>
        <w:tc>
          <w:tcPr>
            <w:tcW w:w="4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As of December 31: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Arial" w:cs="Arial" w:eastAsia="Arial" w:hAnsi="Arial"/>
                <w:sz w:val="16"/>
                <w:szCs w:val="16"/>
                <w:color w:val="auto"/>
              </w:rPr>
              <w:t>Total debt obligations — including current portion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614.7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744.8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958.4</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856.4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857.1</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1,667.4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677.2</w:t>
            </w:r>
          </w:p>
        </w:tc>
        <w:tc>
          <w:tcPr>
            <w:tcW w:w="40" w:type="dxa"/>
            <w:vAlign w:val="bottom"/>
            <w:shd w:val="clear" w:color="auto" w:fill="CCEEFF"/>
          </w:tcPr>
          <w:p>
            <w:pPr>
              <w:spacing w:after="0"/>
              <w:rPr>
                <w:sz w:val="17"/>
                <w:szCs w:val="17"/>
                <w:color w:val="auto"/>
              </w:rPr>
            </w:pPr>
          </w:p>
        </w:tc>
      </w:tr>
      <w:tr>
        <w:trPr>
          <w:trHeight w:val="206"/>
        </w:trPr>
        <w:tc>
          <w:tcPr>
            <w:tcW w:w="4940" w:type="dxa"/>
            <w:vAlign w:val="bottom"/>
            <w:gridSpan w:val="2"/>
          </w:tcPr>
          <w:p>
            <w:pPr>
              <w:ind w:left="220"/>
              <w:spacing w:after="0"/>
              <w:rPr>
                <w:sz w:val="20"/>
                <w:szCs w:val="20"/>
                <w:color w:val="auto"/>
              </w:rPr>
            </w:pPr>
            <w:r>
              <w:rPr>
                <w:rFonts w:ascii="Arial" w:cs="Arial" w:eastAsia="Arial" w:hAnsi="Arial"/>
                <w:sz w:val="16"/>
                <w:szCs w:val="16"/>
                <w:color w:val="auto"/>
              </w:rPr>
              <w:t>Shares outstanding</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42.5</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wp:posOffset>
            </wp:positionV>
            <wp:extent cx="14141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right="479" w:hanging="330"/>
        <w:spacing w:after="0" w:line="216"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3"/>
          <w:szCs w:val="13"/>
          <w:color w:val="auto"/>
        </w:rPr>
        <w:t>The Ocean Transportation segment includes $56.3 million, $26.3 million, $20.8 million, $36.8 million and $28.2 million of equity in income from the Company’s investment in SSAT for 2021, 2020, 2019, 2018 and 2017, respectively.</w:t>
      </w:r>
    </w:p>
    <w:p>
      <w:pPr>
        <w:jc w:val="both"/>
        <w:ind w:left="380" w:right="99" w:hanging="330"/>
        <w:spacing w:after="0" w:line="219"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3"/>
          <w:szCs w:val="13"/>
          <w:color w:val="auto"/>
        </w:rPr>
        <w:t>Income taxes for the years ended December 31, 2019, 2018 and 2017 include a non-cash income tax (expense)/benefit of $2.9 million, $(2.9) million and $154.0 million, respectively, related to the remeasurement of the Company’s deferred assets and liabilities and other discrete adjustments as a result of applying the Tax Cut and Jobs Act of 2017.</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FOURTH QUARTER 2021 DISCUSSION AND UPDATE ON BUSINESS CONDITIONS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The Company’s container volume in the Hawaii service in the fourth quarter 2021 was</w:t>
      </w:r>
    </w:p>
    <w:p>
      <w:pPr>
        <w:spacing w:after="0" w:line="23" w:lineRule="exact"/>
        <w:rPr>
          <w:sz w:val="20"/>
          <w:szCs w:val="20"/>
          <w:color w:val="auto"/>
        </w:rPr>
      </w:pPr>
    </w:p>
    <w:p>
      <w:pPr>
        <w:ind w:left="60" w:right="139"/>
        <w:spacing w:after="0" w:line="251" w:lineRule="auto"/>
        <w:rPr>
          <w:sz w:val="20"/>
          <w:szCs w:val="20"/>
          <w:color w:val="auto"/>
        </w:rPr>
      </w:pPr>
      <w:r>
        <w:rPr>
          <w:rFonts w:ascii="Arial" w:cs="Arial" w:eastAsia="Arial" w:hAnsi="Arial"/>
          <w:sz w:val="18"/>
          <w:szCs w:val="18"/>
          <w:color w:val="auto"/>
        </w:rPr>
        <w:t>10.4 percent higher year-over-year. The increase was primarily due to (i) higher retail- and hospitality-related demand due to the continued rebound in tourism and the Hawaii economy and (ii) the benefit of an extra week, compared to the pandemic-reduced volume in the year ago period. Volume in the fourth quarter 2020 was negatively impacted by the state’s COVID-19 mitigation efforts, including restrictions on tourism. Tourism and the Hawaii economy continued to rebound in the fourth quarter 2021 despite a softening in airline passenger traffic early in the quarter due to the state’s efforts to address the spread of the COVID-19 Delta variant. In the near-term, we are cautiously optimistic on further economic recovery in Hawaii primarily due to improvement in the unemployment rate and increasing tourism traffic, including international visitors later in the year, but incremental waves of COVID-19 variants present the possibility of further economic slowdowns.</w:t>
      </w:r>
    </w:p>
    <w:p>
      <w:pPr>
        <w:spacing w:after="0" w:line="197"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In China, the Company’s container volume in the fourth quarter 2021 increased 32.7 percent year-over-year. The increase was primarily due to volume from the China-California Express (“CCX”) service and the benefit of an extra week. The total number of eastbound voyages in the China service, including the impact of an extra week, increased by nine year-over-year, of which eight were CCX voyages and one was a CLX voyage. Volume demand in the quarter was driven by e-commerce, garments and other goods. Matson continued to realize a significant rate premium over the Shanghai Containerized Freight Index in the fourth quarter 2021 and achieved average freight rates that were considerably higher than in the year ago period. Supply chain congestion remains the current issue in the Transpacific tradelane due to ongoing elevated consumption trends, U.S. domestic supply chain constraints, and inventory restocking. For 2022, we expect these conditions to remain largely in place through at least the October peak season and expect elevated demand for our China service for most of the year.</w:t>
      </w:r>
    </w:p>
    <w:p>
      <w:pPr>
        <w:spacing w:after="0" w:line="185" w:lineRule="exact"/>
        <w:rPr>
          <w:sz w:val="20"/>
          <w:szCs w:val="20"/>
          <w:color w:val="auto"/>
        </w:rPr>
      </w:pPr>
    </w:p>
    <w:p>
      <w:pPr>
        <w:jc w:val="both"/>
        <w:ind w:left="60" w:right="119"/>
        <w:spacing w:after="0" w:line="311" w:lineRule="auto"/>
        <w:rPr>
          <w:sz w:val="20"/>
          <w:szCs w:val="20"/>
          <w:color w:val="auto"/>
        </w:rPr>
      </w:pPr>
      <w:r>
        <w:rPr>
          <w:rFonts w:ascii="Arial" w:cs="Arial" w:eastAsia="Arial" w:hAnsi="Arial"/>
          <w:sz w:val="16"/>
          <w:szCs w:val="16"/>
          <w:color w:val="auto"/>
        </w:rPr>
        <w:t>In Guam, the Company’s container volume in the fourth quarter 2021 increased 14.0 percent year-over-year primarily due to higher retail-related demand compared to the pandemic-reduced volume in the year ago period. In the near-term, we are cautiously optimistic on further economic growth in Guam as tourism traffic improves as the year progresses.</w:t>
      </w:r>
    </w:p>
    <w:p>
      <w:pPr>
        <w:spacing w:after="0" w:line="149"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In Alaska, the Company’s container volume for the fourth quarter 2021 increased 10.2 percent year-over-year primarily due to (i) the increase in volume from the Alaska-Asia Express (“AAX”), (ii) the benefit of an extra week, and (iii) higher southbound volume. In the near-term, we expect improving economic trends in Alaska, but the recovery’s trajectory continues to remain uncertain.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contribution in the fourth quarter 2021 from the Company’s SSAT joint venture investment was $21.3 million, or</w:t>
      </w:r>
    </w:p>
    <w:p>
      <w:pPr>
        <w:spacing w:after="0" w:line="35"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color w:val="auto"/>
        </w:rPr>
        <w:t>$10.4 million higher than the fourth quarter 2020. The increase was primarily driven by higher other terminal revenue and higher revenue per lift.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In the fourth quarter 2021, operating income for the Company’s Logistics segment was $14.8 million, or</w:t>
      </w:r>
    </w:p>
    <w:p>
      <w:pPr>
        <w:spacing w:after="0" w:line="35" w:lineRule="exact"/>
        <w:rPr>
          <w:sz w:val="20"/>
          <w:szCs w:val="20"/>
          <w:color w:val="auto"/>
        </w:rPr>
      </w:pPr>
    </w:p>
    <w:p>
      <w:pPr>
        <w:ind w:left="60" w:right="319"/>
        <w:spacing w:after="0" w:line="277" w:lineRule="auto"/>
        <w:rPr>
          <w:sz w:val="20"/>
          <w:szCs w:val="20"/>
          <w:color w:val="auto"/>
        </w:rPr>
      </w:pPr>
      <w:r>
        <w:rPr>
          <w:rFonts w:ascii="Arial" w:cs="Arial" w:eastAsia="Arial" w:hAnsi="Arial"/>
          <w:sz w:val="17"/>
          <w:szCs w:val="17"/>
          <w:color w:val="auto"/>
        </w:rPr>
        <w:t>$5.2 million higher compared to the level achieved in the fourth quarter 2020. The increase was due primarily to higher contributions from supply chain management and transportation brokerage as a result of elevated goods consumption, inventory restocking and favorable supply and demand fundamentals in our core markets.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0" w:right="319"/>
        <w:spacing w:after="0" w:line="308" w:lineRule="auto"/>
        <w:rPr>
          <w:sz w:val="20"/>
          <w:szCs w:val="20"/>
          <w:color w:val="auto"/>
        </w:rPr>
      </w:pPr>
      <w:r>
        <w:rPr>
          <w:rFonts w:ascii="Arial" w:cs="Arial" w:eastAsia="Arial" w:hAnsi="Arial"/>
          <w:sz w:val="17"/>
          <w:szCs w:val="17"/>
          <w:color w:val="auto"/>
        </w:rPr>
        <w:t>The following analysis of the financial results of operations of Matson for the years ended December 31, 2021 and 2020 should be read in conjunction with the Consolidated Financial Statements in Item 8 of Part II below.</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2021 compared with 2020:</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w w:val="85"/>
              </w:rPr>
              <w:t>Change</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1,542.0</w:t>
            </w: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(2,737.8)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(2,103.0)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(634.8)</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30.2 %</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323.7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(17.5)%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1,171.3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912.3</w:t>
            </w: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0"/>
              </w:rPr>
              <w:t>352.2 %</w:t>
            </w:r>
          </w:p>
        </w:tc>
        <w:tc>
          <w:tcPr>
            <w:tcW w:w="0" w:type="dxa"/>
            <w:vAlign w:val="bottom"/>
          </w:tcPr>
          <w:p>
            <w:pPr>
              <w:spacing w:after="0"/>
              <w:rPr>
                <w:sz w:val="1"/>
                <w:szCs w:val="1"/>
                <w:color w:val="auto"/>
              </w:rPr>
            </w:pPr>
          </w:p>
        </w:tc>
      </w:tr>
      <w:tr>
        <w:trPr>
          <w:trHeight w:val="432"/>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220" w:type="dxa"/>
            <w:vAlign w:val="bottom"/>
            <w:tcBorders>
              <w:right w:val="single" w:sz="8" w:color="CCEEFF"/>
            </w:tcBorders>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270.1 %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927.4</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193.1</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734.3</w:t>
            </w: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0"/>
              </w:rPr>
              <w:t>380.3 %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20" w:type="dxa"/>
            <w:vAlign w:val="bottom"/>
            <w:tcBorders>
              <w:right w:val="single" w:sz="8" w:color="CCEEFF"/>
            </w:tcBorders>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383.7 %</w:t>
            </w: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17.03</w:t>
            </w: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0"/>
              </w:rPr>
              <w:t>383.6 %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Fiscal years ended December 31, 2021 and 2020 include 53 and 52 weeks, respectively.</w:t>
      </w:r>
    </w:p>
    <w:p>
      <w:pPr>
        <w:spacing w:after="0" w:line="158"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i w:val="1"/>
          <w:iCs w:val="1"/>
          <w:color w:val="auto"/>
        </w:rPr>
        <w:t xml:space="preserve">Consolidated Operating Revenue </w:t>
      </w:r>
      <w:r>
        <w:rPr>
          <w:rFonts w:ascii="Arial" w:cs="Arial" w:eastAsia="Arial" w:hAnsi="Arial"/>
          <w:sz w:val="18"/>
          <w:szCs w:val="18"/>
          <w:color w:val="auto"/>
        </w:rPr>
        <w:t>for the year ended December 31, 2021 increased $1,542.0 million, or 64.7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The increase was due to an increase in Ocean Transportation revenue of $1,278.9 million and an increase in Logistics revenue of $263.1 million.</w:t>
      </w:r>
    </w:p>
    <w:p>
      <w:pPr>
        <w:spacing w:after="0" w:line="116"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i w:val="1"/>
          <w:iCs w:val="1"/>
          <w:color w:val="auto"/>
        </w:rPr>
        <w:t xml:space="preserve">Operating Costs and Expenses </w:t>
      </w:r>
      <w:r>
        <w:rPr>
          <w:rFonts w:ascii="Arial" w:cs="Arial" w:eastAsia="Arial" w:hAnsi="Arial"/>
          <w:sz w:val="17"/>
          <w:szCs w:val="17"/>
          <w:color w:val="auto"/>
        </w:rPr>
        <w:t>for the year ended December 31, 2021 increased $634.8 million, or 30.2 percent,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prior year. The increase was due to an increase in Ocean Transportation operating costs and expenses of $386.0 million and an increase in Logistics operating costs and expenses of $248.8 million.</w:t>
      </w:r>
    </w:p>
    <w:p>
      <w:pPr>
        <w:spacing w:after="0" w:line="98"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for the year ended December 31, 2021 increased $907.2 million, or 323.7 percent,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increase was due to an increase in Ocean Transportation operating income of $892.9 million and an increase in Logistics operating income of $14.3 million.</w:t>
      </w:r>
    </w:p>
    <w:p>
      <w:pPr>
        <w:spacing w:after="0" w:line="11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reasons for changes in operating revenue, operating costs and expenses, and operating income are described below, by business segment, in the Analysis of Operating Revenue and Income by Segment.</w:t>
      </w:r>
    </w:p>
    <w:p>
      <w:pPr>
        <w:spacing w:after="0" w:line="103"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was $22.6 million for the year ended December 31, 2021, compared to $27.4 million in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interest expense was due to lower outstanding debt during the year ended December 31, 2021, compared to the prior year.</w:t>
      </w:r>
    </w:p>
    <w:p>
      <w:pPr>
        <w:spacing w:after="0" w:line="116"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was $6.4 million for the year ended December 31, 2021, compared to $6.1 million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and relates to the amortization of certain components of net periodic benefit costs or gains related to the Company’s pension and post-retirement plans, and interest income received from income tax refunds. The increase in Other income (expense) was due to favorable adjustments reflected in the Company’s pension and post-retirement plan liabilities during the year ended December 31, 2021.</w:t>
      </w:r>
    </w:p>
    <w:p>
      <w:pPr>
        <w:spacing w:after="0" w:line="120"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for the year ended December 31, 2021 were $243.9 million, or 20.8 percent of income before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$65.9 million, or 25.4 percent of income before income taxes in the prior year. The 2021 income tax rate benefited from a 2.5 percent deduction related to foreign-derived intangible income (“FDII”) under Section 250 of the Internal Revenue Code. The Company benefits from a FDII deduction as it relates to a U.S. corporation that generates income from services provided to foreign countries. The 2021 income tax rate also benefited from other discrete adjustments that lowered the effective tax rate in the current year.</w:t>
      </w:r>
    </w:p>
    <w:p>
      <w:pPr>
        <w:spacing w:after="0" w:line="110"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during the year ended December 31, 2021 increased $734.3 million, or 380.3 percent,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w:t>
      </w:r>
    </w:p>
    <w:p>
      <w:pPr>
        <w:sectPr>
          <w:pgSz w:w="11900" w:h="16838" w:orient="portrait"/>
          <w:cols w:equalWidth="0" w:num="1">
            <w:col w:w="9019"/>
          </w:cols>
          <w:pgMar w:left="1440" w:top="517" w:right="1440" w:bottom="10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02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148"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The following analysis of operating revenue and income by segment for the years ended December 31, 2021 and 2020 should be read in conjunction with the Company’s reportable segments information included in Note 3 to the Consolidated Financial Statements in Item 8 of Part II.</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Ocean Transportation: 2021 compared with 2020:</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1,853.9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1,278.9</w:t>
            </w: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(1,995.1)</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(1,609.1)</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(386.0)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364.7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36.3 %</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w w:val="98"/>
              </w:rPr>
              <w:t>Volume (Forty-foot equivalent units (FEU), except for automobiles) (1)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16"/>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46,600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16"/>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184,800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118,900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65,900</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55.4 %</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Ocean Transportation revenue increased $1,278.9 million, or 69.0 percent, during the year ended December 31, 2021, compared with the year ended December 31, 2020. The increase was primarily due to higher revenue in China and Hawaii, higher fuel-related surcharge revenue, and higher revenue in Alaska. The higher revenue in China was primarily due to considerably higher average freight rates and higher volume. The higher revenue in Hawaii and Alaska was primarily the result of higher volume.</w:t>
      </w:r>
    </w:p>
    <w:p>
      <w:pPr>
        <w:spacing w:after="0" w:line="188"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On a year-over-year FEU basis, Hawaii container volume increased 8.2 percent primarily due to (a) higher retail and hospitality-related demand due to the reopening of the Hawaii economy compared to the negatively impacted volume in the year ago period as a result of the pandemic and the state’s COVID-19 mitigation efforts and (b) the benefit of an extra week, partially offset by volume associated with the dry-docking of a competitor’s vessel in the second quarter of last year; Alaska volume increased by 7.7 percent due to (i) the increase in volume from the AAX, (ii) higher northbound volume primarily due to higher retail-related demand compared to the negatively impacted volume in the year ago period as a result of the pandemic and the state’s COVID-19 mitigation efforts, (iii) higher southbound volume, and (iv) the benefit of an extra week; China volume was 55.4 percent higher primarily due to (A) incremental volume from the CLX+ service, (B) the addition of volume from the CCX service, (C) higher volume on the CLX service as a result of increased capacity in the tradelane, and (D) the benefit of an extra week; Guam volume was 15.9 percent higher primarily due to higher retail-related demand compared to the negatively impacted volume in the year ago period as a result of the pandemic and the island’s COVID-19 mitigation measures; and Other container volume increased 15.4 percent primarily due to higher volume in Okinawa and the addition of China-Auckland Express volume in the South Pacific.</w:t>
      </w:r>
    </w:p>
    <w:p>
      <w:pPr>
        <w:spacing w:after="0" w:line="174"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Ocean Transportation operating income increased $892.9 million during the year ended December 31, 2021, compared with the year ended December 31, 2020. The increase was primarily due to considerably higher average freight rates and higher volume in China, partially offset by higher operating costs and expenses primarily due to the CLX+ and CCX services.</w:t>
      </w:r>
    </w:p>
    <w:p>
      <w:pPr>
        <w:spacing w:after="0" w:line="187"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The Company’s SSAT terminal joint venture investment contributed $56.3 million during the year ended December 31, 2021, compared to a contribution of $26.3 million during the year ended December 31, 2020. The increase was primarily driven by higher lift volume and higher other terminal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Logistics: 2021 compared with 2020:</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9"/>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49.7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(742.7)</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(493.9)</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(248.8)</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9"/>
              </w:rPr>
              <w:t>50.4 %</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40.3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Logistics revenue increased $263.1 million, or 49.7 percent, during the year ended December 31, 2021, compared with the year ended December 31, 2020. The increase was primarily due to higher transportation brokerage and supply chain management revenue.</w:t>
      </w:r>
    </w:p>
    <w:p>
      <w:pPr>
        <w:spacing w:after="0" w:line="184"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Logistics operating income increased $14.3 million, or 40.3 percent, for the year ended December 31, 2021, compared with the year ended December 31, 2020. The increase was due primarily to higher contributions from supply chain management, transportation brokerage and freight forwarding.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Sources of liquidity available to the Company at December 31, 2021 compared to December 31, 2020, were as follows:</w:t>
      </w:r>
    </w:p>
    <w:p>
      <w:pPr>
        <w:spacing w:after="0" w:line="244" w:lineRule="exact"/>
        <w:rPr>
          <w:sz w:val="20"/>
          <w:szCs w:val="20"/>
          <w:color w:val="auto"/>
        </w:rPr>
      </w:pPr>
    </w:p>
    <w:p>
      <w:pPr>
        <w:ind w:left="60" w:right="279"/>
        <w:spacing w:after="0" w:line="282" w:lineRule="auto"/>
        <w:rPr>
          <w:sz w:val="20"/>
          <w:szCs w:val="20"/>
          <w:color w:val="auto"/>
        </w:rPr>
      </w:pPr>
      <w:r>
        <w:rPr>
          <w:rFonts w:ascii="Arial" w:cs="Arial" w:eastAsia="Arial" w:hAnsi="Arial"/>
          <w:sz w:val="18"/>
          <w:szCs w:val="18"/>
          <w:b w:val="1"/>
          <w:bCs w:val="1"/>
          <w:i w:val="1"/>
          <w:iCs w:val="1"/>
          <w:color w:val="auto"/>
        </w:rPr>
        <w:t>Cash and Cash Equivalents, Restricted Cash and Accounts Receivable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cash equivalents, restricted cash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receivable, net, as of December 31, 2021 and 2020 were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282.4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 (1)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Eligible accounts receivable of $9.8 million and $1.7 million at December 31, 2021 and 2020, respectively, were assigned to the CCF.</w:t>
      </w:r>
    </w:p>
    <w:p>
      <w:pPr>
        <w:spacing w:after="0" w:line="208" w:lineRule="exact"/>
        <w:rPr>
          <w:sz w:val="20"/>
          <w:szCs w:val="20"/>
          <w:color w:val="auto"/>
        </w:rPr>
      </w:pPr>
    </w:p>
    <w:p>
      <w:pPr>
        <w:ind w:left="60" w:right="379"/>
        <w:spacing w:after="0" w:line="258" w:lineRule="auto"/>
        <w:rPr>
          <w:sz w:val="20"/>
          <w:szCs w:val="20"/>
          <w:color w:val="auto"/>
        </w:rPr>
      </w:pPr>
      <w:r>
        <w:rPr>
          <w:rFonts w:ascii="Arial" w:cs="Arial" w:eastAsia="Arial" w:hAnsi="Arial"/>
          <w:sz w:val="18"/>
          <w:szCs w:val="18"/>
          <w:color w:val="auto"/>
        </w:rPr>
        <w:t>Changes in the Company’s cash, cash equivalents and restricted cash for the years ended December 31, 2021, 2020 and 2019 were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w w:val="90"/>
              </w:rPr>
              <w:t>As of December 31,</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5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right"/>
              <w:ind w:right="395"/>
              <w:spacing w:after="0" w:line="142" w:lineRule="exact"/>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2021-2020</w:t>
            </w:r>
          </w:p>
        </w:tc>
        <w:tc>
          <w:tcPr>
            <w:tcW w:w="14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2020-2019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248.8</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554.3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 (2)</w:t>
            </w: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(323.4)</w:t>
            </w: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(177.0)</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(306.9)</w:t>
            </w:r>
          </w:p>
        </w:tc>
        <w:tc>
          <w:tcPr>
            <w:tcW w:w="14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w w:val="89"/>
              </w:rPr>
              <w:t>(146.4)</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 (3)</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(392.7)</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(261.5)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(131.2)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(323.5)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120" w:type="dxa"/>
            <w:vAlign w:val="bottom"/>
            <w:gridSpan w:val="2"/>
          </w:tcPr>
          <w:p>
            <w:pPr>
              <w:ind w:left="20"/>
              <w:spacing w:after="0"/>
              <w:rPr>
                <w:sz w:val="20"/>
                <w:szCs w:val="20"/>
                <w:color w:val="auto"/>
              </w:rPr>
            </w:pPr>
            <w:r>
              <w:rPr>
                <w:rFonts w:ascii="Arial" w:cs="Arial" w:eastAsia="Arial" w:hAnsi="Arial"/>
                <w:sz w:val="17"/>
                <w:szCs w:val="17"/>
                <w:color w:val="auto"/>
                <w:w w:val="96"/>
              </w:rPr>
              <w:t>Net increase (decrease) in cash, cash equivalents and restricted cash</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268.0</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276.7</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the period</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Cash, cash equivalents and restricted cash, 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287.7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268.0</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279" w:hanging="330"/>
        <w:spacing w:after="0" w:line="258"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Changes in Net Cash Provided by Operating Activities: </w:t>
      </w:r>
      <w:r>
        <w:rPr>
          <w:rFonts w:ascii="Arial" w:cs="Arial" w:eastAsia="Arial" w:hAnsi="Arial"/>
          <w:sz w:val="18"/>
          <w:szCs w:val="18"/>
          <w:color w:val="auto"/>
        </w:rPr>
        <w:t>Changes in net cash provided by operating activities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2021, 2020 and 2019 were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100" w:type="dxa"/>
            <w:vAlign w:val="bottom"/>
            <w:gridSpan w:val="2"/>
            <w:vMerge w:val="continue"/>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2020-2019</w:t>
            </w:r>
          </w:p>
        </w:tc>
        <w:tc>
          <w:tcPr>
            <w:tcW w:w="0" w:type="dxa"/>
            <w:vAlign w:val="bottom"/>
          </w:tcPr>
          <w:p>
            <w:pPr>
              <w:spacing w:after="0"/>
              <w:rPr>
                <w:sz w:val="1"/>
                <w:szCs w:val="1"/>
                <w:color w:val="auto"/>
              </w:rPr>
            </w:pPr>
          </w:p>
        </w:tc>
      </w:tr>
      <w:tr>
        <w:trPr>
          <w:trHeight w:val="209"/>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Amortization of operating lease right of use assets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Non-cash deferred income taxes</w:t>
            </w: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non-cash related changes, net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Income and distributions from SSAT, net</w:t>
            </w: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accruals and other liabilities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dry-docking payments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Deferred dry-docking amortization</w:t>
            </w: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Income from SSAT was $56.3 million for the year ended December 31, 2021, compared to $26.3 million in the prior year. The increase in income from SSAT was primarily due to higher operating profits generated by SSAT during the year ended December 31, 2021, compared to the prior year. Cash distributions from SSAT were $46.9 million for the year ended December 31, 2021, compared to $55.4 million in the prior year. Cash distributions from SSAT are dependent on the level of cash available for distribution after operational and capital needs of SSAT. Changes in accounts receivable were primarily due to increased levels of revenue and the timing of collections associated with those receivables. Changes in prepaid expenses and other assets were primarily due to increased prepaid fuel and other operating related costs, primarily due to increased levels of operations, and prepaid income taxes primarily due to increased levels of earnings for the year ended December 31, 2021, compared to the prior year. Changes in accounts payable, accruals and other liabilities were primarily due to the increased level of operating costs and the timing of payments associated with those liabilities. Changes in operating lease liabilities were primarily due to new operating lease additions partially offset by operating lease terminations during the year ended December 31, 2021. Deferred dry-docking payments were $36.3 million for the year ended December 31, 2021, compared to $16.8 million in the prior year. The increase in deferred dry-docking payments was due to an increase in vessel dry-dock related activities during the year ended December 31, 2021, compared to the prior year.</w:t>
      </w:r>
    </w:p>
    <w:p>
      <w:pPr>
        <w:spacing w:after="0" w:line="182" w:lineRule="exact"/>
        <w:rPr>
          <w:sz w:val="20"/>
          <w:szCs w:val="20"/>
          <w:color w:val="auto"/>
        </w:rPr>
      </w:pPr>
    </w:p>
    <w:p>
      <w:pPr>
        <w:ind w:left="380" w:right="139" w:hanging="330"/>
        <w:spacing w:after="0" w:line="258"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Changes in Net Cash Used in Investing Activities: </w:t>
      </w:r>
      <w:r>
        <w:rPr>
          <w:rFonts w:ascii="Arial" w:cs="Arial" w:eastAsia="Arial" w:hAnsi="Arial"/>
          <w:sz w:val="18"/>
          <w:szCs w:val="18"/>
          <w:color w:val="auto"/>
        </w:rPr>
        <w:t>Changes in net cash used in investing activities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2020 and 2019 were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gridSpan w:val="2"/>
            <w:vMerge w:val="continue"/>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2021-2020</w:t>
            </w:r>
          </w:p>
        </w:tc>
        <w:tc>
          <w:tcPr>
            <w:tcW w:w="14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2020-2019</w:t>
            </w:r>
          </w:p>
        </w:tc>
        <w:tc>
          <w:tcPr>
            <w:tcW w:w="0" w:type="dxa"/>
            <w:vAlign w:val="bottom"/>
          </w:tcPr>
          <w:p>
            <w:pPr>
              <w:spacing w:after="0"/>
              <w:rPr>
                <w:sz w:val="1"/>
                <w:szCs w:val="1"/>
                <w:color w:val="auto"/>
              </w:rPr>
            </w:pPr>
          </w:p>
        </w:tc>
      </w:tr>
      <w:tr>
        <w:trPr>
          <w:trHeight w:val="210"/>
        </w:trPr>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deposits into CCF</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Withdrawals from CCF</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capital expenditures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(205.9)</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Capitalized vessel construction expenditures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disposal of property and equipment,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9"/>
        </w:trPr>
        <w:tc>
          <w:tcPr>
            <w:tcW w:w="72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r>
              <w:rPr>
                <w:rFonts w:ascii="Arial" w:cs="Arial" w:eastAsia="Arial" w:hAnsi="Arial"/>
                <w:sz w:val="18"/>
                <w:szCs w:val="18"/>
                <w:u w:val="single" w:color="auto"/>
                <w:color w:val="auto"/>
              </w:rPr>
              <w:t>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color w:val="auto"/>
        </w:rPr>
        <w:t xml:space="preserve">Capitalized vessel construction expenditures was $14.9 million for the year ended December 31, 2021, compared to $87.8 million in the prior year. The decrease in capitalized vessel construction expenditures (including cash deposited into the CCF less cash withdrawals from the CCF which are used for vessel construction related payments) was due to the completion of the Company’s fleet renewal program in 2020. Capitalized vessel construction expenditures incurred in 2021 related to the construction of a new flat-deck barge. Other capital expenditures (excluding capitalized vessel construction expenditures) was $310.4 million for the year ended December 31, 2021, compared to $104.5 million for the prior year. During the year ended December 31, 2021, the Company increased its purchases of containers, chassis and other terminal equipment, as compared to the prior year period, primarily driven by the increased level of operating activities. The increase in other capital expenditures was also due to the repurchase of </w:t>
      </w:r>
      <w:r>
        <w:rPr>
          <w:rFonts w:ascii="Arial" w:cs="Arial" w:eastAsia="Arial" w:hAnsi="Arial"/>
          <w:sz w:val="16"/>
          <w:szCs w:val="16"/>
          <w:i w:val="1"/>
          <w:iCs w:val="1"/>
          <w:color w:val="auto"/>
        </w:rPr>
        <w:t>Maunalei</w:t>
      </w:r>
      <w:r>
        <w:rPr>
          <w:rFonts w:ascii="Arial" w:cs="Arial" w:eastAsia="Arial" w:hAnsi="Arial"/>
          <w:sz w:val="16"/>
          <w:szCs w:val="16"/>
          <w:color w:val="auto"/>
        </w:rPr>
        <w:t xml:space="preserve"> for $95.8 million, repurchase of other leased equipment, installation of scrubbers on certain vessels, and the timing of certain capital project activities during 2021 as compared to 2020. The decrease in proceeds from the disposal of property and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equipment was primarily due to the sale and leaseback of chassis and container equipment for net proceeds of</w:t>
      </w:r>
    </w:p>
    <w:p>
      <w:pPr>
        <w:spacing w:after="0" w:line="23" w:lineRule="exact"/>
        <w:rPr>
          <w:sz w:val="20"/>
          <w:szCs w:val="20"/>
          <w:color w:val="auto"/>
        </w:rPr>
      </w:pPr>
    </w:p>
    <w:p>
      <w:pPr>
        <w:ind w:left="60" w:right="339"/>
        <w:spacing w:after="0" w:line="260" w:lineRule="auto"/>
        <w:rPr>
          <w:sz w:val="20"/>
          <w:szCs w:val="20"/>
          <w:color w:val="auto"/>
        </w:rPr>
      </w:pPr>
      <w:r>
        <w:rPr>
          <w:rFonts w:ascii="Arial" w:cs="Arial" w:eastAsia="Arial" w:hAnsi="Arial"/>
          <w:sz w:val="18"/>
          <w:szCs w:val="18"/>
          <w:color w:val="auto"/>
        </w:rPr>
        <w:t>$14.3 million during the year ended December 31, 2020. There were no sale and leaseback transactions during the year ended December 31, 2021.</w:t>
      </w:r>
    </w:p>
    <w:p>
      <w:pPr>
        <w:spacing w:after="0" w:line="185" w:lineRule="exact"/>
        <w:rPr>
          <w:sz w:val="20"/>
          <w:szCs w:val="20"/>
          <w:color w:val="auto"/>
        </w:rPr>
      </w:pPr>
    </w:p>
    <w:p>
      <w:pPr>
        <w:ind w:left="380" w:right="99" w:hanging="330"/>
        <w:spacing w:after="0" w:line="258"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Changes in Net Cash (Used in) Provided by Financing Activities: </w:t>
      </w:r>
      <w:r>
        <w:rPr>
          <w:rFonts w:ascii="Arial" w:cs="Arial" w:eastAsia="Arial" w:hAnsi="Arial"/>
          <w:sz w:val="18"/>
          <w:szCs w:val="18"/>
          <w:color w:val="auto"/>
        </w:rPr>
        <w:t>Changes in net cash (used in) provided by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for the years ended December 31, 2021, 2020 and 2019 were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2021-2020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2"/>
              </w:rPr>
              <w:t>2020-2019</w:t>
            </w:r>
          </w:p>
        </w:tc>
        <w:tc>
          <w:tcPr>
            <w:tcW w:w="0" w:type="dxa"/>
            <w:vAlign w:val="bottom"/>
          </w:tcPr>
          <w:p>
            <w:pPr>
              <w:spacing w:after="0"/>
              <w:rPr>
                <w:sz w:val="1"/>
                <w:szCs w:val="1"/>
                <w:color w:val="auto"/>
              </w:rPr>
            </w:pPr>
          </w:p>
        </w:tc>
      </w:tr>
      <w:tr>
        <w:trPr>
          <w:trHeight w:val="209"/>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received from issuance of fixed interest debt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16"/>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Repayments of fixed interest debt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Repayments and borrowings under revolving credit facility, net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16"/>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Repurchase of Matson common stock</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(198.3)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 of financing costs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Tax withholding related to net share settlements of restricted stock units</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Change in other payments, net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r>
              <w:rPr>
                <w:rFonts w:ascii="Arial" w:cs="Arial" w:eastAsia="Arial" w:hAnsi="Arial"/>
                <w:sz w:val="18"/>
                <w:szCs w:val="18"/>
                <w:u w:val="single" w:color="auto"/>
                <w:color w:val="auto"/>
              </w:rPr>
              <w:t>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During the year ended December 31, 2020, the Company received $325.5 million of proceeds from two new Title XI debt issuances. No new debt was issued during the year ended December 31, 2021. During the year ended December 31, 2021, the Company paid $59.3 million of scheduled principal payments, compared to $47.0 million of scheduled principal payments paid during the prior year. The Company prepaid $169.5 million of private debt at par in the year ended December 31, 2020. There was no prepayment of debt during 2021. Net repayments of the Company’s revolving credit facility totaled $71.8 million for the year ended December 31, 2021, compared to $307.3 million in the prior year. Net repayments of Company’s revolving credit facility were driven by increased cash generated by the Company’s operating activities. The Company’s revolving credit facility was fully repaid during the year ended December 31, 2021. The Company paid $3.0 million in financing costs related to amendments of its debt facilities during the year ended December 31, 2021, compared to $18.5 million in financing costs primarily related to the Title XI debt issuance in the prior year. The Company paid $198.3 million to repurchase common stock during the year ended December 31, 2021. No stock was repurchased in the prior year.</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December 31, 2021 and 2020 is as follows: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Fixed interest debt</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629.0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688.3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629.0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760.1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Total debt decreased by $131.1 million during the year ended December 31, 2021 compared to the prior year, and was fully repaid as of December 31, 2021. The decrease in the Company’s revolving credit facility was primarily due to increased cash generated by the Company’s operating activities. The decrease in fixed interest debt was due to scheduled debt payments made during the year ended December 31, 2021.</w:t>
      </w:r>
    </w:p>
    <w:p>
      <w:pPr>
        <w:spacing w:after="0" w:line="187" w:lineRule="exact"/>
        <w:rPr>
          <w:sz w:val="20"/>
          <w:szCs w:val="20"/>
          <w:color w:val="auto"/>
        </w:rPr>
      </w:pPr>
    </w:p>
    <w:p>
      <w:pPr>
        <w:jc w:val="both"/>
        <w:ind w:left="60" w:right="279"/>
        <w:spacing w:after="0" w:line="311" w:lineRule="auto"/>
        <w:rPr>
          <w:sz w:val="20"/>
          <w:szCs w:val="20"/>
          <w:color w:val="auto"/>
        </w:rPr>
      </w:pPr>
      <w:r>
        <w:rPr>
          <w:rFonts w:ascii="Arial" w:cs="Arial" w:eastAsia="Arial" w:hAnsi="Arial"/>
          <w:sz w:val="16"/>
          <w:szCs w:val="16"/>
          <w:color w:val="auto"/>
        </w:rPr>
        <w:t>As of December 31, 2021, the Company had $642.0 million of unused capacity under the revolving credit facility, which matures on March 31, 2026. The leverage ratio under the debt agreements as of December 31, 2021 was approximately 0.5 times. The Company’s debt is described in Note 8 to the Consolidated Financial Statements in Item 8 of Part II.</w:t>
      </w:r>
    </w:p>
    <w:p>
      <w:pPr>
        <w:spacing w:after="0" w:line="149"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b w:val="1"/>
          <w:bCs w:val="1"/>
          <w:i w:val="1"/>
          <w:iCs w:val="1"/>
          <w:color w:val="auto"/>
        </w:rPr>
        <w:t xml:space="preserve">Working Capital: </w:t>
      </w:r>
      <w:r>
        <w:rPr>
          <w:rFonts w:ascii="Arial" w:cs="Arial" w:eastAsia="Arial" w:hAnsi="Arial"/>
          <w:sz w:val="17"/>
          <w:szCs w:val="17"/>
          <w:color w:val="auto"/>
        </w:rPr>
        <w:t>The Company had a working capital surplus of $92.1 million at December 31, 2021, compared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working capital deficiency of $205.6 million at December 31, 2020. Working capital is impacted by the use of cash to reduce the Company’s long-term revolving credit facility, capital expenditures, the amount and timing of collections associated with accounts receivable and other assets, and by the amount and timing of payments associated with accounts payable, accruals and other liabilities. The change in the Company’s working capital during the year ended December 31, 2021 was primarily due to increased cash provided by operating activities.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The Company expects to make the following capital expenditures during the years ending</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2022 and 2023:</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Expected Capital Expenditures (in millions)</w:t>
            </w:r>
          </w:p>
        </w:tc>
        <w:tc>
          <w:tcPr>
            <w:tcW w:w="8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2023</w:t>
            </w:r>
          </w:p>
        </w:tc>
      </w:tr>
      <w:tr>
        <w:trPr>
          <w:trHeight w:val="209"/>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Maintenance and other capital expenditures</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$90</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$75</w:t>
            </w:r>
          </w:p>
        </w:tc>
      </w:tr>
      <w:tr>
        <w:trPr>
          <w:trHeight w:val="216"/>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Equipment to support new Ocean Transportation tradelane services</w:t>
            </w: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480" w:type="dxa"/>
            <w:vAlign w:val="bottom"/>
          </w:tcPr>
          <w:p>
            <w:pPr>
              <w:ind w:left="20"/>
              <w:spacing w:after="0"/>
              <w:rPr>
                <w:sz w:val="20"/>
                <w:szCs w:val="20"/>
                <w:color w:val="auto"/>
              </w:rPr>
            </w:pPr>
            <w:r>
              <w:rPr>
                <w:rFonts w:ascii="Arial" w:cs="Arial" w:eastAsia="Arial" w:hAnsi="Arial"/>
                <w:sz w:val="18"/>
                <w:szCs w:val="18"/>
                <w:color w:val="auto"/>
              </w:rPr>
              <w:t>- $60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on new neighbor island flat-deck barge</w:t>
            </w:r>
          </w:p>
        </w:tc>
        <w:tc>
          <w:tcPr>
            <w:tcW w:w="8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$10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LNG installations on existing vessels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$20</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$65</w:t>
            </w:r>
          </w:p>
        </w:tc>
      </w:tr>
      <w:tr>
        <w:trPr>
          <w:trHeight w:val="209"/>
        </w:trPr>
        <w:tc>
          <w:tcPr>
            <w:tcW w:w="7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Estimated Capital Expenditures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160</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 xml:space="preserve">- </w:t>
            </w:r>
            <w:r>
              <w:rPr>
                <w:rFonts w:ascii="Arial" w:cs="Arial" w:eastAsia="Arial" w:hAnsi="Arial"/>
                <w:sz w:val="18"/>
                <w:szCs w:val="18"/>
                <w:u w:val="single" w:color="auto"/>
                <w:color w:val="auto"/>
                <w:w w:val="86"/>
              </w:rPr>
              <w:t>$</w:t>
            </w:r>
            <w:r>
              <w:rPr>
                <w:rFonts w:ascii="Arial" w:cs="Arial" w:eastAsia="Arial" w:hAnsi="Arial"/>
                <w:sz w:val="18"/>
                <w:szCs w:val="18"/>
                <w:color w:val="auto"/>
                <w:w w:val="86"/>
              </w:rPr>
              <w:t>180</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130</w:t>
            </w: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140</w:t>
            </w:r>
          </w:p>
        </w:tc>
      </w:tr>
      <w:tr>
        <w:trPr>
          <w:trHeight w:val="20"/>
        </w:trPr>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 xml:space="preserve">Maintenance and other capital expenditures includes amounts the Company expects to spend on the second phase of its program to modernize and renovate its terminal facility at Sand Island, Honolulu, Hawaii, repurchases of leased equipment, and annual equipment purchases to support the Company’s operations. LNG installations on existing vessels includes capital expenditure costs of approximately $35 million to install tanks, pipes and cryogenic equipment on </w:t>
      </w:r>
      <w:r>
        <w:rPr>
          <w:rFonts w:ascii="Arial" w:cs="Arial" w:eastAsia="Arial" w:hAnsi="Arial"/>
          <w:sz w:val="17"/>
          <w:szCs w:val="17"/>
          <w:i w:val="1"/>
          <w:iCs w:val="1"/>
          <w:color w:val="auto"/>
        </w:rPr>
        <w:t>Daniel 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Inouye, </w:t>
      </w:r>
      <w:r>
        <w:rPr>
          <w:rFonts w:ascii="Arial" w:cs="Arial" w:eastAsia="Arial" w:hAnsi="Arial"/>
          <w:sz w:val="17"/>
          <w:szCs w:val="17"/>
          <w:color w:val="auto"/>
        </w:rPr>
        <w:t>and approximately $60 million to re-engine</w:t>
      </w:r>
      <w:r>
        <w:rPr>
          <w:rFonts w:ascii="Arial" w:cs="Arial" w:eastAsia="Arial" w:hAnsi="Arial"/>
          <w:sz w:val="17"/>
          <w:szCs w:val="17"/>
          <w:i w:val="1"/>
          <w:iCs w:val="1"/>
          <w:color w:val="auto"/>
        </w:rPr>
        <w:t xml:space="preserve"> Manukai </w:t>
      </w:r>
      <w:r>
        <w:rPr>
          <w:rFonts w:ascii="Arial" w:cs="Arial" w:eastAsia="Arial" w:hAnsi="Arial"/>
          <w:sz w:val="17"/>
          <w:szCs w:val="17"/>
          <w:color w:val="auto"/>
        </w:rPr>
        <w:t>to operate on LNG and conventional fuels. The LNG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installation on </w:t>
      </w:r>
      <w:r>
        <w:rPr>
          <w:rFonts w:ascii="Arial" w:cs="Arial" w:eastAsia="Arial" w:hAnsi="Arial"/>
          <w:sz w:val="17"/>
          <w:szCs w:val="17"/>
          <w:i w:val="1"/>
          <w:iCs w:val="1"/>
          <w:color w:val="auto"/>
        </w:rPr>
        <w:t>Daniel K. Inouye</w:t>
      </w:r>
      <w:r>
        <w:rPr>
          <w:rFonts w:ascii="Arial" w:cs="Arial" w:eastAsia="Arial" w:hAnsi="Arial"/>
          <w:sz w:val="17"/>
          <w:szCs w:val="17"/>
          <w:color w:val="auto"/>
        </w:rPr>
        <w:t xml:space="preserve"> is expected to begin in the first quarter of 2023 and last approximately five months. The twelve-month project to re-engine </w:t>
      </w:r>
      <w:r>
        <w:rPr>
          <w:rFonts w:ascii="Arial" w:cs="Arial" w:eastAsia="Arial" w:hAnsi="Arial"/>
          <w:sz w:val="17"/>
          <w:szCs w:val="17"/>
          <w:i w:val="1"/>
          <w:iCs w:val="1"/>
          <w:color w:val="auto"/>
        </w:rPr>
        <w:t>Manukai</w:t>
      </w:r>
      <w:r>
        <w:rPr>
          <w:rFonts w:ascii="Arial" w:cs="Arial" w:eastAsia="Arial" w:hAnsi="Arial"/>
          <w:sz w:val="17"/>
          <w:szCs w:val="17"/>
          <w:color w:val="auto"/>
        </w:rPr>
        <w:t xml:space="preserve"> is expected to start after </w:t>
      </w:r>
      <w:r>
        <w:rPr>
          <w:rFonts w:ascii="Arial" w:cs="Arial" w:eastAsia="Arial" w:hAnsi="Arial"/>
          <w:sz w:val="17"/>
          <w:szCs w:val="17"/>
          <w:i w:val="1"/>
          <w:iCs w:val="1"/>
          <w:color w:val="auto"/>
        </w:rPr>
        <w:t>Daniel K. Inouye</w:t>
      </w:r>
      <w:r>
        <w:rPr>
          <w:rFonts w:ascii="Arial" w:cs="Arial" w:eastAsia="Arial" w:hAnsi="Arial"/>
          <w:sz w:val="17"/>
          <w:szCs w:val="17"/>
          <w:color w:val="auto"/>
        </w:rPr>
        <w:t xml:space="preserve"> exits the dry-dock. The Company expects to fund capital expenditure from cash flows generated by operating activities, cash and cash equivalents and available borrowings under its revolving line of credit. Capital expenditures for other projects may arise during the year in addition to the amounts presented in the table above.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The Company is also actively considering additional LNG installations on </w:t>
      </w:r>
      <w:r>
        <w:rPr>
          <w:rFonts w:ascii="Arial" w:cs="Arial" w:eastAsia="Arial" w:hAnsi="Arial"/>
          <w:sz w:val="17"/>
          <w:szCs w:val="17"/>
          <w:i w:val="1"/>
          <w:iCs w:val="1"/>
          <w:color w:val="auto"/>
        </w:rPr>
        <w:t>Kaimana Hila</w:t>
      </w:r>
      <w:r>
        <w:rPr>
          <w:rFonts w:ascii="Arial" w:cs="Arial" w:eastAsia="Arial" w:hAnsi="Arial"/>
          <w:sz w:val="17"/>
          <w:szCs w:val="17"/>
          <w:color w:val="auto"/>
        </w:rPr>
        <w:t>, at a cost of approximately</w:t>
      </w:r>
    </w:p>
    <w:p>
      <w:pPr>
        <w:spacing w:after="0" w:line="35" w:lineRule="exact"/>
        <w:rPr>
          <w:sz w:val="20"/>
          <w:szCs w:val="20"/>
          <w:color w:val="auto"/>
        </w:rPr>
      </w:pPr>
    </w:p>
    <w:p>
      <w:pPr>
        <w:jc w:val="both"/>
        <w:ind w:left="60" w:right="359"/>
        <w:spacing w:after="0" w:line="302" w:lineRule="auto"/>
        <w:rPr>
          <w:sz w:val="20"/>
          <w:szCs w:val="20"/>
          <w:color w:val="auto"/>
        </w:rPr>
      </w:pPr>
      <w:r>
        <w:rPr>
          <w:rFonts w:ascii="Arial" w:cs="Arial" w:eastAsia="Arial" w:hAnsi="Arial"/>
          <w:sz w:val="16"/>
          <w:szCs w:val="16"/>
          <w:color w:val="auto"/>
        </w:rPr>
        <w:t>$35 million, and on the two Kanaloa Class vessels (</w:t>
      </w:r>
      <w:r>
        <w:rPr>
          <w:rFonts w:ascii="Arial" w:cs="Arial" w:eastAsia="Arial" w:hAnsi="Arial"/>
          <w:sz w:val="16"/>
          <w:szCs w:val="16"/>
          <w:i w:val="1"/>
          <w:iCs w:val="1"/>
          <w:color w:val="auto"/>
        </w:rPr>
        <w:t>Lurline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Matsonia</w:t>
      </w:r>
      <w:r>
        <w:rPr>
          <w:rFonts w:ascii="Arial" w:cs="Arial" w:eastAsia="Arial" w:hAnsi="Arial"/>
          <w:sz w:val="16"/>
          <w:szCs w:val="16"/>
          <w:color w:val="auto"/>
        </w:rPr>
        <w:t>), at a cost of approximately $40 million each. The Company is also reviewing options for the replacement of three Jones Act qualifying vessels currently in use in the Alaska service for delivery later this decade. Costs related to these projects have not been included in the table above.</w:t>
      </w:r>
    </w:p>
    <w:p>
      <w:pPr>
        <w:spacing w:after="0" w:line="155"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b w:val="1"/>
          <w:bCs w:val="1"/>
          <w:i w:val="1"/>
          <w:iCs w:val="1"/>
          <w:color w:val="auto"/>
        </w:rPr>
        <w:t xml:space="preserve">Repurchase of Shares: </w:t>
      </w:r>
      <w:r>
        <w:rPr>
          <w:rFonts w:ascii="Arial" w:cs="Arial" w:eastAsia="Arial" w:hAnsi="Arial"/>
          <w:sz w:val="18"/>
          <w:szCs w:val="18"/>
          <w:color w:val="auto"/>
        </w:rPr>
        <w:t>During the year ended December 31, 2021, the Company repurchased approximately 2.5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for a total cost of $200.1 million. The maximum number of shares that may be purchased under the Company’s stock repurchase program was 515,797 shares at December 31, 2021. From January 1, 2022 through February 16, 2022, the Company repurchased approximately 0.3 million shares for a total cost of $30.5 million. On January 27, 2022, the Company’s Board of Directors approved the addition of three million shares to the Company’s existing share repurchase program.</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CONTINGENCIES AND OFF-BALANCE SHEET ARRANGEMENTS</w:t>
      </w:r>
    </w:p>
    <w:p>
      <w:pPr>
        <w:spacing w:after="0" w:line="229"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i w:val="1"/>
          <w:iCs w:val="1"/>
          <w:color w:val="auto"/>
        </w:rPr>
        <w:t xml:space="preserve">Commitments and Contingencies: </w:t>
      </w:r>
      <w:r>
        <w:rPr>
          <w:rFonts w:ascii="Arial" w:cs="Arial" w:eastAsia="Arial" w:hAnsi="Arial"/>
          <w:sz w:val="16"/>
          <w:szCs w:val="16"/>
          <w:color w:val="auto"/>
        </w:rPr>
        <w:t>A description of other commitments and contingencies is set forth in Note 9, Note 11</w:t>
      </w:r>
      <w:r>
        <w:rPr>
          <w:rFonts w:ascii="Arial" w:cs="Arial" w:eastAsia="Arial" w:hAnsi="Arial"/>
          <w:sz w:val="16"/>
          <w:szCs w:val="16"/>
          <w:i w:val="1"/>
          <w:iCs w:val="1"/>
          <w:color w:val="auto"/>
        </w:rPr>
        <w:t xml:space="preserve"> </w:t>
      </w:r>
      <w:r>
        <w:rPr>
          <w:rFonts w:ascii="Arial" w:cs="Arial" w:eastAsia="Arial" w:hAnsi="Arial"/>
          <w:sz w:val="16"/>
          <w:szCs w:val="16"/>
          <w:color w:val="auto"/>
        </w:rPr>
        <w:t>and Note 17 to the Consolidated Financial Statements in Item 8 of Part II below, and is incorporated herein by reference.</w:t>
      </w:r>
    </w:p>
    <w:p>
      <w:pPr>
        <w:spacing w:after="0" w:line="124"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The Company is not party to any off-balance sheet arrangements that have, or are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likely to have, a current or future material effect on the Company’s financial condition, results of operations or cash flows.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The Company’s significant accounting policies are described in Note 2 to the Consolidated Financial Statements in Item 8 of Part II below. The preparation of Consolidated Financial Statements in conformity with accounting principles generally accepted in the United States of America, upon which the Company’s Management Discussion and Analysis of Financial Condition and Results of Operations is based, requires that management exercise judgment when making accounting estimates about future events that may affect the amounts reported in the Consolidated Financial Statements and accompanying notes. Future events and their effects cannot be determined with certainty and actual results will, inevitably, differ from those accounting estimates. These differences could be material.</w:t>
      </w:r>
    </w:p>
    <w:p>
      <w:pPr>
        <w:spacing w:after="0" w:line="177"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The Company considers an accounting estimate to be critical if (i)(a) the accounting estimate requires the Company to make assumptions that are difficult or subjective about matters that were highly uncertain at the time that the accounting estimate was made, (b) changes in the estimate are reasonably likely to occur in periods after the period in which the estimate was made, or (c) use of different estimates by the Company could have been used; and (ii) changes in those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accounting estimates would have had a material impact on the financial condition or results of operations of the Company. The critical accounting policies and estimates inherent in the preparation of the Company’s Consolidated Financial Statements are described below. Management has discussed the development and selection of these critical accounting estimates with the Audit Committee of our Board of Directors.</w:t>
      </w:r>
    </w:p>
    <w:p>
      <w:pPr>
        <w:spacing w:after="0" w:line="183"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b w:val="1"/>
          <w:bCs w:val="1"/>
          <w:color w:val="auto"/>
        </w:rPr>
        <w:t xml:space="preserve">Long-Lived Assets, Intangible Assets and Goodwill: </w:t>
      </w:r>
      <w:r>
        <w:rPr>
          <w:rFonts w:ascii="Arial" w:cs="Arial" w:eastAsia="Arial" w:hAnsi="Arial"/>
          <w:sz w:val="18"/>
          <w:szCs w:val="18"/>
          <w:color w:val="auto"/>
        </w:rPr>
        <w:t>The Company evaluates its long-lived assets, intangible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w:t>
      </w:r>
    </w:p>
    <w:p>
      <w:pPr>
        <w:spacing w:after="0" w:line="184"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i w:val="1"/>
          <w:iCs w:val="1"/>
          <w:color w:val="auto"/>
        </w:rPr>
        <w:t xml:space="preserve">Long-lived Assets and Finite-lived Intangible Assets: </w:t>
      </w:r>
      <w:r>
        <w:rPr>
          <w:rFonts w:ascii="Arial" w:cs="Arial" w:eastAsia="Arial" w:hAnsi="Arial"/>
          <w:sz w:val="16"/>
          <w:szCs w:val="16"/>
          <w:color w:val="auto"/>
        </w:rPr>
        <w:t>Long-lived assets and finite-lived intangible assets are grouped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lowest level reporting unit for which identifiable cash flows are available. In evaluating for impairment, the estimated future undiscounted cash flows generated by each of these asset groups are compared with the carrying value recorded for each asset group to determine if its carrying value is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potential impact of future events, including changes in economic conditions and operating performance, and future costs of maintenance and improvements of the assets. If management uses different assumptions or if different conditions occur in future periods, the Company’s financial condition or its future operating results could be materially impacted. The Company has evaluated its long-lived assets and finite-lived intangible assets for impairment and determined that there was no impairment for the years ended December 31, 2021, 2020 and 2019.</w:t>
      </w:r>
    </w:p>
    <w:p>
      <w:pPr>
        <w:spacing w:after="0" w:line="168" w:lineRule="exact"/>
        <w:rPr>
          <w:sz w:val="20"/>
          <w:szCs w:val="20"/>
          <w:color w:val="auto"/>
        </w:rPr>
      </w:pPr>
    </w:p>
    <w:p>
      <w:pPr>
        <w:ind w:left="60" w:right="99"/>
        <w:spacing w:after="0" w:line="267" w:lineRule="auto"/>
        <w:rPr>
          <w:sz w:val="20"/>
          <w:szCs w:val="20"/>
          <w:color w:val="auto"/>
        </w:rPr>
      </w:pPr>
      <w:r>
        <w:rPr>
          <w:rFonts w:ascii="Arial" w:cs="Arial" w:eastAsia="Arial" w:hAnsi="Arial"/>
          <w:sz w:val="17"/>
          <w:szCs w:val="17"/>
          <w:i w:val="1"/>
          <w:iCs w:val="1"/>
          <w:color w:val="auto"/>
        </w:rPr>
        <w:t xml:space="preserve">Indefinite-life Intangible Assets and Goodwill: </w:t>
      </w:r>
      <w:r>
        <w:rPr>
          <w:rFonts w:ascii="Arial" w:cs="Arial" w:eastAsia="Arial" w:hAnsi="Arial"/>
          <w:sz w:val="17"/>
          <w:szCs w:val="17"/>
          <w:color w:val="auto"/>
        </w:rPr>
        <w:t>The Company’s intangible assets include goodwill, customer relationships</w:t>
      </w:r>
      <w:r>
        <w:rPr>
          <w:rFonts w:ascii="Arial" w:cs="Arial" w:eastAsia="Arial" w:hAnsi="Arial"/>
          <w:sz w:val="17"/>
          <w:szCs w:val="17"/>
          <w:i w:val="1"/>
          <w:iCs w:val="1"/>
          <w:color w:val="auto"/>
        </w:rPr>
        <w:t xml:space="preserve"> </w:t>
      </w:r>
      <w:r>
        <w:rPr>
          <w:rFonts w:ascii="Arial" w:cs="Arial" w:eastAsia="Arial" w:hAnsi="Arial"/>
          <w:sz w:val="17"/>
          <w:szCs w:val="17"/>
          <w:color w:val="auto"/>
        </w:rPr>
        <w:t>and a trade name, and are grouped at the lowest level reporting unit for which identifiable cash flows are available. In estimating the fair value of a reporting unit, the Company uses a combination of a discounted cash flow model and fair value based on market multiples of earnings before interest, income taxes, depreciation and amortization (“EBITDA”). The discounted cash flow approach requires the Company to use a number of assumptions, including market factors specific to the business, the amount and timing of estimated future cash flows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makes judgments about the comparability of multiples in closed and proposed 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 The Company has evaluated its indefinite-life intangible assets and goodwill for impairment and determined that there was no impairment for the years ended December 31, 2021, 2020 and 2019.</w:t>
      </w:r>
    </w:p>
    <w:p>
      <w:pPr>
        <w:spacing w:after="0" w:line="187" w:lineRule="exact"/>
        <w:rPr>
          <w:sz w:val="20"/>
          <w:szCs w:val="20"/>
          <w:color w:val="auto"/>
        </w:rPr>
      </w:pPr>
    </w:p>
    <w:p>
      <w:pPr>
        <w:ind w:left="60" w:right="279"/>
        <w:spacing w:after="0" w:line="255" w:lineRule="auto"/>
        <w:rPr>
          <w:sz w:val="20"/>
          <w:szCs w:val="20"/>
          <w:color w:val="auto"/>
        </w:rPr>
      </w:pPr>
      <w:r>
        <w:rPr>
          <w:rFonts w:ascii="Arial" w:cs="Arial" w:eastAsia="Arial" w:hAnsi="Arial"/>
          <w:sz w:val="18"/>
          <w:szCs w:val="18"/>
          <w:b w:val="1"/>
          <w:bCs w:val="1"/>
          <w:color w:val="auto"/>
        </w:rPr>
        <w:t xml:space="preserve">Insurance Related Liabilities: </w:t>
      </w:r>
      <w:r>
        <w:rPr>
          <w:rFonts w:ascii="Arial" w:cs="Arial" w:eastAsia="Arial" w:hAnsi="Arial"/>
          <w:sz w:val="18"/>
          <w:szCs w:val="18"/>
          <w:color w:val="auto"/>
        </w:rPr>
        <w:t>The Company is uninsured for certain risks but when feasible, many of these risks are</w:t>
      </w:r>
      <w:r>
        <w:rPr>
          <w:rFonts w:ascii="Arial" w:cs="Arial" w:eastAsia="Arial" w:hAnsi="Arial"/>
          <w:sz w:val="18"/>
          <w:szCs w:val="18"/>
          <w:b w:val="1"/>
          <w:bCs w:val="1"/>
          <w:color w:val="auto"/>
        </w:rPr>
        <w:t xml:space="preserve"> </w:t>
      </w:r>
      <w:r>
        <w:rPr>
          <w:rFonts w:ascii="Arial" w:cs="Arial" w:eastAsia="Arial" w:hAnsi="Arial"/>
          <w:sz w:val="18"/>
          <w:szCs w:val="18"/>
          <w:color w:val="auto"/>
        </w:rPr>
        <w:t>mitigated by insurance. The Company purchases insurance with deductibles or self-insured retentions. Such insurance includes, but is not limited to, employee health, workers’ compensation, marine liability, cybersecurity, auto liability and physical damage to property and equipment. For certain risks, the Company elects to not purchase insurance because of the excessive cost of such insurance or the perceived remoteness of the risk. In addition, the Company retains all risk of loss that exceeds the limits of the Company’s insurance policies, or for other risks where insurance is not commercially available.</w:t>
      </w:r>
    </w:p>
    <w:p>
      <w:pPr>
        <w:spacing w:after="0" w:line="193"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When estimating its reserves for retained risks and related liabilities, the Company considers a number of factors, including historical claims experience, demographic factors, current trends, and analyses provided by independent third-parties. Periodically, management reviews its assumptions and estimates used to determine the adequacy of the Company’s reserves for retained risks and other related liabilities. The Company’s retained risks and other related liabilities contain uncertainties because management is required to apply judgment and make long-term assumptions to estimate the ultimate cost to settle reported claims, and of claims incurred but not reported, as of the balance sheet date. Insurance related liabilities were $35.9 million and $32.4 million at December 31, 2021 and 2020, respectively. The Company’s estimate of insurance related liabilities could change if management uses different assumptions or if</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different conditions occur in future periods, however the Company does not expect any such change would have a material impact on the Company’s financial condition and results of operations.</w:t>
      </w:r>
    </w:p>
    <w:p>
      <w:pPr>
        <w:spacing w:after="0" w:line="99" w:lineRule="exact"/>
        <w:rPr>
          <w:sz w:val="20"/>
          <w:szCs w:val="20"/>
          <w:color w:val="auto"/>
        </w:rPr>
      </w:pPr>
    </w:p>
    <w:p>
      <w:pPr>
        <w:ind w:left="60" w:right="119"/>
        <w:spacing w:after="0" w:line="292" w:lineRule="auto"/>
        <w:rPr>
          <w:sz w:val="20"/>
          <w:szCs w:val="20"/>
          <w:color w:val="auto"/>
        </w:rPr>
      </w:pPr>
      <w:r>
        <w:rPr>
          <w:rFonts w:ascii="Arial" w:cs="Arial" w:eastAsia="Arial" w:hAnsi="Arial"/>
          <w:sz w:val="16"/>
          <w:szCs w:val="16"/>
          <w:b w:val="1"/>
          <w:bCs w:val="1"/>
          <w:color w:val="auto"/>
        </w:rPr>
        <w:t xml:space="preserve">Pension and Post-Retirement Plans: </w:t>
      </w:r>
      <w:r>
        <w:rPr>
          <w:rFonts w:ascii="Arial" w:cs="Arial" w:eastAsia="Arial" w:hAnsi="Arial"/>
          <w:sz w:val="16"/>
          <w:szCs w:val="16"/>
          <w:color w:val="auto"/>
        </w:rPr>
        <w:t>The estimation of the Company’s pension and post-retirement benefit expenses and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requires the Company to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 (loss). Additionally, these unamortized gains and losses are amortized and reclassified to income (loss) over future periods.</w:t>
      </w:r>
    </w:p>
    <w:p>
      <w:pPr>
        <w:spacing w:after="0" w:line="9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Additional information about the Company’s pension and post-retirement plans and assumptions used is included in Note 11 to the Consolidated Financial Statements in Item 8 of Part II below.</w:t>
      </w:r>
    </w:p>
    <w:p>
      <w:pPr>
        <w:spacing w:after="0" w:line="99"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Company’s income tax expense requires the Company to make various estimates and judgments.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estimates and judgments are applied in the calculation of taxable income, tax credits, tax benefits and deductions, and in the calculation of certain deferred tax assets and liabilities, which arise from differences in the timing of recognition of revenue, costs and expenses for tax purposes. The calculation of deferred tax assets and liabilities may be impacted by various factors including but not limited to changes in tax rates; changes in tax laws, regulations, and rulings; changes in interpretations of existing tax laws, regulations and rulings; and changes in the evaluation of the Company’s ability to realize deferred tax assets including operating loss and tax credit carryforwards. Deferred tax assets and liabilities are adjusted to the extent necessary to reflect tax rates expected to be in effect when the temporary differences reverse. Significant changes to these estimates may result in an increase or decrease to the Company’s income taxes in a subsequent period.</w:t>
      </w:r>
    </w:p>
    <w:p>
      <w:pPr>
        <w:spacing w:after="0" w:line="181"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The Company records a valuation allowance if, based on the weight of available evidence, management believes that it is more likely than not that some portion or all of a recorded deferred tax asset would not be realized in future periods.</w:t>
      </w:r>
    </w:p>
    <w:p>
      <w:pPr>
        <w:spacing w:after="0" w:line="124"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Additional information about the Company’s income taxes is included in Note 10 to the Consolidated Financial Statements in Item 8 of Part II below.</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i w:val="1"/>
          <w:iCs w:val="1"/>
          <w:color w:val="auto"/>
        </w:rPr>
        <w:t xml:space="preserve">Debt and Interest Rate Risks: </w:t>
      </w:r>
      <w:r>
        <w:rPr>
          <w:rFonts w:ascii="Arial" w:cs="Arial" w:eastAsia="Arial" w:hAnsi="Arial"/>
          <w:sz w:val="16"/>
          <w:szCs w:val="16"/>
          <w:color w:val="auto"/>
        </w:rPr>
        <w:t>The Company is exposed to changes in interest rates, primarily as a result of its borrowing</w:t>
      </w:r>
      <w:r>
        <w:rPr>
          <w:rFonts w:ascii="Arial" w:cs="Arial" w:eastAsia="Arial" w:hAnsi="Arial"/>
          <w:sz w:val="16"/>
          <w:szCs w:val="16"/>
          <w:i w:val="1"/>
          <w:iCs w:val="1"/>
          <w:color w:val="auto"/>
        </w:rPr>
        <w:t xml:space="preserve"> </w:t>
      </w:r>
      <w:r>
        <w:rPr>
          <w:rFonts w:ascii="Arial" w:cs="Arial" w:eastAsia="Arial" w:hAnsi="Arial"/>
          <w:sz w:val="16"/>
          <w:szCs w:val="16"/>
          <w:color w:val="auto"/>
        </w:rPr>
        <w:t>and investing activities used to maintain liquidity and to fund business operations, including borrowings under its revolving credit facility and private placement term loans. In order to manage its exposure to changes in interest rates, the Company utilizes a balanced mix of both fixed-rate and variable-rate debt with various maturity dates. The nature and amount of the Company’s outstanding debt are expected to fluctuate as a result of future business requirements, market conditions and other factors. The Company’s outstanding fixed rate debt was $629.0 million as of December 31, 2021. The Company did not have any borrowings outstanding on its revolving credit facility as of December 31, 2021.</w:t>
      </w:r>
    </w:p>
    <w:p>
      <w:pPr>
        <w:spacing w:after="0" w:line="16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Other than in certain events of default, the Company is not obligated to prepay its variable and fixed rate debt prior to maturity. For fixed rate debt, changes in market interest rates would not affect the Company’s financial condition or results of operations.</w:t>
      </w:r>
    </w:p>
    <w:p>
      <w:pPr>
        <w:spacing w:after="0" w:line="184"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Interest on borrowings under the Company’s revolving credit facility is calculated using the London Interbank Offered Rate (“LIBOR”). Current expectations are that the use of LIBOR will be discontinued as a benchmark interest rate by mid-2023. The expected discontinuation of LIBOR will require the Company and its lenders to transition from a LIBOR measurement to an alternative benchmark interest rate. The transition from LIBOR to another benchmark rate or rates could have an adverse impact on the cost of borrowings by the Company under its revolving credit facility that currently uses LIBOR as a benchmark rate. The potential effect of any such change in cost of borrowing under the Company’s revolving credit facility cannot yet be determined, but the Company does not expect it to have a material impact on the Company’s financial condition and results of operations. The Company does not expect any impact on the cost of borrowings under its fixed interest debt as a result of an expected transition from a LIBOR measurement.</w:t>
      </w:r>
    </w:p>
    <w:p>
      <w:pPr>
        <w:spacing w:after="0" w:line="181"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Additional information about the Company’s debt is included in Note 8 to the Consolidated Financial Statements in Item 8 of Part II below.</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439"/>
        <w:spacing w:after="0" w:line="287" w:lineRule="auto"/>
        <w:rPr>
          <w:sz w:val="20"/>
          <w:szCs w:val="20"/>
          <w:color w:val="auto"/>
        </w:rPr>
      </w:pPr>
      <w:r>
        <w:rPr>
          <w:rFonts w:ascii="Arial" w:cs="Arial" w:eastAsia="Arial" w:hAnsi="Arial"/>
          <w:sz w:val="16"/>
          <w:szCs w:val="16"/>
          <w:i w:val="1"/>
          <w:iCs w:val="1"/>
          <w:color w:val="auto"/>
        </w:rPr>
        <w:t xml:space="preserve">Investment Risks: </w:t>
      </w:r>
      <w:r>
        <w:rPr>
          <w:rFonts w:ascii="Arial" w:cs="Arial" w:eastAsia="Arial" w:hAnsi="Arial"/>
          <w:sz w:val="16"/>
          <w:szCs w:val="16"/>
          <w:color w:val="auto"/>
        </w:rPr>
        <w:t>From time to time, the Company may invest its excess cash in short-term money market funds that</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government securities or corporate debt securities, or in other deposit products allowed under the Company’s Cash Investment Policy. These money market funds and deposits maintain a weighted average maturity of less than</w:t>
      </w:r>
    </w:p>
    <w:p>
      <w:pPr>
        <w:spacing w:after="0" w:line="2" w:lineRule="exact"/>
        <w:rPr>
          <w:sz w:val="20"/>
          <w:szCs w:val="20"/>
          <w:color w:val="auto"/>
        </w:rPr>
      </w:pPr>
    </w:p>
    <w:p>
      <w:pPr>
        <w:jc w:val="both"/>
        <w:ind w:left="60" w:right="219"/>
        <w:spacing w:after="0" w:line="255" w:lineRule="auto"/>
        <w:rPr>
          <w:sz w:val="20"/>
          <w:szCs w:val="20"/>
          <w:color w:val="auto"/>
        </w:rPr>
      </w:pPr>
      <w:r>
        <w:rPr>
          <w:rFonts w:ascii="Arial" w:cs="Arial" w:eastAsia="Arial" w:hAnsi="Arial"/>
          <w:sz w:val="18"/>
          <w:szCs w:val="18"/>
          <w:color w:val="auto"/>
        </w:rPr>
        <w:t>90 days, and accordingly, a one percent change in interest rates is not expected to have a material impact on the fair value of these investments or on interest income. The Company had a nominal amount on deposit in money market funds as of December 31, 2021 and 2020.</w:t>
      </w:r>
    </w:p>
    <w:p>
      <w:pPr>
        <w:spacing w:after="0" w:line="190" w:lineRule="exact"/>
        <w:rPr>
          <w:sz w:val="20"/>
          <w:szCs w:val="20"/>
          <w:color w:val="auto"/>
        </w:rPr>
      </w:pPr>
    </w:p>
    <w:p>
      <w:pPr>
        <w:jc w:val="both"/>
        <w:ind w:left="60" w:right="219"/>
        <w:spacing w:after="0" w:line="277" w:lineRule="auto"/>
        <w:rPr>
          <w:sz w:val="20"/>
          <w:szCs w:val="20"/>
          <w:color w:val="auto"/>
        </w:rPr>
      </w:pPr>
      <w:r>
        <w:rPr>
          <w:rFonts w:ascii="Arial" w:cs="Arial" w:eastAsia="Arial" w:hAnsi="Arial"/>
          <w:sz w:val="18"/>
          <w:szCs w:val="18"/>
          <w:color w:val="auto"/>
        </w:rPr>
        <w:t>Through the CCF, the Company may, from time to time, invest in money market funds or other eligible investments. The Company’s cash deposits in the CCF as of December 31, 2021 and 2020 were nominal.</w:t>
      </w:r>
    </w:p>
    <w:p>
      <w:pPr>
        <w:spacing w:after="0" w:line="170"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i w:val="1"/>
          <w:iCs w:val="1"/>
          <w:color w:val="auto"/>
        </w:rPr>
        <w:t xml:space="preserve">Foreign Currency Risks: </w:t>
      </w:r>
      <w:r>
        <w:rPr>
          <w:rFonts w:ascii="Arial" w:cs="Arial" w:eastAsia="Arial" w:hAnsi="Arial"/>
          <w:sz w:val="17"/>
          <w:szCs w:val="17"/>
          <w:color w:val="auto"/>
        </w:rPr>
        <w:t>The Company has no material exposure to foreign currency risks, although it is indirectly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changes in currency rates to the extent that changes in rates affect tourism in Hawaii, Guam, Alaska and other locations. Transactions related to the Company’s China service are primarily denominated in U.S. dollars, and therefore, a one percent change in the Chinese Yuan exchange rate would not have a material effect on the Company’s results of operations. Transactions related to the Company’s South Pacific service are primarily denominated in New Zealand dollars. However, a one percent change in the New Zealand dollar exchange rate is not expected to have a material effect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80" w:type="dxa"/>
            <w:vAlign w:val="bottom"/>
            <w:gridSpan w:val="25"/>
          </w:tcPr>
          <w:p>
            <w:pPr>
              <w:ind w:left="20"/>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480" w:type="dxa"/>
            <w:vAlign w:val="bottom"/>
            <w:gridSpan w:val="23"/>
            <w:vMerge w:val="restart"/>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Management’s Annual Report on Internal Control Over Financial Reporting</w:t>
              </w:r>
            </w:hyperlink>
          </w:p>
        </w:tc>
        <w:tc>
          <w:tcPr>
            <w:tcW w:w="2580" w:type="dxa"/>
            <w:vAlign w:val="bottom"/>
            <w:vMerge w:val="restart"/>
          </w:tcPr>
          <w:p>
            <w:pPr>
              <w:spacing w:after="0"/>
              <w:rPr>
                <w:sz w:val="24"/>
                <w:szCs w:val="24"/>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80" w:type="dxa"/>
            <w:vAlign w:val="bottom"/>
            <w:tcBorders>
              <w:bottom w:val="single" w:sz="8" w:color="0000EE"/>
            </w:tcBorders>
            <w:gridSpan w:val="23"/>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34)</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Statements of Income and Comprehensive Income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Balance Sheets</w:t>
              </w:r>
            </w:hyperlink>
          </w:p>
        </w:tc>
        <w:tc>
          <w:tcPr>
            <w:tcW w:w="344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Cash Flows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Shareholders’ Equity</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540" w:type="dxa"/>
            <w:vAlign w:val="bottom"/>
            <w:tcBorders>
              <w:top w:val="single" w:sz="8" w:color="0000EE"/>
            </w:tcBorders>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452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1.</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the Business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2.</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Significant Accounting Policies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Reportable Segments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Investment in SSAT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Property and Equipment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Goodwill and Intangible Assets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Capital Construction Fund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8.</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Debt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Leases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10.</w:t>
              </w:r>
            </w:hyperlink>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Income Taxes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11.</w:t>
              </w:r>
            </w:hyperlink>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Pension and Post-Retirement Plans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12.</w:t>
              </w:r>
            </w:hyperlink>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Multi-Employer Withdrawal Liabilities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13.</w:t>
              </w:r>
            </w:hyperlink>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Accumulated Other Comprehensive Income (Loss)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14.</w:t>
              </w:r>
            </w:hyperlink>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Earnings Per Share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15.</w:t>
              </w:r>
            </w:hyperlink>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Share-Based Awards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16.</w:t>
              </w:r>
            </w:hyperlink>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Fair Value of Financial Instruments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1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17.</w:t>
              </w:r>
            </w:hyperlink>
          </w:p>
        </w:tc>
        <w:tc>
          <w:tcPr>
            <w:tcW w:w="260" w:type="dxa"/>
            <w:vAlign w:val="bottom"/>
          </w:tcPr>
          <w:p>
            <w:pPr>
              <w:spacing w:after="0"/>
              <w:rPr>
                <w:sz w:val="17"/>
                <w:szCs w:val="17"/>
                <w:color w:val="auto"/>
              </w:rPr>
            </w:pPr>
          </w:p>
        </w:tc>
        <w:tc>
          <w:tcPr>
            <w:tcW w:w="7580" w:type="dxa"/>
            <w:vAlign w:val="bottom"/>
            <w:gridSpan w:val="21"/>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Commitments and Contingencies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Borders>
              <w:top w:val="single" w:sz="8" w:color="0000EE"/>
            </w:tcBorders>
            <w:gridSpan w:val="12"/>
          </w:tcPr>
          <w:p>
            <w:pPr>
              <w:spacing w:after="0"/>
              <w:rPr>
                <w:sz w:val="24"/>
                <w:szCs w:val="24"/>
                <w:color w:val="auto"/>
              </w:rPr>
            </w:pPr>
          </w:p>
        </w:tc>
        <w:tc>
          <w:tcPr>
            <w:tcW w:w="1740" w:type="dxa"/>
            <w:vAlign w:val="bottom"/>
            <w:gridSpan w:val="7"/>
          </w:tcPr>
          <w:p>
            <w:pPr>
              <w:jc w:val="right"/>
              <w:ind w:right="100"/>
              <w:spacing w:after="0"/>
              <w:rPr>
                <w:sz w:val="20"/>
                <w:szCs w:val="20"/>
                <w:color w:val="auto"/>
              </w:rPr>
            </w:pPr>
            <w:r>
              <w:rPr>
                <w:rFonts w:ascii="Arial" w:cs="Arial" w:eastAsia="Arial" w:hAnsi="Arial"/>
                <w:sz w:val="18"/>
                <w:szCs w:val="18"/>
                <w:color w:val="auto"/>
              </w:rPr>
              <w:t>40</w:t>
            </w: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The management of Matson, Inc. and subsidiaries (the “Company”) has the responsibility for establishing and maintaining adequate internal control over financial reporting. Internal control over financial reporting is defined in Rule 13a-15(f) and 15d-15(f)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77" w:lineRule="exact"/>
        <w:rPr>
          <w:sz w:val="20"/>
          <w:szCs w:val="20"/>
          <w:color w:val="auto"/>
        </w:rPr>
      </w:pPr>
    </w:p>
    <w:p>
      <w:pPr>
        <w:ind w:left="380" w:right="619" w:hanging="330"/>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 of the company;</w:t>
      </w:r>
    </w:p>
    <w:p>
      <w:pPr>
        <w:spacing w:after="0" w:line="170" w:lineRule="exact"/>
        <w:rPr>
          <w:rFonts w:ascii="Arial" w:cs="Arial" w:eastAsia="Arial" w:hAnsi="Arial"/>
          <w:sz w:val="18"/>
          <w:szCs w:val="18"/>
          <w:color w:val="auto"/>
        </w:rPr>
      </w:pPr>
    </w:p>
    <w:p>
      <w:pPr>
        <w:ind w:left="380" w:right="199" w:hanging="330"/>
        <w:spacing w:after="0" w:line="259"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380" w:right="199" w:hanging="330"/>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only provides reasonable assurance with respect to financial statement presentation and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 xml:space="preserve">Management assessed the effectiveness of the Company’s internal control over financial reporting as of December 31, 2021.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Based on its assessment, management believes that, as of December 31, 2021, the Company’s internal control over financial reporting is effective. The Company’s independent registered public accounting firm, Deloitte &amp; Touche LLP, has issued an attestation report on the Company’s internal control over financial reporting.</w:t>
      </w:r>
    </w:p>
    <w:p>
      <w:pPr>
        <w:spacing w:after="0" w:line="39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/s/ Matthew J. Cox</w:t>
            </w:r>
          </w:p>
        </w:tc>
        <w:tc>
          <w:tcPr>
            <w:tcW w:w="4360" w:type="dxa"/>
            <w:vAlign w:val="bottom"/>
          </w:tcPr>
          <w:p>
            <w:pPr>
              <w:spacing w:after="0"/>
              <w:rPr>
                <w:sz w:val="20"/>
                <w:szCs w:val="20"/>
                <w:color w:val="auto"/>
              </w:rPr>
            </w:pPr>
            <w:r>
              <w:rPr>
                <w:rFonts w:ascii="Arial" w:cs="Arial" w:eastAsia="Arial" w:hAnsi="Arial"/>
                <w:sz w:val="18"/>
                <w:szCs w:val="18"/>
                <w:color w:val="auto"/>
              </w:rPr>
              <w:t>/s/ Joel M. Wine</w:t>
            </w:r>
          </w:p>
        </w:tc>
      </w:tr>
      <w:tr>
        <w:trPr>
          <w:trHeight w:val="195"/>
        </w:trPr>
        <w:tc>
          <w:tcPr>
            <w:tcW w:w="2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Cox</w:t>
            </w:r>
          </w:p>
        </w:tc>
        <w:tc>
          <w:tcPr>
            <w:tcW w:w="180" w:type="dxa"/>
            <w:vAlign w:val="bottom"/>
          </w:tcPr>
          <w:p>
            <w:pPr>
              <w:spacing w:after="0"/>
              <w:rPr>
                <w:sz w:val="16"/>
                <w:szCs w:val="16"/>
                <w:color w:val="auto"/>
              </w:rPr>
            </w:pPr>
          </w:p>
        </w:tc>
        <w:tc>
          <w:tcPr>
            <w:tcW w:w="4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Joel M. Wine</w:t>
            </w: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Chairman and Chief Executive Officer</w:t>
            </w:r>
          </w:p>
        </w:tc>
        <w:tc>
          <w:tcPr>
            <w:tcW w:w="43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February 25, 2022</w:t>
            </w:r>
          </w:p>
        </w:tc>
        <w:tc>
          <w:tcPr>
            <w:tcW w:w="4360" w:type="dxa"/>
            <w:vAlign w:val="bottom"/>
          </w:tcPr>
          <w:p>
            <w:pPr>
              <w:spacing w:after="0"/>
              <w:rPr>
                <w:sz w:val="20"/>
                <w:szCs w:val="20"/>
                <w:color w:val="auto"/>
              </w:rPr>
            </w:pPr>
            <w:r>
              <w:rPr>
                <w:rFonts w:ascii="Arial" w:cs="Arial" w:eastAsia="Arial" w:hAnsi="Arial"/>
                <w:sz w:val="18"/>
                <w:szCs w:val="18"/>
                <w:color w:val="auto"/>
              </w:rPr>
              <w:t>February 25,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To the Board of Directors and the shareholders of Matson, Inc.</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Opinions on the Financial Statements and Internal Control over Financial Reporting</w:t>
      </w:r>
    </w:p>
    <w:p>
      <w:pPr>
        <w:spacing w:after="0" w:line="25" w:lineRule="exact"/>
        <w:rPr>
          <w:sz w:val="20"/>
          <w:szCs w:val="20"/>
          <w:color w:val="auto"/>
        </w:rPr>
      </w:pPr>
    </w:p>
    <w:p>
      <w:pPr>
        <w:ind w:left="60" w:right="59"/>
        <w:spacing w:after="0" w:line="272" w:lineRule="auto"/>
        <w:rPr>
          <w:sz w:val="20"/>
          <w:szCs w:val="20"/>
          <w:color w:val="auto"/>
        </w:rPr>
      </w:pPr>
      <w:r>
        <w:rPr>
          <w:rFonts w:ascii="Arial" w:cs="Arial" w:eastAsia="Arial" w:hAnsi="Arial"/>
          <w:sz w:val="16"/>
          <w:szCs w:val="16"/>
          <w:color w:val="auto"/>
        </w:rPr>
        <w:t xml:space="preserve">We have audited the accompanying consolidated balance sheets of Matson, Inc. and subsidiaries (the “Company”) as of December 31, 2021 and 2020, the related consolidated statements of income and comprehensive income, shareholders' equity, and cash flows, for each of the three years in the period ended December 31, 2021, and the related notes (collectively referred to as the “financial statements”). We also have audited the Company’s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w:t>
      </w:r>
    </w:p>
    <w:p>
      <w:pPr>
        <w:spacing w:after="0" w:line="166" w:lineRule="exact"/>
        <w:rPr>
          <w:sz w:val="20"/>
          <w:szCs w:val="20"/>
          <w:color w:val="auto"/>
        </w:rPr>
      </w:pPr>
    </w:p>
    <w:p>
      <w:pPr>
        <w:ind w:left="60" w:right="139"/>
        <w:spacing w:after="0" w:line="297" w:lineRule="auto"/>
        <w:rPr>
          <w:sz w:val="20"/>
          <w:szCs w:val="20"/>
          <w:color w:val="auto"/>
        </w:rPr>
      </w:pPr>
      <w:r>
        <w:rPr>
          <w:rFonts w:ascii="Arial" w:cs="Arial" w:eastAsia="Arial" w:hAnsi="Arial"/>
          <w:sz w:val="15"/>
          <w:szCs w:val="15"/>
          <w:color w:val="auto"/>
        </w:rPr>
        <w:t xml:space="preserve">In our opinion, the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COSO.</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Basis for Opinions</w:t>
      </w:r>
    </w:p>
    <w:p>
      <w:pPr>
        <w:spacing w:after="0" w:line="25" w:lineRule="exact"/>
        <w:rPr>
          <w:sz w:val="20"/>
          <w:szCs w:val="20"/>
          <w:color w:val="auto"/>
        </w:rPr>
      </w:pPr>
    </w:p>
    <w:p>
      <w:pPr>
        <w:ind w:left="60" w:right="99"/>
        <w:spacing w:after="0" w:line="268" w:lineRule="auto"/>
        <w:rPr>
          <w:sz w:val="20"/>
          <w:szCs w:val="20"/>
          <w:color w:val="auto"/>
        </w:rPr>
      </w:pPr>
      <w:r>
        <w:rPr>
          <w:rFonts w:ascii="Arial" w:cs="Arial" w:eastAsia="Arial" w:hAnsi="Arial"/>
          <w:sz w:val="16"/>
          <w:szCs w:val="16"/>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left="60" w:right="179"/>
        <w:spacing w:after="0" w:line="312"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37"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5" w:lineRule="exact"/>
        <w:rPr>
          <w:sz w:val="20"/>
          <w:szCs w:val="20"/>
          <w:color w:val="auto"/>
        </w:rPr>
      </w:pPr>
    </w:p>
    <w:p>
      <w:pPr>
        <w:ind w:left="60" w:right="119"/>
        <w:spacing w:after="0" w:line="281"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ind w:left="60" w:right="59" w:hanging="10"/>
        <w:spacing w:after="0" w:line="268" w:lineRule="auto"/>
        <w:tabs>
          <w:tab w:leader="none" w:pos="302"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ind w:left="60" w:right="559"/>
        <w:spacing w:after="0" w:line="312"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Critical Audit Matter</w:t>
      </w:r>
    </w:p>
    <w:p>
      <w:pPr>
        <w:spacing w:after="0" w:line="214"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Goodwill – Span Alaska Reporting Unit — Refer to Notes 2 and 6 to the financial statements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Critical Audit Matter Description</w:t>
      </w:r>
    </w:p>
    <w:p>
      <w:pPr>
        <w:spacing w:after="0" w:line="210" w:lineRule="exact"/>
        <w:rPr>
          <w:sz w:val="20"/>
          <w:szCs w:val="20"/>
          <w:color w:val="auto"/>
        </w:rPr>
      </w:pPr>
    </w:p>
    <w:p>
      <w:pPr>
        <w:ind w:left="60" w:right="79"/>
        <w:spacing w:after="0" w:line="287" w:lineRule="auto"/>
        <w:rPr>
          <w:sz w:val="20"/>
          <w:szCs w:val="20"/>
          <w:color w:val="auto"/>
        </w:rPr>
      </w:pPr>
      <w:r>
        <w:rPr>
          <w:rFonts w:ascii="Arial" w:cs="Arial" w:eastAsia="Arial" w:hAnsi="Arial"/>
          <w:sz w:val="15"/>
          <w:szCs w:val="15"/>
          <w:color w:val="auto"/>
        </w:rPr>
        <w:t>The Company’s evaluation of goodwill for impairment involves the comparison of the fair value of each reporting unit to its carrying value. In estimating the fair value of a reporting unit, the Company uses a combination of a discounted cash flow model and fair value based on market multiples of earnings before interest, taxes, depreciation and amortization (“EBITDA”). The discounted cash flow approach requires the Company to make several business assumptions related to discount rates and forecasts of future revenues.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either the fair value, the amount of any goodwill impairment charge, or both. The goodwill balance was $327.8 million as of December 31, 2021, of which $78.6 million is allocated to a reporting unit in the Logistics reportable segment, resulting from the acquisition of Span Intermediate, LLC (“Span Alaska”) in fiscal year 2016. The Company has evaluated its goodwill for impairment as part of its annual assessment in fiscal year 2021 and determined that the fair value of the Span Alaska reporting unit exceeded the carrying amount as of the date of the impairment review.</w:t>
      </w:r>
    </w:p>
    <w:p>
      <w:pPr>
        <w:spacing w:after="0" w:line="161" w:lineRule="exact"/>
        <w:rPr>
          <w:sz w:val="20"/>
          <w:szCs w:val="20"/>
          <w:color w:val="auto"/>
        </w:rPr>
      </w:pPr>
    </w:p>
    <w:p>
      <w:pPr>
        <w:ind w:left="60" w:right="199"/>
        <w:spacing w:after="0" w:line="297" w:lineRule="auto"/>
        <w:rPr>
          <w:sz w:val="20"/>
          <w:szCs w:val="20"/>
          <w:color w:val="auto"/>
        </w:rPr>
      </w:pPr>
      <w:r>
        <w:rPr>
          <w:rFonts w:ascii="Arial" w:cs="Arial" w:eastAsia="Arial" w:hAnsi="Arial"/>
          <w:sz w:val="15"/>
          <w:szCs w:val="15"/>
          <w:color w:val="auto"/>
        </w:rPr>
        <w:t>We identified goodwill related to Span Alaska as a critical audit matter because of the significant estimates and assumptions management made to estimate the fair value of Span Alaska. Specifically, due to the sensitivity of Span Alaska’s operations to changes in the Alaskan economy, performing audit procedures to evaluate the reasonableness of management’s estimates and assumptions related to forecasts of future revenues and selection of the discount rate, required a high degree of auditor judgment and an increased extent of effort, including the need to involve our fair value specialists.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10" w:lineRule="exact"/>
        <w:rPr>
          <w:sz w:val="20"/>
          <w:szCs w:val="20"/>
          <w:color w:val="auto"/>
        </w:rPr>
      </w:pPr>
    </w:p>
    <w:p>
      <w:pPr>
        <w:ind w:left="60" w:right="159"/>
        <w:spacing w:after="0" w:line="274" w:lineRule="auto"/>
        <w:rPr>
          <w:sz w:val="20"/>
          <w:szCs w:val="20"/>
          <w:color w:val="auto"/>
        </w:rPr>
      </w:pPr>
      <w:r>
        <w:rPr>
          <w:rFonts w:ascii="Arial" w:cs="Arial" w:eastAsia="Arial" w:hAnsi="Arial"/>
          <w:sz w:val="17"/>
          <w:szCs w:val="17"/>
          <w:color w:val="auto"/>
        </w:rPr>
        <w:t>Our audit procedures related to the forecasts of future revenue, specifically as they relate to Span Alaska, and the selection of the discount rate for Span Alaska included the following, among others:</w:t>
      </w:r>
    </w:p>
    <w:p>
      <w:pPr>
        <w:spacing w:after="0" w:line="161" w:lineRule="exact"/>
        <w:rPr>
          <w:sz w:val="20"/>
          <w:szCs w:val="20"/>
          <w:color w:val="auto"/>
        </w:rPr>
      </w:pPr>
    </w:p>
    <w:p>
      <w:pPr>
        <w:ind w:left="380" w:right="679" w:hanging="330"/>
        <w:spacing w:after="0" w:line="257"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tested the effectiveness of controls over management’s goodwill impairment evaluation, including those over the forecasts of future revenue and the selection of the discount rate.</w:t>
      </w:r>
    </w:p>
    <w:p>
      <w:pPr>
        <w:ind w:left="380" w:right="539" w:hanging="330"/>
        <w:spacing w:after="0" w:line="248"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evaluated management’s ability to accurately forecast future revenue by comparing actual results to management’s historical forecasts.</w:t>
      </w:r>
    </w:p>
    <w:p>
      <w:pPr>
        <w:spacing w:after="0" w:line="1" w:lineRule="exact"/>
        <w:rPr>
          <w:rFonts w:ascii="Arial" w:cs="Arial" w:eastAsia="Arial" w:hAnsi="Arial"/>
          <w:sz w:val="17"/>
          <w:szCs w:val="17"/>
          <w:color w:val="auto"/>
        </w:rPr>
      </w:pPr>
    </w:p>
    <w:p>
      <w:pPr>
        <w:ind w:left="380" w:right="99" w:hanging="330"/>
        <w:spacing w:after="0" w:line="281" w:lineRule="auto"/>
        <w:tabs>
          <w:tab w:leader="none" w:pos="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evaluated the reasonableness of management’s revenue forecast by comparing the forecasts to (1) historical revenues and operating margins, (2) internal communications to management and the Board of Directors, (3) external communications made by management to analysts and investors, (4) trends in the logistics industry and (5) trends in the Alaskan economy.</w:t>
      </w:r>
    </w:p>
    <w:p>
      <w:pPr>
        <w:spacing w:after="0" w:line="1" w:lineRule="exact"/>
        <w:rPr>
          <w:rFonts w:ascii="Arial" w:cs="Arial" w:eastAsia="Arial" w:hAnsi="Arial"/>
          <w:sz w:val="15"/>
          <w:szCs w:val="15"/>
          <w:color w:val="auto"/>
        </w:rPr>
      </w:pPr>
    </w:p>
    <w:p>
      <w:pPr>
        <w:jc w:val="both"/>
        <w:ind w:left="380" w:right="299" w:hanging="330"/>
        <w:spacing w:after="0" w:line="302" w:lineRule="auto"/>
        <w:tabs>
          <w:tab w:leader="none" w:pos="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With the assistance of our fair value specialists, we evaluated the reasonableness of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Deloitte &amp; Touche LLP</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San Francisco, California</w:t>
      </w:r>
    </w:p>
    <w:p>
      <w:pPr>
        <w:ind w:left="40"/>
        <w:spacing w:after="0"/>
        <w:rPr>
          <w:sz w:val="20"/>
          <w:szCs w:val="20"/>
          <w:color w:val="auto"/>
        </w:rPr>
      </w:pPr>
      <w:r>
        <w:rPr>
          <w:rFonts w:ascii="Arial" w:cs="Arial" w:eastAsia="Arial" w:hAnsi="Arial"/>
          <w:sz w:val="17"/>
          <w:szCs w:val="17"/>
          <w:color w:val="auto"/>
        </w:rPr>
        <w:t>February 25, 2022</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have served as the Company’s auditor since at least 1976; however, an earlier year could not be reliably determined.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 except per share amounts)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8"/>
          </w:tcPr>
          <w:p>
            <w:pPr>
              <w:ind w:left="22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09"/>
        </w:trPr>
        <w:tc>
          <w:tcPr>
            <w:tcW w:w="5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3,132.8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3,925.3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(2,557.6)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(1,904.3)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Income from SSAT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(2,737.8)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(2,103.0)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(2,074.0)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1,187.5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net loss (gain)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adjustments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947.3</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Pr>
          <w:p>
            <w:pPr>
              <w:ind w:left="200"/>
              <w:spacing w:after="0" w:line="201" w:lineRule="exact"/>
              <w:rPr>
                <w:sz w:val="20"/>
                <w:szCs w:val="20"/>
                <w:color w:val="auto"/>
              </w:rPr>
            </w:pPr>
            <w:r>
              <w:rPr>
                <w:rFonts w:ascii="Arial" w:cs="Arial" w:eastAsia="Arial" w:hAnsi="Arial"/>
                <w:sz w:val="18"/>
                <w:szCs w:val="18"/>
                <w:color w:val="auto"/>
              </w:rPr>
              <w:t>Accounts receivable, net of allowance for credit loss of $10.1 million and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$6.3 million, respectively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704.5</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Investment in SSAT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dry-docking costs,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long-term assets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3,693.1</w:t>
            </w: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2,900.6</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65.0</w:t>
            </w:r>
          </w:p>
        </w:tc>
        <w:tc>
          <w:tcPr>
            <w:tcW w:w="260" w:type="dxa"/>
            <w:vAlign w:val="bottom"/>
          </w:tcPr>
          <w:p>
            <w:pPr>
              <w:spacing w:after="0"/>
              <w:rPr>
                <w:sz w:val="18"/>
                <w:szCs w:val="18"/>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accruals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Long-term debt, net of deferred loan fees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Common stock - common stock without par value; authorized, 150 million shares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($0.75 stated value per share); outstanding, 41.0 million shares in 2021 and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43.2 million shares in 2020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1,353.5</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8"/>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Cash Flows From Operating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Arial" w:cs="Arial" w:eastAsia="Arial" w:hAnsi="Arial"/>
                <w:sz w:val="15"/>
                <w:szCs w:val="15"/>
                <w:color w:val="auto"/>
              </w:rPr>
              <w:t>Net income</w:t>
            </w:r>
          </w:p>
        </w:tc>
        <w:tc>
          <w:tcPr>
            <w:tcW w:w="320" w:type="dxa"/>
            <w:vAlign w:val="bottom"/>
            <w:gridSpan w:val="2"/>
          </w:tcPr>
          <w:p>
            <w:pPr>
              <w:jc w:val="right"/>
              <w:ind w:right="31"/>
              <w:spacing w:after="0" w:line="162"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927.4</w:t>
            </w:r>
          </w:p>
        </w:tc>
        <w:tc>
          <w:tcPr>
            <w:tcW w:w="320" w:type="dxa"/>
            <w:vAlign w:val="bottom"/>
            <w:gridSpan w:val="2"/>
          </w:tcPr>
          <w:p>
            <w:pPr>
              <w:jc w:val="right"/>
              <w:ind w:right="31"/>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193.1</w:t>
            </w:r>
          </w:p>
        </w:tc>
        <w:tc>
          <w:tcPr>
            <w:tcW w:w="320" w:type="dxa"/>
            <w:vAlign w:val="bottom"/>
            <w:gridSpan w:val="2"/>
          </w:tcPr>
          <w:p>
            <w:pPr>
              <w:jc w:val="right"/>
              <w:ind w:right="4"/>
              <w:spacing w:after="0" w:line="162"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82.7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Reconciling adjustments: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Arial" w:cs="Arial" w:eastAsia="Arial" w:hAnsi="Arial"/>
                <w:sz w:val="15"/>
                <w:szCs w:val="15"/>
                <w:color w:val="auto"/>
              </w:rPr>
              <w:t>Depreciation and amortization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135.9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114.9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Amortization of operating lease right of use assets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103.3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74.8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60.7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Arial" w:cs="Arial" w:eastAsia="Arial" w:hAnsi="Arial"/>
                <w:sz w:val="15"/>
                <w:szCs w:val="15"/>
                <w:color w:val="auto"/>
              </w:rPr>
              <w:t>Deferred income taxes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33.2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52.1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(Gain) Loss on disposal of property and equipment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Arial" w:cs="Arial" w:eastAsia="Arial" w:hAnsi="Arial"/>
                <w:sz w:val="15"/>
                <w:szCs w:val="15"/>
                <w:color w:val="auto"/>
              </w:rPr>
              <w:t>Share-based compensation expense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19.3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18.8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Income from SSAT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Arial" w:cs="Arial" w:eastAsia="Arial" w:hAnsi="Arial"/>
                <w:sz w:val="15"/>
                <w:szCs w:val="15"/>
                <w:color w:val="auto"/>
              </w:rPr>
              <w:t>Distributions from SSAT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46.9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55.4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Changes in assets and liabilities: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Arial" w:cs="Arial" w:eastAsia="Arial" w:hAnsi="Arial"/>
                <w:sz w:val="15"/>
                <w:szCs w:val="15"/>
                <w:color w:val="auto"/>
              </w:rPr>
              <w:t>Accounts receivable, net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(90.3)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(48.0)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Deferred dry-docking payments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Arial" w:cs="Arial" w:eastAsia="Arial" w:hAnsi="Arial"/>
                <w:sz w:val="15"/>
                <w:szCs w:val="15"/>
                <w:color w:val="auto"/>
              </w:rPr>
              <w:t>Deferred dry-docking amortization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24.3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25.1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34.3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Prepaid expenses and other assets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300"/>
              <w:spacing w:after="0" w:line="162" w:lineRule="exact"/>
              <w:rPr>
                <w:sz w:val="20"/>
                <w:szCs w:val="20"/>
                <w:color w:val="auto"/>
              </w:rPr>
            </w:pPr>
            <w:r>
              <w:rPr>
                <w:rFonts w:ascii="Arial" w:cs="Arial" w:eastAsia="Arial" w:hAnsi="Arial"/>
                <w:sz w:val="15"/>
                <w:szCs w:val="15"/>
                <w:color w:val="auto"/>
              </w:rPr>
              <w:t>Accounts payable, accruals and other liabilities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39.6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44.8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Operating lease liabilities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(99.7)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(59.9)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Borders>
              <w:bottom w:val="single" w:sz="8" w:color="CCEEFF"/>
            </w:tcBorders>
          </w:tcPr>
          <w:p>
            <w:pPr>
              <w:ind w:left="300"/>
              <w:spacing w:after="0" w:line="162" w:lineRule="exact"/>
              <w:rPr>
                <w:sz w:val="20"/>
                <w:szCs w:val="20"/>
                <w:color w:val="auto"/>
              </w:rPr>
            </w:pPr>
            <w:r>
              <w:rPr>
                <w:rFonts w:ascii="Arial" w:cs="Arial" w:eastAsia="Arial" w:hAnsi="Arial"/>
                <w:sz w:val="15"/>
                <w:szCs w:val="15"/>
                <w:color w:val="auto"/>
              </w:rPr>
              <w:t>Other long-term liabilities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(6.9)</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cash provided by operating activities</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984.1</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429.8</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248.8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Flows From Investing Activities: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Arial" w:cs="Arial" w:eastAsia="Arial" w:hAnsi="Arial"/>
                <w:sz w:val="15"/>
                <w:szCs w:val="15"/>
                <w:color w:val="auto"/>
              </w:rPr>
              <w:t>Capitalized vessel construction expenditures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(14.9)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(87.8)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(219.1)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Other capital expenditures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(310.4)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(104.5)</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(91.2)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Arial" w:cs="Arial" w:eastAsia="Arial" w:hAnsi="Arial"/>
                <w:sz w:val="15"/>
                <w:szCs w:val="15"/>
                <w:color w:val="auto"/>
              </w:rPr>
              <w:t>Proceeds from disposal of property and equipment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15.3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Cash deposits into Capital Construction Fund</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(132.4)</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Borders>
              <w:bottom w:val="single" w:sz="8" w:color="CCEEFF"/>
            </w:tcBorders>
          </w:tcPr>
          <w:p>
            <w:pPr>
              <w:ind w:left="200"/>
              <w:spacing w:after="0" w:line="162" w:lineRule="exact"/>
              <w:rPr>
                <w:sz w:val="20"/>
                <w:szCs w:val="20"/>
                <w:color w:val="auto"/>
              </w:rPr>
            </w:pPr>
            <w:r>
              <w:rPr>
                <w:rFonts w:ascii="Arial" w:cs="Arial" w:eastAsia="Arial" w:hAnsi="Arial"/>
                <w:sz w:val="15"/>
                <w:szCs w:val="15"/>
                <w:color w:val="auto"/>
              </w:rPr>
              <w:t>Withdrawals from Capital Construction Fund</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132.4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96.2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cash used in investing activities</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(323.4)</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(177.0)</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(306.9)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Flows From Financing Activities: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Arial" w:cs="Arial" w:eastAsia="Arial" w:hAnsi="Arial"/>
                <w:sz w:val="15"/>
                <w:szCs w:val="15"/>
                <w:color w:val="auto"/>
              </w:rPr>
              <w:t>Proceeds from issuance of debt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325.5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Repayments of debt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(59.3)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(216.5)</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Arial" w:cs="Arial" w:eastAsia="Arial" w:hAnsi="Arial"/>
                <w:sz w:val="15"/>
                <w:szCs w:val="15"/>
                <w:color w:val="auto"/>
              </w:rPr>
              <w:t>Proceeds from revolving credit facility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304.3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648.0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622.1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Repayments of revolving credit facility</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(376.1)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(955.3)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(478.0)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Arial" w:cs="Arial" w:eastAsia="Arial" w:hAnsi="Arial"/>
                <w:sz w:val="15"/>
                <w:szCs w:val="15"/>
                <w:color w:val="auto"/>
              </w:rPr>
              <w:t>Payment of financing costs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(18.5)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Proceeds from issuance of common stock</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0.1</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Arial" w:cs="Arial" w:eastAsia="Arial" w:hAnsi="Arial"/>
                <w:sz w:val="15"/>
                <w:szCs w:val="15"/>
                <w:color w:val="auto"/>
              </w:rPr>
              <w:t>Dividends paid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(45.9)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(39.2)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(37.2)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Repurchase of Matson common stock</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(198.3)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Borders>
              <w:bottom w:val="single" w:sz="8" w:color="CCEEFF"/>
            </w:tcBorders>
          </w:tcPr>
          <w:p>
            <w:pPr>
              <w:ind w:left="200"/>
              <w:spacing w:after="0" w:line="162" w:lineRule="exact"/>
              <w:rPr>
                <w:sz w:val="20"/>
                <w:szCs w:val="20"/>
                <w:color w:val="auto"/>
              </w:rPr>
            </w:pPr>
            <w:r>
              <w:rPr>
                <w:rFonts w:ascii="Arial" w:cs="Arial" w:eastAsia="Arial" w:hAnsi="Arial"/>
                <w:sz w:val="15"/>
                <w:szCs w:val="15"/>
                <w:color w:val="auto"/>
              </w:rPr>
              <w:t>Tax withholding related to net share settlements of restricted stock units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(14.4)</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(5.6)</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cash (used in) provided by financing activities</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(392.7)</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(261.5)</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Increase (Decrease) in Cash, Cash Equivalents and Restricted Cash</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268.0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Cash, Cash Equivalents and Restricted Cash, Beginning of the Year</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19.7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28.4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Cash Equivalents and Restricted Cash, End of the Year</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287.7</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19.7</w:t>
            </w: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Reconciliation of Cash, Cash Equivalents, and Restricted Cash, at End of the Year:</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Arial" w:cs="Arial" w:eastAsia="Arial" w:hAnsi="Arial"/>
                <w:sz w:val="15"/>
                <w:szCs w:val="15"/>
                <w:color w:val="auto"/>
              </w:rPr>
              <w:t>Cash and Cash Equivalents</w:t>
            </w:r>
          </w:p>
        </w:tc>
        <w:tc>
          <w:tcPr>
            <w:tcW w:w="320" w:type="dxa"/>
            <w:vAlign w:val="bottom"/>
            <w:gridSpan w:val="2"/>
          </w:tcPr>
          <w:p>
            <w:pPr>
              <w:jc w:val="right"/>
              <w:ind w:right="31"/>
              <w:spacing w:after="0" w:line="162"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282.4</w:t>
            </w:r>
          </w:p>
        </w:tc>
        <w:tc>
          <w:tcPr>
            <w:tcW w:w="320" w:type="dxa"/>
            <w:vAlign w:val="bottom"/>
            <w:gridSpan w:val="2"/>
          </w:tcPr>
          <w:p>
            <w:pPr>
              <w:jc w:val="right"/>
              <w:ind w:right="31"/>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14.4</w:t>
            </w:r>
          </w:p>
        </w:tc>
        <w:tc>
          <w:tcPr>
            <w:tcW w:w="320" w:type="dxa"/>
            <w:vAlign w:val="bottom"/>
            <w:gridSpan w:val="2"/>
          </w:tcPr>
          <w:p>
            <w:pPr>
              <w:jc w:val="right"/>
              <w:ind w:right="4"/>
              <w:spacing w:after="0" w:line="162"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Restricted Cash</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5.3</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5.3</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600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Total Cash, Cash Equivalents and Restricted Cash, End of the Year</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287.7</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19.7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28.4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00" w:type="dxa"/>
            <w:vAlign w:val="bottom"/>
          </w:tcPr>
          <w:p>
            <w:pPr>
              <w:spacing w:after="0" w:line="162" w:lineRule="exact"/>
              <w:rPr>
                <w:sz w:val="20"/>
                <w:szCs w:val="20"/>
                <w:color w:val="auto"/>
              </w:rPr>
            </w:pPr>
            <w:r>
              <w:rPr>
                <w:rFonts w:ascii="Arial" w:cs="Arial" w:eastAsia="Arial" w:hAnsi="Arial"/>
                <w:sz w:val="15"/>
                <w:szCs w:val="15"/>
                <w:color w:val="auto"/>
              </w:rPr>
              <w:t>Supplemental Cash Flow Information: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Interest paid, net of capitalized interest</w:t>
            </w:r>
          </w:p>
        </w:tc>
        <w:tc>
          <w:tcPr>
            <w:tcW w:w="320" w:type="dxa"/>
            <w:vAlign w:val="bottom"/>
            <w:gridSpan w:val="2"/>
            <w:shd w:val="clear" w:color="auto" w:fill="CCEEFF"/>
          </w:tcPr>
          <w:p>
            <w:pPr>
              <w:jc w:val="right"/>
              <w:ind w:right="31"/>
              <w:spacing w:after="0" w:line="162"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19.3</w:t>
            </w:r>
          </w:p>
        </w:tc>
        <w:tc>
          <w:tcPr>
            <w:tcW w:w="320" w:type="dxa"/>
            <w:vAlign w:val="bottom"/>
            <w:gridSpan w:val="2"/>
            <w:shd w:val="clear" w:color="auto" w:fill="CCEEFF"/>
          </w:tcPr>
          <w:p>
            <w:pPr>
              <w:jc w:val="right"/>
              <w:ind w:right="31"/>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26.2</w:t>
            </w:r>
          </w:p>
        </w:tc>
        <w:tc>
          <w:tcPr>
            <w:tcW w:w="320" w:type="dxa"/>
            <w:vAlign w:val="bottom"/>
            <w:gridSpan w:val="2"/>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tcPr>
          <w:p>
            <w:pPr>
              <w:ind w:left="200"/>
              <w:spacing w:after="0" w:line="162" w:lineRule="exact"/>
              <w:rPr>
                <w:sz w:val="20"/>
                <w:szCs w:val="20"/>
                <w:color w:val="auto"/>
              </w:rPr>
            </w:pPr>
            <w:r>
              <w:rPr>
                <w:rFonts w:ascii="Arial" w:cs="Arial" w:eastAsia="Arial" w:hAnsi="Arial"/>
                <w:sz w:val="15"/>
                <w:szCs w:val="15"/>
                <w:color w:val="auto"/>
              </w:rPr>
              <w:t>Income tax paid, net of income tax refunds</w:t>
            </w:r>
          </w:p>
        </w:tc>
        <w:tc>
          <w:tcPr>
            <w:tcW w:w="320" w:type="dxa"/>
            <w:vAlign w:val="bottom"/>
            <w:gridSpan w:val="2"/>
          </w:tcPr>
          <w:p>
            <w:pPr>
              <w:jc w:val="right"/>
              <w:ind w:right="31"/>
              <w:spacing w:after="0" w:line="162"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241.6</w:t>
            </w:r>
          </w:p>
        </w:tc>
        <w:tc>
          <w:tcPr>
            <w:tcW w:w="320" w:type="dxa"/>
            <w:vAlign w:val="bottom"/>
            <w:gridSpan w:val="2"/>
          </w:tcPr>
          <w:p>
            <w:pPr>
              <w:jc w:val="right"/>
              <w:ind w:right="31"/>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(16.1)</w:t>
            </w:r>
          </w:p>
        </w:tc>
        <w:tc>
          <w:tcPr>
            <w:tcW w:w="320" w:type="dxa"/>
            <w:vAlign w:val="bottom"/>
            <w:gridSpan w:val="2"/>
          </w:tcPr>
          <w:p>
            <w:pPr>
              <w:jc w:val="right"/>
              <w:ind w:right="4"/>
              <w:spacing w:after="0" w:line="162"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00" w:type="dxa"/>
            <w:vAlign w:val="bottom"/>
          </w:tcPr>
          <w:p>
            <w:pPr>
              <w:spacing w:after="0" w:line="162" w:lineRule="exact"/>
              <w:rPr>
                <w:sz w:val="20"/>
                <w:szCs w:val="20"/>
                <w:color w:val="auto"/>
              </w:rPr>
            </w:pPr>
            <w:r>
              <w:rPr>
                <w:rFonts w:ascii="Arial" w:cs="Arial" w:eastAsia="Arial" w:hAnsi="Arial"/>
                <w:sz w:val="15"/>
                <w:szCs w:val="15"/>
                <w:color w:val="auto"/>
              </w:rPr>
              <w:t>Non-cash Information: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Capital expenditures included in accounts payable, accruals and other liabilities</w:t>
            </w:r>
          </w:p>
        </w:tc>
        <w:tc>
          <w:tcPr>
            <w:tcW w:w="320" w:type="dxa"/>
            <w:vAlign w:val="bottom"/>
            <w:gridSpan w:val="2"/>
            <w:shd w:val="clear" w:color="auto" w:fill="CCEEFF"/>
          </w:tcPr>
          <w:p>
            <w:pPr>
              <w:jc w:val="right"/>
              <w:ind w:right="31"/>
              <w:spacing w:after="0" w:line="162"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w:t>
            </w:r>
          </w:p>
        </w:tc>
        <w:tc>
          <w:tcPr>
            <w:tcW w:w="320" w:type="dxa"/>
            <w:vAlign w:val="bottom"/>
            <w:gridSpan w:val="2"/>
            <w:shd w:val="clear" w:color="auto" w:fill="CCEEFF"/>
          </w:tcPr>
          <w:p>
            <w:pPr>
              <w:jc w:val="right"/>
              <w:ind w:right="31"/>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24.7</w:t>
            </w:r>
          </w:p>
        </w:tc>
        <w:tc>
          <w:tcPr>
            <w:tcW w:w="320" w:type="dxa"/>
            <w:vAlign w:val="bottom"/>
            <w:gridSpan w:val="2"/>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MATSON, INC. AND SUBSIDIARIES CONSOLIDATED STATEMENTS OF SHAREHOLDERS’ EQUITY For the three years ended December 31, 2021</w:t>
      </w: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7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31"/>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2"/>
              <w:spacing w:after="0" w:line="119" w:lineRule="exact"/>
              <w:rPr>
                <w:sz w:val="20"/>
                <w:szCs w:val="20"/>
                <w:color w:val="auto"/>
              </w:rPr>
            </w:pPr>
            <w:r>
              <w:rPr>
                <w:rFonts w:ascii="Arial" w:cs="Arial" w:eastAsia="Arial" w:hAnsi="Arial"/>
                <w:sz w:val="13"/>
                <w:szCs w:val="13"/>
                <w:b w:val="1"/>
                <w:bCs w:val="1"/>
                <w:color w:val="auto"/>
              </w:rPr>
              <w:t>Paid In</w:t>
            </w:r>
          </w:p>
        </w:tc>
        <w:tc>
          <w:tcPr>
            <w:tcW w:w="1080" w:type="dxa"/>
            <w:vAlign w:val="bottom"/>
            <w:gridSpan w:val="3"/>
          </w:tcPr>
          <w:p>
            <w:pPr>
              <w:jc w:val="center"/>
              <w:ind w:left="13"/>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4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42.7</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Adoption of new lease accounting standard</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7"/>
                <w:szCs w:val="17"/>
                <w:color w:val="auto"/>
                <w:w w:val="93"/>
              </w:rPr>
              <w:t>Shares issued, net of shares withheld for employee taxes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 ($0.86 per share)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SSAT’s adoption of new lease accounting standard</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42.9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3"/>
              </w:rPr>
              <w:t>Shares issued, net of shares withheld for employee taxes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7"/>
                <w:szCs w:val="17"/>
                <w:color w:val="auto"/>
              </w:rPr>
              <w:t>Equity interest in SSAT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 ($0.90 per share)</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43.2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7"/>
                <w:szCs w:val="17"/>
                <w:color w:val="auto"/>
                <w:w w:val="93"/>
              </w:rPr>
              <w:t>Shares issued, net of shares withheld for employee taxes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Share repurchase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Dividends ($1.06 per share)</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41.0</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$ 30.7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1,667.4</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700" w:hanging="650"/>
        <w:spacing w:after="0"/>
        <w:tabs>
          <w:tab w:leader="none" w:pos="7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 For financial information on the Company’s reportable segments for the three years ended December 31, 2021, see Note 3.</w:t>
      </w:r>
    </w:p>
    <w:p>
      <w:pPr>
        <w:spacing w:after="0" w:line="187"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i w:val="1"/>
          <w:iCs w:val="1"/>
          <w:color w:val="auto"/>
        </w:rPr>
        <w:t xml:space="preserve">Ocean Transportation: </w:t>
      </w:r>
      <w:r>
        <w:rPr>
          <w:rFonts w:ascii="Arial" w:cs="Arial" w:eastAsia="Arial" w:hAnsi="Arial"/>
          <w:sz w:val="16"/>
          <w:szCs w:val="16"/>
          <w:color w:val="auto"/>
        </w:rPr>
        <w:t>Matson’s Ocean Transportation business is conducted through Matson Navigation Company, Inc.</w:t>
      </w:r>
      <w:r>
        <w:rPr>
          <w:rFonts w:ascii="Arial" w:cs="Arial" w:eastAsia="Arial" w:hAnsi="Arial"/>
          <w:sz w:val="16"/>
          <w:szCs w:val="16"/>
          <w:i w:val="1"/>
          <w:iCs w:val="1"/>
          <w:color w:val="auto"/>
        </w:rPr>
        <w:t xml:space="preserve"> </w:t>
      </w:r>
      <w:r>
        <w:rPr>
          <w:rFonts w:ascii="Arial" w:cs="Arial" w:eastAsia="Arial" w:hAnsi="Arial"/>
          <w:sz w:val="16"/>
          <w:szCs w:val="16"/>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primarily from China to Long Beach, California, and provides services to Okinawa, Japan and various islands in the South Pacific, and operates an international export service from Dutch Harbor, Alaska to Asia. In addition, subsidiaries of MatNav provide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65"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Consolidated Statements of Income and Comprehensive Income, and within the Ocean Transportation segment due to the nature of SSAT’s operations.</w:t>
      </w:r>
    </w:p>
    <w:p>
      <w:pPr>
        <w:spacing w:after="0" w:line="178"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i w:val="1"/>
          <w:iCs w:val="1"/>
          <w:color w:val="auto"/>
        </w:rPr>
        <w:t xml:space="preserve">Logistics: </w:t>
      </w:r>
      <w:r>
        <w:rPr>
          <w:rFonts w:ascii="Arial" w:cs="Arial" w:eastAsia="Arial" w:hAnsi="Arial"/>
          <w:sz w:val="16"/>
          <w:szCs w:val="16"/>
          <w:color w:val="auto"/>
        </w:rPr>
        <w:t>Matson’s Logistics business is conducted through Matson Logistics, Inc. (“Matson Logistics”), a wholly-owned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supply chain management, non-vessel operating common carrier (“NVOCC”) freight forwarding and other services.</w:t>
      </w:r>
    </w:p>
    <w:p>
      <w:pPr>
        <w:spacing w:after="0" w:line="378" w:lineRule="exact"/>
        <w:rPr>
          <w:sz w:val="20"/>
          <w:szCs w:val="20"/>
          <w:color w:val="auto"/>
        </w:rPr>
      </w:pPr>
    </w:p>
    <w:p>
      <w:pPr>
        <w:ind w:left="700" w:hanging="650"/>
        <w:spacing w:after="0"/>
        <w:tabs>
          <w:tab w:leader="none" w:pos="7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The Consolidated Financial Statements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(see Note 4).</w:t>
      </w:r>
    </w:p>
    <w:p>
      <w:pPr>
        <w:spacing w:after="0" w:line="176"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i w:val="1"/>
          <w:iCs w:val="1"/>
          <w:color w:val="auto"/>
        </w:rPr>
        <w:t xml:space="preserve">Fiscal Year: </w:t>
      </w:r>
      <w:r>
        <w:rPr>
          <w:rFonts w:ascii="Arial" w:cs="Arial" w:eastAsia="Arial" w:hAnsi="Arial"/>
          <w:sz w:val="16"/>
          <w:szCs w:val="16"/>
          <w:color w:val="auto"/>
        </w:rPr>
        <w:t>The year end for Matson is December 31. The period end for MatNav occurred on the last Friday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except for certain Company subsidiaries whose period closed on December 31. Included in these Consolidated Financial Statements are 53 weeks in the 2021 and 52 weeks in the 2020 and 2019 fiscal years for MatNav.</w:t>
      </w:r>
    </w:p>
    <w:p>
      <w:pPr>
        <w:spacing w:after="0" w:line="149"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i w:val="1"/>
          <w:iCs w:val="1"/>
          <w:color w:val="auto"/>
        </w:rPr>
        <w:t xml:space="preserve">Foreign Currency Transactions: </w:t>
      </w:r>
      <w:r>
        <w:rPr>
          <w:rFonts w:ascii="Arial" w:cs="Arial" w:eastAsia="Arial" w:hAnsi="Arial"/>
          <w:sz w:val="17"/>
          <w:szCs w:val="17"/>
          <w:color w:val="auto"/>
        </w:rPr>
        <w:t>The United States (U.S.) dollar is the functional currency for substantially all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of the Company’s foreign subsidiaries. Foreign currency denominated assets and liabilities of the Company’s foreign subsidiaries are translated into U.S. dollars at exchange rates existing at the respective balance sheet dates. Translation adjustments resulting from fluctuations in exchange rates are recorded as a component of accumulated other comprehensive loss (gain) within shareholders’ equity. The Company translates the result of operations of its foreign subsidiaries at the average exchange rate during the respective periods. Gains and losses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resulting from foreign currency transactions are included in Costs and Expenses in the Consolidated Statements of Income and Comprehensive Income.</w:t>
      </w:r>
    </w:p>
    <w:p>
      <w:pPr>
        <w:spacing w:after="0" w:line="170" w:lineRule="exact"/>
        <w:rPr>
          <w:sz w:val="20"/>
          <w:szCs w:val="20"/>
          <w:color w:val="auto"/>
        </w:rPr>
      </w:pPr>
    </w:p>
    <w:p>
      <w:pPr>
        <w:ind w:left="60" w:right="279"/>
        <w:spacing w:after="0" w:line="291"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accounting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note receivables; legal contingencies; insurance reserves and other related liabilities; accrual estimates; pension and post-retirement estimates; multi-employer withdrawal liabilities; operating lease assets and liabilities; and income taxes. Future results could be materially affected if actual results differ from these estimates and assumptions.</w:t>
      </w:r>
    </w:p>
    <w:p>
      <w:pPr>
        <w:spacing w:after="0" w:line="166"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i w:val="1"/>
          <w:iCs w:val="1"/>
          <w:color w:val="auto"/>
        </w:rPr>
        <w:t xml:space="preserve">Cash, Cash Equivalents and Restricted Cash: </w:t>
      </w:r>
      <w:r>
        <w:rPr>
          <w:rFonts w:ascii="Arial" w:cs="Arial" w:eastAsia="Arial" w:hAnsi="Arial"/>
          <w:sz w:val="17"/>
          <w:szCs w:val="17"/>
          <w:color w:val="auto"/>
        </w:rPr>
        <w:t>Cash equivalents consist of highly-liquid investments with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maturities of three months or less. The Company carries these investments at cost, which approximates fair value. There were no outstanding checks in excess of funds on deposit as of December 31, 2021. Outstanding checks in excess of funds on deposit totaled $19.9 million as of December 31, 2020, and are included in current liabilities in the Consolidated Balance Sheets. Restricted cash relates to amounts that are subject to contractual restrictions and are not readily available. Restricted cash was $5.3 million at December 31, 2021 and 2020, and is included in prepaid expenses and other assets in the Consolidated Balance Sheets.</w:t>
      </w:r>
    </w:p>
    <w:p>
      <w:pPr>
        <w:spacing w:after="0" w:line="177"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i w:val="1"/>
          <w:iCs w:val="1"/>
          <w:color w:val="auto"/>
        </w:rPr>
        <w:t xml:space="preserve">Accounts Receivable, net: </w:t>
      </w:r>
      <w:r>
        <w:rPr>
          <w:rFonts w:ascii="Arial" w:cs="Arial" w:eastAsia="Arial" w:hAnsi="Arial"/>
          <w:sz w:val="18"/>
          <w:szCs w:val="18"/>
          <w:color w:val="auto"/>
        </w:rPr>
        <w:t>Accounts receivable represent amounts due from trade customers arising in the normal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Accounts receivable are shown net of allowance for doubtful accounts receivable in the Consolidated Balance Sheets. Allowance for doubtful accounts receivable is established by management based on estimates of collectability. Estimates of collectability are principally based on an evaluation of the current financial condition of the customer and the potential risks to collection, the customer’s payment history, expected future credit losses and other factors which are regularly monitored by the Company.</w:t>
      </w:r>
    </w:p>
    <w:p>
      <w:pPr>
        <w:spacing w:after="0" w:line="192" w:lineRule="exact"/>
        <w:rPr>
          <w:sz w:val="20"/>
          <w:szCs w:val="20"/>
          <w:color w:val="auto"/>
        </w:rPr>
      </w:pPr>
    </w:p>
    <w:p>
      <w:pPr>
        <w:ind w:left="60" w:right="319"/>
        <w:spacing w:after="0" w:line="258" w:lineRule="auto"/>
        <w:rPr>
          <w:sz w:val="20"/>
          <w:szCs w:val="20"/>
          <w:color w:val="auto"/>
        </w:rPr>
      </w:pPr>
      <w:r>
        <w:rPr>
          <w:rFonts w:ascii="Arial" w:cs="Arial" w:eastAsia="Arial" w:hAnsi="Arial"/>
          <w:sz w:val="18"/>
          <w:szCs w:val="18"/>
          <w:color w:val="auto"/>
        </w:rPr>
        <w:t>Changes in the allowance for doubtful accounts receivable for the three years ended December 31, 2021, 2020 and 2019 were as follows:</w:t>
      </w:r>
    </w:p>
    <w:tbl>
      <w:tblPr>
        <w:tblLayout w:type="fixed"/>
        <w:tblInd w:w="40" w:type="dxa"/>
        <w:tblCellMar>
          <w:top w:w="0" w:type="dxa"/>
          <w:left w:w="0" w:type="dxa"/>
          <w:bottom w:w="0" w:type="dxa"/>
          <w:right w:w="0" w:type="dxa"/>
        </w:tblCellMar>
      </w:tblPr>
      <w:tr>
        <w:trPr>
          <w:trHeight w:val="141"/>
        </w:trPr>
        <w:tc>
          <w:tcPr>
            <w:tcW w:w="4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75"/>
              <w:spacing w:after="0" w:line="141" w:lineRule="exact"/>
              <w:rPr>
                <w:sz w:val="20"/>
                <w:szCs w:val="20"/>
                <w:color w:val="auto"/>
              </w:rPr>
            </w:pPr>
            <w:r>
              <w:rPr>
                <w:rFonts w:ascii="Arial" w:cs="Arial" w:eastAsia="Arial" w:hAnsi="Arial"/>
                <w:sz w:val="14"/>
                <w:szCs w:val="14"/>
                <w:b w:val="1"/>
                <w:bCs w:val="1"/>
                <w:color w:val="auto"/>
                <w:w w:val="99"/>
              </w:rPr>
              <w:t>Balance at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1"/>
              </w:rPr>
              <w:t>Expense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97"/>
              <w:spacing w:after="0" w:line="141" w:lineRule="exact"/>
              <w:rPr>
                <w:sz w:val="20"/>
                <w:szCs w:val="20"/>
                <w:color w:val="auto"/>
              </w:rPr>
            </w:pPr>
            <w:r>
              <w:rPr>
                <w:rFonts w:ascii="Arial" w:cs="Arial" w:eastAsia="Arial" w:hAnsi="Arial"/>
                <w:sz w:val="14"/>
                <w:szCs w:val="14"/>
                <w:b w:val="1"/>
                <w:bCs w:val="1"/>
                <w:color w:val="auto"/>
              </w:rPr>
              <w:t>Write-offs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97"/>
              <w:spacing w:after="0" w:line="141" w:lineRule="exact"/>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71"/>
        </w:trPr>
        <w:tc>
          <w:tcPr>
            <w:tcW w:w="42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Beginning of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4"/>
                <w:szCs w:val="14"/>
                <w:b w:val="1"/>
                <w:bCs w:val="1"/>
                <w:color w:val="auto"/>
                <w:w w:val="99"/>
              </w:rPr>
              <w:t>and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End of 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2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2020</w:t>
            </w:r>
          </w:p>
        </w:tc>
        <w:tc>
          <w:tcPr>
            <w:tcW w:w="202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Expense is shown net of amounts recovered from previously reserved doubtful accounts.</w:t>
      </w:r>
    </w:p>
    <w:p>
      <w:pPr>
        <w:spacing w:after="0" w:line="208" w:lineRule="exact"/>
        <w:rPr>
          <w:sz w:val="20"/>
          <w:szCs w:val="20"/>
          <w:color w:val="auto"/>
        </w:rPr>
      </w:pPr>
    </w:p>
    <w:p>
      <w:pPr>
        <w:ind w:left="60" w:right="179"/>
        <w:spacing w:after="0" w:line="258" w:lineRule="auto"/>
        <w:rPr>
          <w:sz w:val="20"/>
          <w:szCs w:val="20"/>
          <w:color w:val="auto"/>
        </w:rPr>
      </w:pPr>
      <w:r>
        <w:rPr>
          <w:rFonts w:ascii="Arial" w:cs="Arial" w:eastAsia="Arial" w:hAnsi="Arial"/>
          <w:sz w:val="18"/>
          <w:szCs w:val="18"/>
          <w:i w:val="1"/>
          <w:iCs w:val="1"/>
          <w:color w:val="auto"/>
        </w:rPr>
        <w:t xml:space="preserve">Prepaid Expenses and Other Assets: </w:t>
      </w:r>
      <w:r>
        <w:rPr>
          <w:rFonts w:ascii="Arial" w:cs="Arial" w:eastAsia="Arial" w:hAnsi="Arial"/>
          <w:sz w:val="18"/>
          <w:szCs w:val="18"/>
          <w:color w:val="auto"/>
        </w:rPr>
        <w:t>Prepaid expenses and other assets consist of the following at December 31,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100" w:type="dxa"/>
            <w:vAlign w:val="bottom"/>
            <w:vMerge w:val="restart"/>
          </w:tcPr>
          <w:p>
            <w:pPr>
              <w:spacing w:after="0"/>
              <w:rPr>
                <w:sz w:val="20"/>
                <w:szCs w:val="20"/>
                <w:color w:val="auto"/>
              </w:rPr>
            </w:pPr>
            <w:r>
              <w:rPr>
                <w:rFonts w:ascii="Arial" w:cs="Arial" w:eastAsia="Arial" w:hAnsi="Arial"/>
                <w:sz w:val="14"/>
                <w:szCs w:val="14"/>
                <w:b w:val="1"/>
                <w:bCs w:val="1"/>
                <w:color w:val="auto"/>
              </w:rPr>
              <w:t>Prepaid Expenses and Other Assets (in millions)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193"/>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42"/>
        </w:trPr>
        <w:tc>
          <w:tcPr>
            <w:tcW w:w="71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Prepaid fuel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 and insurance related receivables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Restricted cash - vessel construction obligations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9"/>
        </w:trPr>
        <w:tc>
          <w:tcPr>
            <w:tcW w:w="7100" w:type="dxa"/>
            <w:vAlign w:val="bottom"/>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i w:val="1"/>
          <w:iCs w:val="1"/>
          <w:color w:val="auto"/>
        </w:rPr>
        <w:t xml:space="preserve">Deferred Loan Fees: </w:t>
      </w:r>
      <w:r>
        <w:rPr>
          <w:rFonts w:ascii="Arial" w:cs="Arial" w:eastAsia="Arial" w:hAnsi="Arial"/>
          <w:sz w:val="18"/>
          <w:szCs w:val="18"/>
          <w:color w:val="auto"/>
        </w:rPr>
        <w:t>The Company records deferred loan fees, excluding those related to the revolving credit facility,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to Total Debt in the Company’s Consolidated Balance Sheets in accordance with Accounting Standards Update (“ASU”) 2015-03, Interest-Imputation of Interest (Subtopic 835-30): Simplifying the Presentation of Debt Issuance Costs (“ASU 2015-03”). These costs are being amortized over the life of the related debt using the effective interest method (see Note 8).</w:t>
      </w:r>
    </w:p>
    <w:p>
      <w:pPr>
        <w:spacing w:after="0" w:line="188"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Deferred loan fees related to the Company’s revolving credit facility are recorded in other long-term assets in the Company’s Consolidated Balance Sheets, and are amortized using the straight-line method as the difference between that and the use of the effective interest method is not material.</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Other Long-Term Assets: </w:t>
      </w:r>
      <w:r>
        <w:rPr>
          <w:rFonts w:ascii="Arial" w:cs="Arial" w:eastAsia="Arial" w:hAnsi="Arial"/>
          <w:sz w:val="18"/>
          <w:szCs w:val="18"/>
          <w:color w:val="auto"/>
        </w:rPr>
        <w:t>Other long-term assets consist of the following at December 31, 2021 and 2020:</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100" w:type="dxa"/>
            <w:vAlign w:val="bottom"/>
            <w:vMerge w:val="restart"/>
          </w:tcPr>
          <w:p>
            <w:pPr>
              <w:spacing w:after="0"/>
              <w:rPr>
                <w:sz w:val="20"/>
                <w:szCs w:val="20"/>
                <w:color w:val="auto"/>
              </w:rPr>
            </w:pPr>
            <w:r>
              <w:rPr>
                <w:rFonts w:ascii="Arial" w:cs="Arial" w:eastAsia="Arial" w:hAnsi="Arial"/>
                <w:sz w:val="14"/>
                <w:szCs w:val="14"/>
                <w:b w:val="1"/>
                <w:bCs w:val="1"/>
                <w:color w:val="auto"/>
              </w:rPr>
              <w:t>Other Long-Term Assets (in millions)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42"/>
        </w:trPr>
        <w:tc>
          <w:tcPr>
            <w:tcW w:w="71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Vessel and equipment spare parts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Insurance related receivables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7100" w:type="dxa"/>
            <w:vAlign w:val="bottom"/>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r>
              <w:rPr>
                <w:rFonts w:ascii="Arial" w:cs="Arial" w:eastAsia="Arial" w:hAnsi="Arial"/>
                <w:sz w:val="18"/>
                <w:szCs w:val="18"/>
                <w:u w:val="single" w:color="auto"/>
                <w:color w:val="auto"/>
              </w:rPr>
              <w:t>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is stated at cost. Property and equipment is depreciated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straight-line method over the estimated useful lives of the assets. The estimated useful lives of property and equipment range up to the following maximum life:</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10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7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40 years</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30 years</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Terminal facilities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35 years</w:t>
            </w:r>
          </w:p>
        </w:tc>
      </w:tr>
    </w:tbl>
    <w:p>
      <w:pPr>
        <w:spacing w:after="0" w:line="202"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i w:val="1"/>
          <w:iCs w:val="1"/>
          <w:color w:val="auto"/>
        </w:rPr>
        <w:t xml:space="preserve">Capitalized Interest: </w:t>
      </w:r>
      <w:r>
        <w:rPr>
          <w:rFonts w:ascii="Arial" w:cs="Arial" w:eastAsia="Arial" w:hAnsi="Arial"/>
          <w:sz w:val="16"/>
          <w:szCs w:val="16"/>
          <w:color w:val="auto"/>
        </w:rPr>
        <w:t>The Company capitalizes interest costs during the period the qualified assets are being readied for</w:t>
      </w:r>
      <w:r>
        <w:rPr>
          <w:rFonts w:ascii="Arial" w:cs="Arial" w:eastAsia="Arial" w:hAnsi="Arial"/>
          <w:sz w:val="16"/>
          <w:szCs w:val="16"/>
          <w:i w:val="1"/>
          <w:iCs w:val="1"/>
          <w:color w:val="auto"/>
        </w:rPr>
        <w:t xml:space="preserve"> </w:t>
      </w:r>
      <w:r>
        <w:rPr>
          <w:rFonts w:ascii="Arial" w:cs="Arial" w:eastAsia="Arial" w:hAnsi="Arial"/>
          <w:sz w:val="16"/>
          <w:szCs w:val="16"/>
          <w:color w:val="auto"/>
        </w:rPr>
        <w:t>their intended use. The Company determined that the vessel construction costs are considered qualifying assets for the purposes of capitalizing interest on these assets. The amount of capitalized interest is calculated based on the amount of payments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Consolidated Balance Sheets (see Note 5). During the years ended December 31, 2021, 2020 and 2019, the Company capitalized $0.2 million, $7.4 million and $15.6 million of interest related to the construction of new vessels, respectively.</w:t>
      </w:r>
    </w:p>
    <w:p>
      <w:pPr>
        <w:spacing w:after="0" w:line="15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The Company adopted Accounting Standards Codification (“ASC”) 842,</w:t>
      </w:r>
      <w:r>
        <w:rPr>
          <w:rFonts w:ascii="Arial" w:cs="Arial" w:eastAsia="Arial" w:hAnsi="Arial"/>
          <w:sz w:val="17"/>
          <w:szCs w:val="17"/>
          <w:i w:val="1"/>
          <w:iCs w:val="1"/>
          <w:color w:val="auto"/>
        </w:rPr>
        <w:t xml:space="preserve"> Leases </w:t>
      </w:r>
      <w:r>
        <w:rPr>
          <w:rFonts w:ascii="Arial" w:cs="Arial" w:eastAsia="Arial" w:hAnsi="Arial"/>
          <w:sz w:val="17"/>
          <w:szCs w:val="17"/>
          <w:color w:val="auto"/>
        </w:rPr>
        <w:t>(“ASC 842”) on January 1, 2019.</w:t>
      </w:r>
      <w:r>
        <w:rPr>
          <w:rFonts w:ascii="Arial" w:cs="Arial" w:eastAsia="Arial" w:hAnsi="Arial"/>
          <w:sz w:val="17"/>
          <w:szCs w:val="17"/>
          <w:i w:val="1"/>
          <w:iCs w:val="1"/>
          <w:color w:val="auto"/>
        </w:rPr>
        <w:t xml:space="preserve"> </w:t>
      </w:r>
      <w:r>
        <w:rPr>
          <w:rFonts w:ascii="Arial" w:cs="Arial" w:eastAsia="Arial" w:hAnsi="Arial"/>
          <w:sz w:val="17"/>
          <w:szCs w:val="17"/>
          <w:color w:val="auto"/>
        </w:rPr>
        <w:t>ASC 842 requires lessees to record leases on their balance sheets but recognize the expenses in their income statements in a manner similar to pre-adoption practice. ASC 842 states that a lessee would recognize a lease liability for the obligation to make lease payments, and a right-of-use asset for the underlying leased asset for the period of the lease term. Refer to Note 9 for additional information on the Company’s lease related disclosures.</w:t>
      </w:r>
    </w:p>
    <w:p>
      <w:pPr>
        <w:spacing w:after="0" w:line="163"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i w:val="1"/>
          <w:iCs w:val="1"/>
          <w:color w:val="auto"/>
        </w:rPr>
        <w:t xml:space="preserve">Deferred Dry-docking Costs: </w:t>
      </w:r>
      <w:r>
        <w:rPr>
          <w:rFonts w:ascii="Arial" w:cs="Arial" w:eastAsia="Arial" w:hAnsi="Arial"/>
          <w:sz w:val="17"/>
          <w:szCs w:val="17"/>
          <w:color w:val="auto"/>
        </w:rPr>
        <w:t>U.S. flagged vessels must meet specified seaworthiness standards established by U.S. Coast</w:t>
      </w:r>
      <w:r>
        <w:rPr>
          <w:rFonts w:ascii="Arial" w:cs="Arial" w:eastAsia="Arial" w:hAnsi="Arial"/>
          <w:sz w:val="17"/>
          <w:szCs w:val="17"/>
          <w:i w:val="1"/>
          <w:iCs w:val="1"/>
          <w:color w:val="auto"/>
        </w:rPr>
        <w:t xml:space="preserve"> </w:t>
      </w:r>
      <w:r>
        <w:rPr>
          <w:rFonts w:ascii="Arial" w:cs="Arial" w:eastAsia="Arial" w:hAnsi="Arial"/>
          <w:sz w:val="17"/>
          <w:szCs w:val="17"/>
          <w:color w:val="auto"/>
        </w:rPr>
        <w:t>Guard rules and classification society rules. These standards require U.S. flagged vessels to undergo two dry-docking inspections within a five-year period, with a maximum of 36 months between them. However, U.S. flagged vessels that are enrolled in the U.S. Coast Guard’s Underwater Survey in Lieu of Dry-docking (“UWILD”) program are allowed to have their Intermediate Survey dry-docking requirement met with a less costly underwater inspection. Non-U.S. flagged vessels are required to meet applicable classification society rules and their own local standards for seaworthiness, which also mandate vessels to undergo two dry-docking inspections every five years.</w:t>
      </w:r>
    </w:p>
    <w:p>
      <w:pPr>
        <w:spacing w:after="0" w:line="164"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is responsible for maintaining its vessels in compliance with U.S. and international standards. As costs associated with dry-docking inspections provide future economic benefits to the Company through continued operation of the vessels, the costs are deferred and amortized until the scheduled date of the next required dry-docking, which is usually over a two to five-year period. Amortization of deferred dry-docking costs are charged to operating expenses of the Ocean Transportation segment in the Consolidated Statements of Income and Comprehensive Income. Routine vessel maintenance and repairs are charged to expense as incurred.</w:t>
      </w:r>
    </w:p>
    <w:p>
      <w:pPr>
        <w:spacing w:after="0" w:line="164"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i w:val="1"/>
          <w:iCs w:val="1"/>
          <w:color w:val="auto"/>
        </w:rPr>
        <w:t xml:space="preserve">Goodwill and Intangible Assets: </w:t>
      </w:r>
      <w:r>
        <w:rPr>
          <w:rFonts w:ascii="Arial" w:cs="Arial" w:eastAsia="Arial" w:hAnsi="Arial"/>
          <w:sz w:val="17"/>
          <w:szCs w:val="17"/>
          <w:color w:val="auto"/>
        </w:rPr>
        <w:t>Goodwill and intangible assets arise as a result of acquisitions made by the Company (see</w:t>
      </w:r>
      <w:r>
        <w:rPr>
          <w:rFonts w:ascii="Arial" w:cs="Arial" w:eastAsia="Arial" w:hAnsi="Arial"/>
          <w:sz w:val="17"/>
          <w:szCs w:val="17"/>
          <w:i w:val="1"/>
          <w:iCs w:val="1"/>
          <w:color w:val="auto"/>
        </w:rPr>
        <w:t xml:space="preserve"> </w:t>
      </w:r>
      <w:r>
        <w:rPr>
          <w:rFonts w:ascii="Arial" w:cs="Arial" w:eastAsia="Arial" w:hAnsi="Arial"/>
          <w:sz w:val="17"/>
          <w:szCs w:val="17"/>
          <w:color w:val="auto"/>
        </w:rPr>
        <w:t>Note 6). Intangible assets consist of customer relationships which are being amortized using the straight-line method over the expected useful lives ranging up to 21 years, and a trade name that has an indefinite life.</w:t>
      </w:r>
    </w:p>
    <w:p>
      <w:pPr>
        <w:spacing w:after="0" w:line="152"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i w:val="1"/>
          <w:iCs w:val="1"/>
          <w:color w:val="auto"/>
        </w:rPr>
        <w:t>Impairment Evaluation of Long-Lived Assets, Intangible Assets and Goodwill</w:t>
      </w:r>
      <w:r>
        <w:rPr>
          <w:rFonts w:ascii="Arial" w:cs="Arial" w:eastAsia="Arial" w:hAnsi="Arial"/>
          <w:sz w:val="17"/>
          <w:szCs w:val="17"/>
          <w:color w:val="auto"/>
        </w:rPr>
        <w:t>: The Company evaluates its long-lived</w:t>
      </w:r>
      <w:r>
        <w:rPr>
          <w:rFonts w:ascii="Arial" w:cs="Arial" w:eastAsia="Arial" w:hAnsi="Arial"/>
          <w:sz w:val="17"/>
          <w:szCs w:val="17"/>
          <w:i w:val="1"/>
          <w:iCs w:val="1"/>
          <w:color w:val="auto"/>
        </w:rPr>
        <w:t xml:space="preserve"> </w:t>
      </w:r>
      <w:r>
        <w:rPr>
          <w:rFonts w:ascii="Arial" w:cs="Arial" w:eastAsia="Arial" w:hAnsi="Arial"/>
          <w:sz w:val="17"/>
          <w:szCs w:val="17"/>
          <w:color w:val="auto"/>
        </w:rPr>
        <w:t>assets, intangible assets and 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w:t>
      </w:r>
    </w:p>
    <w:p>
      <w:pPr>
        <w:spacing w:after="0" w:line="104"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Long-lived assets and finite-lived intangible assets are grouped at the lowest level reporting unit for which identifiable cash flows are available. In evaluating for impairment, the estimated future undiscounted cash flows generated by each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of these asset groups are compared with the carrying value recorded for each asset group to determine if its carrying value is recoverable. If this review determines that the amount recorded will not be recovered, the amount recorded for the asset group is reduced to its estimated fair value. No impairment charges of long-lived assets and finite-lived intangible assets were recorded for the years ended December 31, 2021, 2020 and 2019.</w:t>
      </w:r>
    </w:p>
    <w:p>
      <w:pPr>
        <w:spacing w:after="0" w:line="104" w:lineRule="exact"/>
        <w:rPr>
          <w:sz w:val="20"/>
          <w:szCs w:val="20"/>
          <w:color w:val="auto"/>
        </w:rPr>
      </w:pPr>
    </w:p>
    <w:p>
      <w:pPr>
        <w:ind w:left="60" w:right="199"/>
        <w:spacing w:after="0" w:line="293" w:lineRule="auto"/>
        <w:rPr>
          <w:sz w:val="20"/>
          <w:szCs w:val="20"/>
          <w:color w:val="auto"/>
        </w:rPr>
      </w:pPr>
      <w:r>
        <w:rPr>
          <w:rFonts w:ascii="Arial" w:cs="Arial" w:eastAsia="Arial" w:hAnsi="Arial"/>
          <w:sz w:val="16"/>
          <w:szCs w:val="16"/>
          <w:color w:val="auto"/>
        </w:rPr>
        <w:t>Indefinite-life intangible assets and goodwill are grouped at the lowest level reporting unit for which identifiable cash flows are available. In estimating the fair value of a reporting unit, the Company uses a combination of a discounted cash flow model and fair value based on market multiples of earnings before interest, taxes, depreciation and amortization. Based upon the Company’s evaluation of its indefinite-life intangible assets and goodwill for impairment, the Company determined that the fair value of each reporting unit exceeds book value. No impairment charges of indefinite-life intangible assets and goodwill were recorded for the years ended December 31, 2021, 2020 and 2019.</w:t>
      </w:r>
    </w:p>
    <w:p>
      <w:pPr>
        <w:spacing w:after="0" w:line="97" w:lineRule="exact"/>
        <w:rPr>
          <w:sz w:val="20"/>
          <w:szCs w:val="20"/>
          <w:color w:val="auto"/>
        </w:rPr>
      </w:pPr>
    </w:p>
    <w:p>
      <w:pPr>
        <w:ind w:left="60" w:right="579"/>
        <w:spacing w:after="0" w:line="301" w:lineRule="auto"/>
        <w:rPr>
          <w:sz w:val="20"/>
          <w:szCs w:val="20"/>
          <w:color w:val="auto"/>
        </w:rPr>
      </w:pPr>
      <w:r>
        <w:rPr>
          <w:rFonts w:ascii="Arial" w:cs="Arial" w:eastAsia="Arial" w:hAnsi="Arial"/>
          <w:sz w:val="16"/>
          <w:szCs w:val="16"/>
          <w:i w:val="1"/>
          <w:iCs w:val="1"/>
          <w:color w:val="auto"/>
        </w:rPr>
        <w:t xml:space="preserve">Impairment Evaluation of SSAT: </w:t>
      </w:r>
      <w:r>
        <w:rPr>
          <w:rFonts w:ascii="Arial" w:cs="Arial" w:eastAsia="Arial" w:hAnsi="Arial"/>
          <w:sz w:val="16"/>
          <w:szCs w:val="16"/>
          <w:color w:val="auto"/>
        </w:rPr>
        <w:t>The Company’s investment in SSAT, a related party, is evaluated for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there is evidence of impairment during the reporting period. If any impairment is identified, the Company evaluates if the decrease in the fair value of the investment below its carrying value is other-than-temporary. No impairment was identified during the years ended December 31, 2021, 2020 and 2019.</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Other Liabilities: </w:t>
      </w:r>
      <w:r>
        <w:rPr>
          <w:rFonts w:ascii="Arial" w:cs="Arial" w:eastAsia="Arial" w:hAnsi="Arial"/>
          <w:sz w:val="18"/>
          <w:szCs w:val="18"/>
          <w:color w:val="auto"/>
        </w:rPr>
        <w:t>Other liabilities consist of the following at December 31, 2021 and 2020:</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Liabilities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Payroll and vacation</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Employee incentives and other benefits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Insurance reserves and other related liabilities - short term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Multi-employer withdrawal liabilities - short term (see Note 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Income tax and other tax related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short-term liabilities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r>
              <w:rPr>
                <w:rFonts w:ascii="Arial" w:cs="Arial" w:eastAsia="Arial" w:hAnsi="Arial"/>
                <w:sz w:val="18"/>
                <w:szCs w:val="18"/>
                <w:u w:val="single" w:color="auto"/>
                <w:color w:val="auto"/>
              </w:rPr>
              <w:t>4</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r>
              <w:rPr>
                <w:rFonts w:ascii="Arial" w:cs="Arial" w:eastAsia="Arial" w:hAnsi="Arial"/>
                <w:sz w:val="18"/>
                <w:szCs w:val="18"/>
                <w:u w:val="single" w:color="auto"/>
                <w:color w:val="auto"/>
              </w:rPr>
              <w:t>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gridSpan w:val="10"/>
          </w:tcPr>
          <w:p>
            <w:pPr>
              <w:ind w:left="20"/>
              <w:spacing w:after="0"/>
              <w:rPr>
                <w:sz w:val="20"/>
                <w:szCs w:val="20"/>
                <w:color w:val="auto"/>
              </w:rPr>
            </w:pPr>
            <w:r>
              <w:rPr>
                <w:rFonts w:ascii="Arial" w:cs="Arial" w:eastAsia="Arial" w:hAnsi="Arial"/>
                <w:sz w:val="18"/>
                <w:szCs w:val="18"/>
                <w:i w:val="1"/>
                <w:iCs w:val="1"/>
                <w:color w:val="auto"/>
                <w:w w:val="94"/>
              </w:rPr>
              <w:t xml:space="preserve">Other Long-Term Liabilities: </w:t>
            </w:r>
            <w:r>
              <w:rPr>
                <w:rFonts w:ascii="Arial" w:cs="Arial" w:eastAsia="Arial" w:hAnsi="Arial"/>
                <w:sz w:val="18"/>
                <w:szCs w:val="18"/>
                <w:color w:val="auto"/>
                <w:w w:val="94"/>
              </w:rPr>
              <w:t>Other long-term liabilities consist of the following at December 31, 2021 and 2020:</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Long-Term Liabilities (in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7"/>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10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Multi-employer withdrawal liability (see Note 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Pension and post-retirement liabilities (see Note 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Insurance reserves and other related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i w:val="1"/>
          <w:iCs w:val="1"/>
          <w:color w:val="auto"/>
        </w:rPr>
        <w:t xml:space="preserve">Pension and Post-Retirement Plans: </w:t>
      </w:r>
      <w:r>
        <w:rPr>
          <w:rFonts w:ascii="Arial" w:cs="Arial" w:eastAsia="Arial" w:hAnsi="Arial"/>
          <w:sz w:val="18"/>
          <w:szCs w:val="18"/>
          <w:color w:val="auto"/>
        </w:rPr>
        <w:t>The Company is a member of the Pacific Maritime Association (“PMA”)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Hawaii Stevedoring Industry Committee, which negotiate multi-employer pension plans covering certain shoreside bargaining unit personnel. The Company directly negotiates multi-employer pension plans covering other bargaining unit personnel. Pension costs are accrued in accordance with contribution rates established by the PMA, the parties to a plan or the trustees of a plan. Several trusteed, non-contributory, single-employer defined benefit plans and defined contribution plans cover substantially all other employees.</w:t>
      </w:r>
    </w:p>
    <w:p>
      <w:pPr>
        <w:spacing w:after="0" w:line="111"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The estimation of the Company’s pension and post-retirement benefit expenses and liabilities requires that the Company make various assumptions. These assumptions include factors such as discount rates, expected long-term rates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Additional information about the Company’s pension and post-retirement plans is included in Note 11.</w:t>
      </w:r>
    </w:p>
    <w:p>
      <w:pPr>
        <w:spacing w:after="0" w:line="111"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i w:val="1"/>
          <w:iCs w:val="1"/>
          <w:color w:val="auto"/>
        </w:rPr>
        <w:t xml:space="preserve">Insurance Related Liabilities: </w:t>
      </w:r>
      <w:r>
        <w:rPr>
          <w:rFonts w:ascii="Arial" w:cs="Arial" w:eastAsia="Arial" w:hAnsi="Arial"/>
          <w:sz w:val="16"/>
          <w:szCs w:val="16"/>
          <w:color w:val="auto"/>
        </w:rPr>
        <w:t>The Company is uninsured for certain risks but when feasible, many of these risks are</w:t>
      </w:r>
      <w:r>
        <w:rPr>
          <w:rFonts w:ascii="Arial" w:cs="Arial" w:eastAsia="Arial" w:hAnsi="Arial"/>
          <w:sz w:val="16"/>
          <w:szCs w:val="16"/>
          <w:i w:val="1"/>
          <w:iCs w:val="1"/>
          <w:color w:val="auto"/>
        </w:rPr>
        <w:t xml:space="preserve"> </w:t>
      </w:r>
      <w:r>
        <w:rPr>
          <w:rFonts w:ascii="Arial" w:cs="Arial" w:eastAsia="Arial" w:hAnsi="Arial"/>
          <w:sz w:val="16"/>
          <w:szCs w:val="16"/>
          <w:color w:val="auto"/>
        </w:rPr>
        <w:t>mitigated by insurance. The Company purchases insurance with deductibles or self-insured retentions. Such insurance includes, but is not limited to, employee health, workers’ compensation, marine liability, cybersecurity, auto liability and physical damage to property and equipment. For certain risks, the Company elects to not purchase insurance because of the excessive cost of insurance or the perceived remoteness of the risk. In addition, the Company retains all risk of loss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color w:val="auto"/>
        </w:rPr>
        <w:t>that exceeds the limits of the Company’s insurance policies, or for other risks where insurance is not commercially available.</w:t>
      </w:r>
    </w:p>
    <w:p>
      <w:pPr>
        <w:spacing w:after="0" w:line="89"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When estimating its reserves for retained risks and related liabilities, the Company considers a number of factors, including historical claims experience, demographic factors, current trends, and analyses provided by independent third-parties. Periodically, management reviews its assumptions and estimates used to determine the adequacy of the Company’s reserves for retained risks and other related liabilities.</w:t>
      </w:r>
    </w:p>
    <w:p>
      <w:pPr>
        <w:spacing w:after="0" w:line="106"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i w:val="1"/>
          <w:iCs w:val="1"/>
          <w:color w:val="auto"/>
        </w:rPr>
        <w:t xml:space="preserve">Recognition of Revenues and Expenses: </w:t>
      </w:r>
      <w:r>
        <w:rPr>
          <w:rFonts w:ascii="Arial" w:cs="Arial" w:eastAsia="Arial" w:hAnsi="Arial"/>
          <w:sz w:val="16"/>
          <w:szCs w:val="16"/>
          <w:color w:val="auto"/>
        </w:rPr>
        <w:t>Revenue in the Company’s Consolidated Financial Statements is presented net of</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elimination of intercompany transactions. The following is a description of the Company’s principal revenue generating activities by segment, and the Company’s revenue recognition policy for each activity for the periods presented:</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Ocean Transportation (in millions) (1)</w:t>
            </w: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3,101.9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1,821.7</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1,625.8</w:t>
            </w:r>
          </w:p>
        </w:tc>
        <w:tc>
          <w:tcPr>
            <w:tcW w:w="0" w:type="dxa"/>
            <w:vAlign w:val="bottom"/>
          </w:tcPr>
          <w:p>
            <w:pPr>
              <w:spacing w:after="0"/>
              <w:rPr>
                <w:sz w:val="1"/>
                <w:szCs w:val="1"/>
                <w:color w:val="auto"/>
              </w:rPr>
            </w:pPr>
          </w:p>
        </w:tc>
      </w:tr>
      <w:tr>
        <w:trPr>
          <w:trHeight w:val="216"/>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Terminal and other related services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Fuel sales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Vessel management and related services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3,132.8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1,853.9</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1,666.6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99" w:hanging="330"/>
        <w:spacing w:after="0" w:line="253"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78" w:lineRule="exact"/>
        <w:rPr>
          <w:sz w:val="20"/>
          <w:szCs w:val="20"/>
          <w:color w:val="auto"/>
        </w:rPr>
      </w:pPr>
    </w:p>
    <w:p>
      <w:pPr>
        <w:ind w:left="380" w:right="119"/>
        <w:spacing w:after="0" w:line="259" w:lineRule="auto"/>
        <w:rPr>
          <w:sz w:val="20"/>
          <w:szCs w:val="20"/>
          <w:color w:val="auto"/>
        </w:rPr>
      </w:pPr>
      <w:r>
        <w:rPr>
          <w:rFonts w:ascii="Arial" w:cs="Arial" w:eastAsia="Arial" w:hAnsi="Arial"/>
          <w:sz w:val="18"/>
          <w:szCs w:val="18"/>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w:t>
      </w:r>
    </w:p>
    <w:p>
      <w:pPr>
        <w:spacing w:after="0" w:line="17" w:lineRule="exact"/>
        <w:rPr>
          <w:sz w:val="20"/>
          <w:szCs w:val="20"/>
          <w:color w:val="auto"/>
        </w:rPr>
      </w:pPr>
    </w:p>
    <w:p>
      <w:pPr>
        <w:ind w:left="380" w:right="179"/>
        <w:spacing w:after="0" w:line="250" w:lineRule="auto"/>
        <w:rPr>
          <w:sz w:val="20"/>
          <w:szCs w:val="20"/>
          <w:color w:val="auto"/>
        </w:rPr>
      </w:pPr>
      <w:r>
        <w:rPr>
          <w:rFonts w:ascii="Arial" w:cs="Arial" w:eastAsia="Arial" w:hAnsi="Arial"/>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Arial" w:cs="Arial" w:eastAsia="Arial" w:hAnsi="Arial"/>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50" w:lineRule="auto"/>
        <w:rPr>
          <w:sz w:val="20"/>
          <w:szCs w:val="20"/>
          <w:color w:val="auto"/>
        </w:rPr>
      </w:pPr>
      <w:r>
        <w:rPr>
          <w:rFonts w:ascii="Arial" w:cs="Arial" w:eastAsia="Arial" w:hAnsi="Arial"/>
          <w:sz w:val="18"/>
          <w:szCs w:val="18"/>
          <w:color w:val="auto"/>
        </w:rPr>
        <w:t>Vessel management and related services revenue is recognized in proportion to the services completed. Related costs are recognized as incurred.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Logistics (in millions) (1)</w:t>
            </w: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16"/>
        </w:trPr>
        <w:tc>
          <w:tcPr>
            <w:tcW w:w="6020" w:type="dxa"/>
            <w:vAlign w:val="bottom"/>
            <w:gridSpan w:val="3"/>
          </w:tcPr>
          <w:p>
            <w:pPr>
              <w:ind w:left="20"/>
              <w:spacing w:after="0"/>
              <w:rPr>
                <w:sz w:val="20"/>
                <w:szCs w:val="20"/>
                <w:color w:val="auto"/>
              </w:rPr>
            </w:pPr>
            <w:r>
              <w:rPr>
                <w:rFonts w:ascii="Arial" w:cs="Arial" w:eastAsia="Arial" w:hAnsi="Arial"/>
                <w:sz w:val="18"/>
                <w:szCs w:val="18"/>
                <w:color w:val="auto"/>
              </w:rPr>
              <w:t>Warehousing and distribution services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Supply chain management and other services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602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r>
              <w:rPr>
                <w:rFonts w:ascii="Arial" w:cs="Arial" w:eastAsia="Arial" w:hAnsi="Arial"/>
                <w:sz w:val="18"/>
                <w:szCs w:val="18"/>
                <w:u w:val="single" w:color="auto"/>
                <w:color w:val="auto"/>
              </w:rPr>
              <w:t>4</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r>
              <w:rPr>
                <w:rFonts w:ascii="Arial" w:cs="Arial" w:eastAsia="Arial" w:hAnsi="Arial"/>
                <w:sz w:val="18"/>
                <w:szCs w:val="18"/>
                <w:u w:val="single" w:color="auto"/>
                <w:color w:val="auto"/>
              </w:rPr>
              <w:t>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59" w:hanging="330"/>
        <w:spacing w:after="0" w:line="290" w:lineRule="auto"/>
        <w:tabs>
          <w:tab w:leader="none" w:pos="3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Logistics revenue transactions are primarily denominated in U.S. dollars except for approximately 5 percent of transportation brokerage and freight forwarding services revenue, and supply chain management and other services revenue categories which are denominated in foreign currencies.</w:t>
      </w:r>
    </w:p>
    <w:p>
      <w:pPr>
        <w:spacing w:after="0" w:line="56" w:lineRule="exact"/>
        <w:rPr>
          <w:sz w:val="20"/>
          <w:szCs w:val="20"/>
          <w:color w:val="auto"/>
        </w:rPr>
      </w:pPr>
    </w:p>
    <w:p>
      <w:pPr>
        <w:ind w:left="380" w:right="99"/>
        <w:spacing w:after="0" w:line="272" w:lineRule="auto"/>
        <w:rPr>
          <w:sz w:val="20"/>
          <w:szCs w:val="20"/>
          <w:color w:val="auto"/>
        </w:rPr>
      </w:pPr>
      <w:r>
        <w:rPr>
          <w:rFonts w:ascii="Arial" w:cs="Arial" w:eastAsia="Arial" w:hAnsi="Arial"/>
          <w:sz w:val="17"/>
          <w:szCs w:val="17"/>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8" w:lineRule="exact"/>
        <w:rPr>
          <w:sz w:val="20"/>
          <w:szCs w:val="20"/>
          <w:color w:val="auto"/>
        </w:rPr>
      </w:pPr>
    </w:p>
    <w:p>
      <w:pPr>
        <w:ind w:left="380" w:right="99"/>
        <w:spacing w:after="0" w:line="265" w:lineRule="auto"/>
        <w:rPr>
          <w:sz w:val="20"/>
          <w:szCs w:val="20"/>
          <w:color w:val="auto"/>
        </w:rPr>
      </w:pPr>
      <w:r>
        <w:rPr>
          <w:rFonts w:ascii="Arial" w:cs="Arial" w:eastAsia="Arial" w:hAnsi="Arial"/>
          <w:sz w:val="17"/>
          <w:szCs w:val="17"/>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ind w:left="380" w:right="319"/>
        <w:spacing w:after="0" w:line="260" w:lineRule="auto"/>
        <w:rPr>
          <w:sz w:val="20"/>
          <w:szCs w:val="20"/>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administration expenses in the Consolidated Statements of Income and Comprehensive Income.</w:t>
      </w:r>
    </w:p>
    <w:p>
      <w:pPr>
        <w:spacing w:after="0" w:line="110" w:lineRule="exact"/>
        <w:rPr>
          <w:sz w:val="20"/>
          <w:szCs w:val="20"/>
          <w:color w:val="auto"/>
        </w:rPr>
      </w:pPr>
    </w:p>
    <w:p>
      <w:pPr>
        <w:jc w:val="both"/>
        <w:ind w:left="60" w:right="199"/>
        <w:spacing w:after="0" w:line="259" w:lineRule="auto"/>
        <w:rPr>
          <w:sz w:val="20"/>
          <w:szCs w:val="20"/>
          <w:color w:val="auto"/>
        </w:rPr>
      </w:pPr>
      <w:r>
        <w:rPr>
          <w:rFonts w:ascii="Arial" w:cs="Arial" w:eastAsia="Arial" w:hAnsi="Arial"/>
          <w:sz w:val="18"/>
          <w:szCs w:val="18"/>
          <w:i w:val="1"/>
          <w:iCs w:val="1"/>
          <w:color w:val="auto"/>
        </w:rPr>
        <w:t xml:space="preserve">Customer Concentration: </w:t>
      </w:r>
      <w:r>
        <w:rPr>
          <w:rFonts w:ascii="Arial" w:cs="Arial" w:eastAsia="Arial" w:hAnsi="Arial"/>
          <w:sz w:val="18"/>
          <w:szCs w:val="18"/>
          <w:color w:val="auto"/>
        </w:rPr>
        <w:t>The Ocean Transportation segment serves customers in numerous industries and carries a wide</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cargo, mitigating its dependence upon any single customer or single type of cargo. In 2021, the Company’s 10 largest Ocean Transportation customers accounted for approximately 15 percent of the Company’s Ocean Transportation operating revenue.</w:t>
      </w:r>
    </w:p>
    <w:p>
      <w:pPr>
        <w:spacing w:after="0" w:line="119" w:lineRule="exact"/>
        <w:rPr>
          <w:sz w:val="20"/>
          <w:szCs w:val="20"/>
          <w:color w:val="auto"/>
        </w:rPr>
      </w:pPr>
    </w:p>
    <w:p>
      <w:pPr>
        <w:ind w:left="100" w:right="419" w:hanging="44"/>
        <w:spacing w:after="0" w:line="342" w:lineRule="auto"/>
        <w:rPr>
          <w:sz w:val="20"/>
          <w:szCs w:val="20"/>
          <w:color w:val="auto"/>
        </w:rPr>
      </w:pPr>
      <w:r>
        <w:rPr>
          <w:rFonts w:ascii="Arial" w:cs="Arial" w:eastAsia="Arial" w:hAnsi="Arial"/>
          <w:sz w:val="16"/>
          <w:szCs w:val="16"/>
          <w:color w:val="auto"/>
        </w:rPr>
        <w:t>The Logistics segment serves customers in numerous industries and geographical locations. In 2021, the Company’s 10 largest Logistics customers accounted for approximately 25 percent of the Company’s Logistics operating revenue.</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Company recognizes dividends as a liability when approved by the Board of Directors.</w:t>
      </w:r>
    </w:p>
    <w:p>
      <w:pPr>
        <w:spacing w:after="0" w:line="158"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The Company records compensation expense for all share-based awards made to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and directors. The Company’s various stock-based compensation plans are more fully described in Note 15.</w:t>
      </w:r>
    </w:p>
    <w:p>
      <w:pPr>
        <w:spacing w:after="0" w:line="56"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estimate of the Company’s income tax expense requires the Company to make various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judgments. These estimates and judgments are applied in the calculation of taxable income, tax credits, tax benefits and deductions, and in the calculation of certain deferred tax assets and liabilities, which arise from differences in the timing of recognition of revenue, costs and expenses for tax purposes. Deferred tax assets and liabilities are adjusted to the extent necessary to reflect tax rates expected to be in effect when the temporary differences reverse.</w:t>
      </w:r>
    </w:p>
    <w:p>
      <w:pPr>
        <w:spacing w:after="0" w:line="94"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The Company records a valuation allowance if, based on the weight of available evidence, management believes that it is more likely than not that some portion or all of a recorded deferred tax asset would not be realized in future periods. The Company’s income taxes are more fully described in Note 10.</w:t>
      </w:r>
    </w:p>
    <w:p>
      <w:pPr>
        <w:spacing w:after="0" w:line="116"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i w:val="1"/>
          <w:iCs w:val="1"/>
          <w:color w:val="auto"/>
        </w:rPr>
        <w:t xml:space="preserve">Rounding: </w:t>
      </w:r>
      <w:r>
        <w:rPr>
          <w:rFonts w:ascii="Arial" w:cs="Arial" w:eastAsia="Arial" w:hAnsi="Arial"/>
          <w:sz w:val="18"/>
          <w:szCs w:val="18"/>
          <w:color w:val="auto"/>
        </w:rPr>
        <w:t>Amounts in the Consolidated Financial Statements and Notes to the Consolidated Financial Statements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rounded to millions, except for per share calculations and percentages which were determined based on amounts before rounding. Accordingly, a recalculation of some per-share amounts and percentages, if based on the reported data, may be slightly different.</w:t>
      </w:r>
    </w:p>
    <w:p>
      <w:pPr>
        <w:spacing w:after="0" w:line="399" w:lineRule="exact"/>
        <w:rPr>
          <w:sz w:val="20"/>
          <w:szCs w:val="20"/>
          <w:color w:val="auto"/>
        </w:rPr>
      </w:pPr>
    </w:p>
    <w:p>
      <w:pPr>
        <w:ind w:left="700" w:hanging="650"/>
        <w:spacing w:after="0"/>
        <w:tabs>
          <w:tab w:leader="none" w:pos="7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148"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76" w:lineRule="exact"/>
        <w:rPr>
          <w:sz w:val="20"/>
          <w:szCs w:val="20"/>
          <w:color w:val="auto"/>
        </w:rPr>
      </w:pPr>
    </w:p>
    <w:p>
      <w:pPr>
        <w:ind w:left="60" w:right="419"/>
        <w:spacing w:after="0" w:line="255" w:lineRule="auto"/>
        <w:rPr>
          <w:sz w:val="20"/>
          <w:szCs w:val="20"/>
          <w:color w:val="auto"/>
        </w:rPr>
      </w:pPr>
      <w:r>
        <w:rPr>
          <w:rFonts w:ascii="Arial" w:cs="Arial" w:eastAsia="Arial" w:hAnsi="Arial"/>
          <w:sz w:val="18"/>
          <w:szCs w:val="18"/>
          <w:color w:val="auto"/>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 (see Note 4).</w:t>
      </w:r>
    </w:p>
    <w:p>
      <w:pPr>
        <w:spacing w:after="0" w:line="111"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$213.8 million, $115.5 million and $102.3 million for the years ended December 31, 2021, 2020 and 2019, respectively, have been eliminated from operating revenues in the table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6" w:lineRule="auto"/>
        <w:rPr>
          <w:sz w:val="20"/>
          <w:szCs w:val="20"/>
          <w:color w:val="auto"/>
        </w:rPr>
      </w:pPr>
      <w:r>
        <w:rPr>
          <w:rFonts w:ascii="Arial" w:cs="Arial" w:eastAsia="Arial" w:hAnsi="Arial"/>
          <w:sz w:val="18"/>
          <w:szCs w:val="18"/>
          <w:color w:val="auto"/>
        </w:rPr>
        <w:t>Reportable segment financial information for the years ended December 31, 2021, 2020 and 2019, and identifiable asset segment information at December 31, 2021 and 2020, are as follows: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45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Ocean Transportation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3,132.8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1,853.9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6"/>
              </w:rPr>
              <w:t>1,666.6</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0" w:type="dxa"/>
            <w:vAlign w:val="bottom"/>
          </w:tcPr>
          <w:p>
            <w:pPr>
              <w:spacing w:after="0"/>
              <w:rPr>
                <w:sz w:val="1"/>
                <w:szCs w:val="1"/>
                <w:color w:val="auto"/>
              </w:rPr>
            </w:pPr>
          </w:p>
        </w:tc>
      </w:tr>
      <w:tr>
        <w:trPr>
          <w:trHeight w:val="249"/>
        </w:trPr>
        <w:tc>
          <w:tcPr>
            <w:tcW w:w="618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3,925.3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2,383.3</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2,203.1</w:t>
            </w:r>
          </w:p>
        </w:tc>
        <w:tc>
          <w:tcPr>
            <w:tcW w:w="0" w:type="dxa"/>
            <w:vAlign w:val="bottom"/>
          </w:tcPr>
          <w:p>
            <w:pPr>
              <w:spacing w:after="0"/>
              <w:rPr>
                <w:sz w:val="1"/>
                <w:szCs w:val="1"/>
                <w:color w:val="auto"/>
              </w:rPr>
            </w:pPr>
          </w:p>
        </w:tc>
      </w:tr>
      <w:tr>
        <w:trPr>
          <w:trHeight w:val="197"/>
        </w:trPr>
        <w:tc>
          <w:tcPr>
            <w:tcW w:w="61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Ocean Transportation (3)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1,137.7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244.8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0"/>
        </w:trPr>
        <w:tc>
          <w:tcPr>
            <w:tcW w:w="6180" w:type="dxa"/>
            <w:vAlign w:val="bottom"/>
            <w:gridSpan w:val="2"/>
          </w:tcPr>
          <w:p>
            <w:pPr>
              <w:ind w:left="440"/>
              <w:spacing w:after="0"/>
              <w:rPr>
                <w:sz w:val="20"/>
                <w:szCs w:val="20"/>
                <w:color w:val="auto"/>
              </w:rPr>
            </w:pPr>
            <w:r>
              <w:rPr>
                <w:rFonts w:ascii="Arial" w:cs="Arial" w:eastAsia="Arial" w:hAnsi="Arial"/>
                <w:sz w:val="18"/>
                <w:szCs w:val="18"/>
                <w:color w:val="auto"/>
              </w:rPr>
              <w:t>Total Operating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3"/>
              </w:rPr>
              <w:t>1,187.5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(65.9)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9"/>
        </w:trPr>
        <w:tc>
          <w:tcPr>
            <w:tcW w:w="6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322.4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190.0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Capital Expenditures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Ocean Transportation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Logistics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dry-docking amortization - Ocean Transportation</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Depreciation and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380" w:right="479" w:hanging="330"/>
        <w:spacing w:after="0" w:line="230"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Ocean Transportation operating revenue excludes inter-segment revenue of $81.0 million, $59.1 million and $52.8 million for the years ended December 31, 2021, 2020 and 2019, respectively.</w:t>
      </w:r>
    </w:p>
    <w:p>
      <w:pPr>
        <w:ind w:left="380" w:right="279" w:hanging="330"/>
        <w:spacing w:after="0" w:line="221"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Logistics operating revenue excludes inter-segment revenue of $132.8 million, $56.4 million and $49.5 million for the years ended December 31, 2021, 2020 and 2019, respectively.</w:t>
      </w:r>
    </w:p>
    <w:p>
      <w:pPr>
        <w:ind w:left="380" w:right="139" w:hanging="330"/>
        <w:spacing w:after="0" w:line="237"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$56.3 million, $26.3 million, and $20.8 million of equity in income from the Company’s equity investment in SSAT for the years ended December 31, 2021,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-582930</wp:posOffset>
            </wp:positionV>
            <wp:extent cx="14141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21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6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6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Ocean Transportation (1)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3,096.6</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2,431.1</w:t>
            </w: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r>
      <w:tr>
        <w:trPr>
          <w:trHeight w:val="210"/>
        </w:trPr>
        <w:tc>
          <w:tcPr>
            <w:tcW w:w="20" w:type="dxa"/>
            <w:vAlign w:val="bottom"/>
          </w:tcPr>
          <w:p>
            <w:pPr>
              <w:spacing w:after="0"/>
              <w:rPr>
                <w:sz w:val="18"/>
                <w:szCs w:val="18"/>
                <w:color w:val="auto"/>
              </w:rPr>
            </w:pPr>
          </w:p>
        </w:tc>
        <w:tc>
          <w:tcPr>
            <w:tcW w:w="694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3,693.1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2,900.6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76" w:lineRule="exact"/>
        <w:rPr>
          <w:sz w:val="20"/>
          <w:szCs w:val="20"/>
          <w:color w:val="auto"/>
        </w:rPr>
      </w:pPr>
    </w:p>
    <w:p>
      <w:pPr>
        <w:ind w:left="380" w:right="879" w:hanging="330"/>
        <w:spacing w:after="0" w:line="253"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Ocean Transportation segment includes $58.7 million and $48.7 million related to the Company’s equity investment in SSAT as of December 31, 2021 and 2020, respectively.</w:t>
      </w:r>
    </w:p>
    <w:p>
      <w:pPr>
        <w:spacing w:after="0" w:line="200" w:lineRule="exact"/>
        <w:rPr>
          <w:sz w:val="20"/>
          <w:szCs w:val="20"/>
          <w:color w:val="auto"/>
        </w:rPr>
      </w:pPr>
    </w:p>
    <w:p>
      <w:pPr>
        <w:spacing w:after="0" w:line="217" w:lineRule="exact"/>
        <w:rPr>
          <w:sz w:val="20"/>
          <w:szCs w:val="20"/>
          <w:color w:val="auto"/>
        </w:rPr>
      </w:pPr>
    </w:p>
    <w:p>
      <w:pPr>
        <w:ind w:left="700" w:hanging="650"/>
        <w:spacing w:after="0"/>
        <w:tabs>
          <w:tab w:leader="none" w:pos="7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SSAT</w:t>
      </w:r>
    </w:p>
    <w:p>
      <w:pPr>
        <w:spacing w:after="0" w:line="13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Company accounts for its 35 percent ownership interest in SSAT using the equity method of accounting. The Company records its share of income from SSAT in costs and expenses within the Ocean Transportation segment due to operations of SSAT being an integral part of the Company’s Ocean Transportation business. The Company’s investment in SSAT was $58.7 million and $48.7 million at December 31, 2021 and 2020, respectively. During the year ended December 31, 2020, the Company recorded an increase of $2.2 million in its investment in SSAT and a corresponding increase in retained earnings related to the formation of a new subsidiary of SSAT, whose controlling interest is retained by SSAT.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337" w:lineRule="auto"/>
        <w:rPr>
          <w:sz w:val="20"/>
          <w:szCs w:val="20"/>
          <w:color w:val="auto"/>
        </w:rPr>
      </w:pPr>
      <w:r>
        <w:rPr>
          <w:rFonts w:ascii="Arial" w:cs="Arial" w:eastAsia="Arial" w:hAnsi="Arial"/>
          <w:sz w:val="16"/>
          <w:szCs w:val="16"/>
          <w:color w:val="auto"/>
        </w:rPr>
        <w:t>The Company’s share of income recorded in the Consolidated Statements of Income and Comprehensive Income and dividends received by the Company during the years ended December 31, 2021, 2020 and 2019 are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ind w:right="196"/>
              <w:spacing w:after="0"/>
              <w:rPr>
                <w:sz w:val="20"/>
                <w:szCs w:val="20"/>
                <w:color w:val="auto"/>
              </w:rPr>
            </w:pPr>
            <w:r>
              <w:rPr>
                <w:rFonts w:ascii="Arial" w:cs="Arial" w:eastAsia="Arial" w:hAnsi="Arial"/>
                <w:sz w:val="14"/>
                <w:szCs w:val="14"/>
                <w:b w:val="1"/>
                <w:bCs w:val="1"/>
                <w:color w:val="auto"/>
                <w:w w:val="97"/>
              </w:rPr>
              <w:t>Years Ended December 31,</w:t>
            </w: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09"/>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Company's share of net income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Distributions received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color w:val="auto"/>
        </w:rPr>
        <w:t>The Company’s Ocean Transportation segment operating costs include $284.9 million, $251.6 million and $218.7 million for the years ended December 31, 2021, 2020 and 2019, respectively, for terminal services provided by SSAT. Accounts payable and accrued liabilities in the Consolidated Balance Sheets include $38.8 million and $29.8 million for terminal services payable to SSAT at December 31, 2021 and 2020,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condensed balance sheets of SSAT at December 31, 2021 and 2020 is as follows:</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Condensed Balance Sheets (in millions)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assets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1,239.7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1,249.5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1,583.1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1,543.8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1,125.5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1,179.9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Pr>
          <w:p>
            <w:pPr>
              <w:ind w:left="80"/>
              <w:spacing w:after="0"/>
              <w:rPr>
                <w:sz w:val="20"/>
                <w:szCs w:val="20"/>
                <w:color w:val="auto"/>
              </w:rPr>
            </w:pPr>
            <w:r>
              <w:rPr>
                <w:rFonts w:ascii="Arial" w:cs="Arial" w:eastAsia="Arial" w:hAnsi="Arial"/>
                <w:sz w:val="18"/>
                <w:szCs w:val="18"/>
                <w:color w:val="auto"/>
              </w:rPr>
              <w:t>Total Liabilities and Equity</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1,583.1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1,543.8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58" w:lineRule="auto"/>
        <w:rPr>
          <w:sz w:val="20"/>
          <w:szCs w:val="20"/>
          <w:color w:val="auto"/>
        </w:rPr>
      </w:pPr>
      <w:r>
        <w:rPr>
          <w:rFonts w:ascii="Arial" w:cs="Arial" w:eastAsia="Arial" w:hAnsi="Arial"/>
          <w:sz w:val="18"/>
          <w:szCs w:val="18"/>
          <w:color w:val="auto"/>
        </w:rPr>
        <w:t>A summary of the condensed statements of operating income and net income of SSAT for years ended December 31, 2021, 2020 and 2019 are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Condensed Statements of Operating Income and Net Income (in millions)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474"/>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1,297.5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1,091.6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1,113.8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1,003.2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1,035.3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100"/>
              <w:spacing w:after="0"/>
              <w:rPr>
                <w:sz w:val="20"/>
                <w:szCs w:val="20"/>
                <w:color w:val="auto"/>
              </w:rPr>
            </w:pPr>
            <w:r>
              <w:rPr>
                <w:rFonts w:ascii="Arial" w:cs="Arial" w:eastAsia="Arial" w:hAnsi="Arial"/>
                <w:sz w:val="18"/>
                <w:szCs w:val="18"/>
                <w:color w:val="auto"/>
              </w:rPr>
              <w:t>Net Income (1)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spacing w:after="0" w:line="200" w:lineRule="exact"/>
        <w:rPr>
          <w:sz w:val="20"/>
          <w:szCs w:val="20"/>
          <w:color w:val="auto"/>
        </w:rPr>
      </w:pPr>
    </w:p>
    <w:p>
      <w:pPr>
        <w:spacing w:after="0" w:line="233" w:lineRule="exact"/>
        <w:rPr>
          <w:sz w:val="20"/>
          <w:szCs w:val="20"/>
          <w:color w:val="auto"/>
        </w:rPr>
      </w:pPr>
    </w:p>
    <w:p>
      <w:pPr>
        <w:ind w:left="700" w:hanging="650"/>
        <w:spacing w:after="0"/>
        <w:tabs>
          <w:tab w:leader="none" w:pos="7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59"/>
        <w:spacing w:after="0" w:line="258" w:lineRule="auto"/>
        <w:rPr>
          <w:sz w:val="20"/>
          <w:szCs w:val="20"/>
          <w:color w:val="auto"/>
        </w:rPr>
      </w:pPr>
      <w:r>
        <w:rPr>
          <w:rFonts w:ascii="Arial" w:cs="Arial" w:eastAsia="Arial" w:hAnsi="Arial"/>
          <w:sz w:val="18"/>
          <w:szCs w:val="18"/>
          <w:color w:val="auto"/>
        </w:rPr>
        <w:t>Property and equipment at December 31, 2021 and 2020, and depreciation expense for the years ended December 31, 2021, 2020 and 2019 is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2"/>
              </w:rPr>
              <w:t>As of December 31, 2021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10"/>
          </w:tcPr>
          <w:p>
            <w:pPr>
              <w:ind w:left="540"/>
              <w:spacing w:after="0"/>
              <w:rPr>
                <w:sz w:val="20"/>
                <w:szCs w:val="20"/>
                <w:color w:val="auto"/>
              </w:rPr>
            </w:pPr>
            <w:r>
              <w:rPr>
                <w:rFonts w:ascii="Arial" w:cs="Arial" w:eastAsia="Arial" w:hAnsi="Arial"/>
                <w:sz w:val="14"/>
                <w:szCs w:val="14"/>
                <w:b w:val="1"/>
                <w:bCs w:val="1"/>
                <w:color w:val="auto"/>
                <w:w w:val="93"/>
              </w:rPr>
              <w:t>As of December 31, 2020</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Net Book Value</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3"/>
              </w:rPr>
              <w:t>Net Book Value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80" w:type="dxa"/>
            <w:vAlign w:val="bottom"/>
            <w:gridSpan w:val="5"/>
          </w:tcPr>
          <w:p>
            <w:pPr>
              <w:ind w:left="20"/>
              <w:spacing w:after="0"/>
              <w:rPr>
                <w:sz w:val="20"/>
                <w:szCs w:val="20"/>
                <w:color w:val="auto"/>
              </w:rPr>
            </w:pPr>
            <w:r>
              <w:rPr>
                <w:rFonts w:ascii="Arial" w:cs="Arial" w:eastAsia="Arial" w:hAnsi="Arial"/>
                <w:sz w:val="14"/>
                <w:szCs w:val="14"/>
                <w:b w:val="1"/>
                <w:bCs w:val="1"/>
                <w:color w:val="auto"/>
              </w:rPr>
              <w:t>Depreciation</w:t>
            </w:r>
          </w:p>
        </w:tc>
        <w:tc>
          <w:tcPr>
            <w:tcW w:w="10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Vessels</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$ 2,243.8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1,483.3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2,191.6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1,406.1</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Containers and equipment</w:t>
            </w:r>
          </w:p>
        </w:tc>
        <w:tc>
          <w:tcPr>
            <w:tcW w:w="740" w:type="dxa"/>
            <w:vAlign w:val="bottom"/>
          </w:tcPr>
          <w:p>
            <w:pPr>
              <w:jc w:val="right"/>
              <w:spacing w:after="0"/>
              <w:rPr>
                <w:sz w:val="20"/>
                <w:szCs w:val="20"/>
                <w:color w:val="auto"/>
              </w:rPr>
            </w:pPr>
            <w:r>
              <w:rPr>
                <w:rFonts w:ascii="Arial" w:cs="Arial" w:eastAsia="Arial" w:hAnsi="Arial"/>
                <w:sz w:val="18"/>
                <w:szCs w:val="18"/>
                <w:color w:val="auto"/>
              </w:rPr>
              <w:t>680.9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Terminal facilities and other property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Vessel construction in progress</w:t>
            </w:r>
          </w:p>
        </w:tc>
        <w:tc>
          <w:tcPr>
            <w:tcW w:w="74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construction in progress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$ 3,087.4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1,209.1</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1,878.3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2,912.3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1,222.4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1,689.</w:t>
            </w:r>
            <w:r>
              <w:rPr>
                <w:rFonts w:ascii="Arial" w:cs="Arial" w:eastAsia="Arial" w:hAnsi="Arial"/>
                <w:sz w:val="18"/>
                <w:szCs w:val="18"/>
                <w:u w:val="single" w:color="auto"/>
                <w:color w:val="auto"/>
                <w:w w:val="93"/>
              </w:rPr>
              <w:t>9</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0"/>
          </w:tcPr>
          <w:p>
            <w:pPr>
              <w:ind w:left="420"/>
              <w:spacing w:after="0"/>
              <w:rPr>
                <w:sz w:val="20"/>
                <w:szCs w:val="20"/>
                <w:color w:val="auto"/>
              </w:rPr>
            </w:pPr>
            <w:r>
              <w:rPr>
                <w:rFonts w:ascii="Arial" w:cs="Arial" w:eastAsia="Arial" w:hAnsi="Arial"/>
                <w:sz w:val="14"/>
                <w:szCs w:val="14"/>
                <w:b w:val="1"/>
                <w:bCs w:val="1"/>
                <w:color w:val="auto"/>
                <w:w w:val="92"/>
              </w:rPr>
              <w:t>Years Ended December 31,</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0" w:type="dxa"/>
            <w:vAlign w:val="bottom"/>
          </w:tcPr>
          <w:p>
            <w:pPr>
              <w:ind w:left="20"/>
              <w:spacing w:after="0"/>
              <w:rPr>
                <w:sz w:val="20"/>
                <w:szCs w:val="20"/>
                <w:color w:val="auto"/>
              </w:rPr>
            </w:pPr>
            <w:r>
              <w:rPr>
                <w:rFonts w:ascii="Arial" w:cs="Arial" w:eastAsia="Arial" w:hAnsi="Arial"/>
                <w:sz w:val="18"/>
                <w:szCs w:val="18"/>
                <w:b w:val="1"/>
                <w:bCs w:val="1"/>
                <w:color w:val="auto"/>
              </w:rPr>
              <w:t>6.</w:t>
            </w:r>
          </w:p>
        </w:tc>
        <w:tc>
          <w:tcPr>
            <w:tcW w:w="5760" w:type="dxa"/>
            <w:vAlign w:val="bottom"/>
            <w:gridSpan w:val="2"/>
          </w:tcPr>
          <w:p>
            <w:pPr>
              <w:ind w:left="260"/>
              <w:spacing w:after="0"/>
              <w:rPr>
                <w:sz w:val="20"/>
                <w:szCs w:val="20"/>
                <w:color w:val="auto"/>
              </w:rPr>
            </w:pPr>
            <w:r>
              <w:rPr>
                <w:rFonts w:ascii="Arial" w:cs="Arial" w:eastAsia="Arial" w:hAnsi="Arial"/>
                <w:sz w:val="18"/>
                <w:szCs w:val="18"/>
                <w:b w:val="1"/>
                <w:bCs w:val="1"/>
                <w:color w:val="auto"/>
              </w:rPr>
              <w:t>GOODWILL AND INTANGIBLE ASSETS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60" w:type="dxa"/>
            <w:vAlign w:val="bottom"/>
            <w:gridSpan w:val="3"/>
          </w:tcPr>
          <w:p>
            <w:pPr>
              <w:ind w:left="20"/>
              <w:spacing w:after="0"/>
              <w:rPr>
                <w:sz w:val="20"/>
                <w:szCs w:val="20"/>
                <w:color w:val="auto"/>
              </w:rPr>
            </w:pPr>
            <w:r>
              <w:rPr>
                <w:rFonts w:ascii="Arial" w:cs="Arial" w:eastAsia="Arial" w:hAnsi="Arial"/>
                <w:sz w:val="18"/>
                <w:szCs w:val="18"/>
                <w:color w:val="auto"/>
                <w:w w:val="93"/>
              </w:rPr>
              <w:t>Goodwill by segment as of December 31, 2021 and 2020 consists of the following:</w:t>
            </w:r>
          </w:p>
        </w:tc>
        <w:tc>
          <w:tcPr>
            <w:tcW w:w="180" w:type="dxa"/>
            <w:vAlign w:val="bottom"/>
          </w:tcPr>
          <w:p>
            <w:pPr>
              <w:spacing w:after="0"/>
              <w:rPr>
                <w:sz w:val="24"/>
                <w:szCs w:val="2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Ocean</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Logistics</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6160" w:type="dxa"/>
            <w:vAlign w:val="bottom"/>
            <w:gridSpan w:val="3"/>
            <w:vMerge w:val="continue"/>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Transportation</w:t>
            </w:r>
          </w:p>
        </w:tc>
        <w:tc>
          <w:tcPr>
            <w:tcW w:w="88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327.8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Logistics goodwill of $105.2 million includes $78.6 million acquired as part of the acquisition of Span Intermediate, LLC (“Span Alaska”) in August 2016 that was allocated to the Span Alaska reporting unit, and $26.6 million relates to other Logistics acquisitions that were allocated to the Logistics reporting unit.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by segment as of December 31, 2021 and 2020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As of December 31, 2021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w w:val="92"/>
              </w:rPr>
              <w:t>As of December 31, 2020</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Book Value</w:t>
            </w:r>
          </w:p>
        </w:tc>
        <w:tc>
          <w:tcPr>
            <w:tcW w:w="54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Net Book Value</w:t>
            </w: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160" w:type="dxa"/>
            <w:vAlign w:val="bottom"/>
            <w:gridSpan w:val="3"/>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5"/>
              </w:rPr>
              <w:t>Ocean Transportation - Customer relationships</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$ 140.6</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$ 140.6</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Logistics: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Customer relationships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2"/>
          </w:tcPr>
          <w:p>
            <w:pPr>
              <w:ind w:left="120"/>
              <w:spacing w:after="0"/>
              <w:rPr>
                <w:sz w:val="20"/>
                <w:szCs w:val="20"/>
                <w:color w:val="auto"/>
              </w:rPr>
            </w:pPr>
            <w:r>
              <w:rPr>
                <w:rFonts w:ascii="Arial" w:cs="Arial" w:eastAsia="Arial" w:hAnsi="Arial"/>
                <w:sz w:val="16"/>
                <w:szCs w:val="16"/>
                <w:color w:val="auto"/>
              </w:rPr>
              <w:t>Trade name</w:t>
            </w:r>
          </w:p>
        </w:tc>
        <w:tc>
          <w:tcPr>
            <w:tcW w:w="540" w:type="dxa"/>
            <w:vAlign w:val="bottom"/>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27.3</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Logistics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$ 258.0</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20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$ 258.0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Ocean Transportation intangible assets of $140.6 million relate to customer relationships acquired as part of the acquisition of Horizon Lines, Inc. (“Horizon”) on May 29, 2015, and are being amortized over 21 years. Logistics intangible assets include $79.3 million of customer relationships which are being amortized over 20 years, and $27.3 million of an indefinite life trade name, both acquired as part of the Span Alaska acquisition. The remaining Logistics customer relationships of $10.8 million are being amortized over a period of approximately 13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related amortization expense for 2021, 2020 and 2019,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left="322"/>
              <w:spacing w:after="0"/>
              <w:rPr>
                <w:sz w:val="20"/>
                <w:szCs w:val="20"/>
                <w:color w:val="auto"/>
              </w:rPr>
            </w:pPr>
            <w:r>
              <w:rPr>
                <w:rFonts w:ascii="Arial" w:cs="Arial" w:eastAsia="Arial" w:hAnsi="Arial"/>
                <w:sz w:val="14"/>
                <w:szCs w:val="14"/>
                <w:b w:val="1"/>
                <w:bCs w:val="1"/>
                <w:color w:val="auto"/>
                <w:w w:val="91"/>
              </w:rPr>
              <w:t>Years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58" w:lineRule="auto"/>
        <w:rPr>
          <w:sz w:val="20"/>
          <w:szCs w:val="20"/>
          <w:color w:val="auto"/>
        </w:rPr>
      </w:pPr>
      <w:r>
        <w:rPr>
          <w:rFonts w:ascii="Arial" w:cs="Arial" w:eastAsia="Arial" w:hAnsi="Arial"/>
          <w:sz w:val="18"/>
          <w:szCs w:val="18"/>
          <w:color w:val="auto"/>
        </w:rPr>
        <w:t>As of December 31, 2021, estimated amortization expense related to customer relationship intangible assets during the next five years and thereafter is as follows:</w:t>
      </w:r>
    </w:p>
    <w:tbl>
      <w:tblPr>
        <w:tblLayout w:type="fixed"/>
        <w:tblInd w:w="60" w:type="dxa"/>
        <w:tblCellMar>
          <w:top w:w="0" w:type="dxa"/>
          <w:left w:w="0" w:type="dxa"/>
          <w:bottom w:w="0" w:type="dxa"/>
          <w:right w:w="0" w:type="dxa"/>
        </w:tblCellMar>
      </w:tblPr>
      <w:tr>
        <w:trPr>
          <w:trHeight w:val="141"/>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Year (in millions)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91"/>
              </w:rPr>
              <w:t>Customer</w:t>
            </w:r>
          </w:p>
        </w:tc>
        <w:tc>
          <w:tcPr>
            <w:tcW w:w="0" w:type="dxa"/>
            <w:vAlign w:val="bottom"/>
          </w:tcPr>
          <w:p>
            <w:pPr>
              <w:spacing w:after="0"/>
              <w:rPr>
                <w:sz w:val="1"/>
                <w:szCs w:val="1"/>
                <w:color w:val="auto"/>
              </w:rPr>
            </w:pPr>
          </w:p>
        </w:tc>
      </w:tr>
      <w:tr>
        <w:trPr>
          <w:trHeight w:val="171"/>
        </w:trPr>
        <w:tc>
          <w:tcPr>
            <w:tcW w:w="7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Relationships</w:t>
            </w:r>
          </w:p>
        </w:tc>
        <w:tc>
          <w:tcPr>
            <w:tcW w:w="0" w:type="dxa"/>
            <w:vAlign w:val="bottom"/>
          </w:tcPr>
          <w:p>
            <w:pPr>
              <w:spacing w:after="0"/>
              <w:rPr>
                <w:sz w:val="1"/>
                <w:szCs w:val="1"/>
                <w:color w:val="auto"/>
              </w:rPr>
            </w:pPr>
          </w:p>
        </w:tc>
      </w:tr>
      <w:tr>
        <w:trPr>
          <w:trHeight w:val="210"/>
        </w:trPr>
        <w:tc>
          <w:tcPr>
            <w:tcW w:w="7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700" w:hanging="650"/>
        <w:spacing w:after="0"/>
        <w:tabs>
          <w:tab w:leader="none" w:pos="7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CONSTRUCTION FUND</w:t>
      </w:r>
    </w:p>
    <w:p>
      <w:pPr>
        <w:spacing w:after="0" w:line="229"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The Company is party to an agreement with the U.S. Department of Transportation, Maritime Administration (“MARAD”) that established a Capital Construction Fund (“CCF”) program under provisions of the Merchant Marine Act of 1936, as amended (the “Merchant Marine Act”). The CCF program was created to assist owners and operators of U.S. flagged vessels in raising capital necessary for the modernization and expansion of the U.S. merchant marine fleet. CCF funds may be used for the acquisition, construction, or reconstruction of vessels, and for repayment of existing vessel indebtedness through the deferment of federal income taxes on certain deposits of monies and other property placed into the CCF. Qualified withdrawals from the CCF must be used for investment in vessels built in the U.S. and used between covered U.S. ports as described by the Merchant Marine Act, and for other qualifying expenditures (see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Item 1 of Part 1 for additional information on Maritime Laws and the Jones Act). Participants of the CCF must also meet certain U.S. citizenship requirements.</w:t>
      </w:r>
    </w:p>
    <w:p>
      <w:pPr>
        <w:spacing w:after="0" w:line="170"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Deposits into the CCF are limited by certain applicable earnings and other conditions. Such deposits, once made, are available as tax deductions in the Company’s income tax provision. Qualified withdrawals from the CCF do not give rise to a current income tax liability, but reduce the depreciable basis of the vessels or certain related equipment for income tax purposes. However, if withdrawals are made from the CCF for general corporate purposes or other non-qualified purposes, or upon termination of the agreement, they are taxable with interest payable from the year of deposit.</w:t>
      </w:r>
    </w:p>
    <w:p>
      <w:pPr>
        <w:spacing w:after="0" w:line="161"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Deposits not committed for qualified purposes within 25 years from the date of deposit will be treated as non-qualified withdrawals over the subsequent five years. Under the terms of the CCF agreement, the Company may designate certain qualified earnings as “accrued deposits” or may designate, as obligations of the CCF, qualified withdrawals to reimburse qualified expenditures initially made with operating funds. Such accrued deposits to, and withdrawals from, the CCF are reflected in the Consolidated Balance Sheets either as obligations of the Company’s current assets or as receivables from the CCF.</w:t>
      </w:r>
    </w:p>
    <w:p>
      <w:pPr>
        <w:spacing w:after="0" w:line="192"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As of December 31, 2021 and 2020, $9.8 million and $1.7 million of eligible accounts receivable were assigned to the CCF, respectively. Due to the nature of the assignment of eligible accounts receivable into the CCF, such assigned amounts are classified as part of accounts receivable in the Consolidated Balance Sheets. At December 31, 2021 and 2020, the amounts on deposit in the CCF invested in a money market fund, which is classified as other long-term assets in the Company’s Consolidated Balance Sheets, were nominal.</w:t>
      </w: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8.</w:t>
            </w:r>
          </w:p>
        </w:tc>
        <w:tc>
          <w:tcPr>
            <w:tcW w:w="7020" w:type="dxa"/>
            <w:vAlign w:val="bottom"/>
          </w:tcPr>
          <w:p>
            <w:pPr>
              <w:ind w:left="48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80" w:type="dxa"/>
            <w:vAlign w:val="bottom"/>
            <w:gridSpan w:val="2"/>
          </w:tcPr>
          <w:p>
            <w:pPr>
              <w:spacing w:after="0"/>
              <w:rPr>
                <w:sz w:val="20"/>
                <w:szCs w:val="20"/>
                <w:color w:val="auto"/>
              </w:rPr>
            </w:pPr>
            <w:r>
              <w:rPr>
                <w:rFonts w:ascii="Arial" w:cs="Arial" w:eastAsia="Arial" w:hAnsi="Arial"/>
                <w:sz w:val="18"/>
                <w:szCs w:val="18"/>
                <w:color w:val="auto"/>
              </w:rPr>
              <w:t>At December 31, 2021 and 2020, the Company’s debt consisted of the following:</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vMerge w:val="restart"/>
          </w:tcPr>
          <w:p>
            <w:pPr>
              <w:jc w:val="right"/>
              <w:ind w:right="131"/>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62"/>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Placement Term Loans: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8"/>
                <w:szCs w:val="18"/>
                <w:color w:val="auto"/>
              </w:rPr>
              <w:t>3.66 %, payable through 2023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4.16 %, payable through 2027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8"/>
                <w:szCs w:val="18"/>
                <w:color w:val="auto"/>
              </w:rPr>
              <w:t>3.37 %, payable through 2027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3.14 %, payable through 2031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8"/>
                <w:szCs w:val="18"/>
                <w:color w:val="auto"/>
              </w:rPr>
              <w:t>4.31 %, payable through 2032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Title XI Debt: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8"/>
                <w:szCs w:val="18"/>
                <w:color w:val="auto"/>
              </w:rPr>
              <w:t>5.34 %, payable through 2028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5.27 %, payable through 2029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8"/>
                <w:szCs w:val="18"/>
                <w:color w:val="auto"/>
              </w:rPr>
              <w:t>1.22 %, payable through 2043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1.35 %, payable through 2044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Revolving credit facility, maturity date of March 31, 2026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Long-term Debt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Deferred loan fees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Long-term Debt, net of deferred loan fees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description of the Company’s debt: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Private Placement Term Loans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2012, the Company issued $170.0 million of unsecured notes, which were funded</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three tranches, $77.5 million at an interest rate of 3.66 percent, $55.0 million at an interest rate of 4.16 percent,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$37.5 million at an interest rate of 4.31 percent (the “2012 Notes”). Principal and interest are payable semi-annually.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2012 Notes began to amortize in 2015 with aggregate semi-annual payments of $4.6 million which continued through</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2016, followed by $8.4 million in 2017 through mid-year 2023, $3.8 million from mid-year 2023 through mid-year 2027,</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$1.2 million thereafter.</w:t>
      </w:r>
    </w:p>
    <w:p>
      <w:pPr>
        <w:spacing w:after="0" w:line="211"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In September 2016, the Company issued $200.0 million of 15-year senior unsecured notes (the “Series D Notes”) at an interest rate of 3.14 percent, payable semi-annually. The Series D Notes began to amortize in 2019, with semi-annual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payments of $6.0 million. During the years 2020 through 2023, semi-annual principal payments will be</w:t>
      </w:r>
    </w:p>
    <w:p>
      <w:pPr>
        <w:spacing w:after="0" w:line="23" w:lineRule="exact"/>
        <w:rPr>
          <w:sz w:val="20"/>
          <w:szCs w:val="20"/>
          <w:color w:val="auto"/>
        </w:rPr>
      </w:pPr>
    </w:p>
    <w:p>
      <w:pPr>
        <w:ind w:left="60" w:right="259" w:firstLine="45"/>
        <w:spacing w:after="0" w:line="260" w:lineRule="auto"/>
        <w:rPr>
          <w:sz w:val="20"/>
          <w:szCs w:val="20"/>
          <w:color w:val="auto"/>
        </w:rPr>
      </w:pPr>
      <w:r>
        <w:rPr>
          <w:rFonts w:ascii="Arial" w:cs="Arial" w:eastAsia="Arial" w:hAnsi="Arial"/>
          <w:sz w:val="18"/>
          <w:szCs w:val="18"/>
          <w:color w:val="auto"/>
        </w:rPr>
        <w:t>$9.2 million. Starting in 2024, and in each year thereafter through maturity in 2031, the semi-annual principal payments will be $7.15 million.</w:t>
      </w:r>
    </w:p>
    <w:p>
      <w:pPr>
        <w:spacing w:after="0" w:line="185"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In December 2016, the Company issued $75 million of 11-year senior unsecured notes at an interest rate of 3.37 percent, payable semi-annually (the “Series A Notes”). The Series A Notes will begin to amortize in 2021, with principal payments of $5.8 million in 2021 and $11.5 million per year, paid semi-annually, from 2022 through 2027.</w:t>
      </w:r>
    </w:p>
    <w:p>
      <w:pPr>
        <w:spacing w:after="0" w:line="165"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b w:val="1"/>
          <w:bCs w:val="1"/>
          <w:i w:val="1"/>
          <w:iCs w:val="1"/>
          <w:color w:val="auto"/>
        </w:rPr>
        <w:t xml:space="preserve">Existing and 2020 Title XI Bonds: </w:t>
      </w:r>
      <w:r>
        <w:rPr>
          <w:rFonts w:ascii="Arial" w:cs="Arial" w:eastAsia="Arial" w:hAnsi="Arial"/>
          <w:sz w:val="17"/>
          <w:szCs w:val="17"/>
          <w:color w:val="auto"/>
        </w:rPr>
        <w:t>In September 2003, MatNav issued $55.0 million in U.S. Government guaranteed 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financing bonds (Title XI) to finance the delivery of </w:t>
      </w:r>
      <w:r>
        <w:rPr>
          <w:rFonts w:ascii="Arial" w:cs="Arial" w:eastAsia="Arial" w:hAnsi="Arial"/>
          <w:sz w:val="17"/>
          <w:szCs w:val="17"/>
          <w:i w:val="1"/>
          <w:iCs w:val="1"/>
          <w:color w:val="auto"/>
        </w:rPr>
        <w:t>Manukai</w:t>
      </w:r>
      <w:r>
        <w:rPr>
          <w:rFonts w:ascii="Arial" w:cs="Arial" w:eastAsia="Arial" w:hAnsi="Arial"/>
          <w:sz w:val="17"/>
          <w:szCs w:val="17"/>
          <w:color w:val="auto"/>
        </w:rPr>
        <w:t xml:space="preserve"> (the “Manukai Title XI Bonds”). The Manukai Title XI Bonds have a final maturity in September 2028 with a coupon rate of 5.34 percent. The Manukai Title XI Bonds are amortized by semi-annual payments of $1.1 million plus interest. In August 2004, MatNav issued $55.0 million of U.S. Government guaranteed ship financing bonds (Title XI) to finance the delivery of </w:t>
      </w:r>
      <w:r>
        <w:rPr>
          <w:rFonts w:ascii="Arial" w:cs="Arial" w:eastAsia="Arial" w:hAnsi="Arial"/>
          <w:sz w:val="17"/>
          <w:szCs w:val="17"/>
          <w:i w:val="1"/>
          <w:iCs w:val="1"/>
          <w:color w:val="auto"/>
        </w:rPr>
        <w:t>Maunawili</w:t>
      </w:r>
      <w:r>
        <w:rPr>
          <w:rFonts w:ascii="Arial" w:cs="Arial" w:eastAsia="Arial" w:hAnsi="Arial"/>
          <w:sz w:val="17"/>
          <w:szCs w:val="17"/>
          <w:color w:val="auto"/>
        </w:rPr>
        <w:t xml:space="preserve"> (the “Maunawili Title XI Bonds”, and together with the Manukai Title XI Bonds, the “Existing Title XI Bonds”). The Maunawili Title XI Bonds have a final maturity in July 2029 with a coupon rate of 5.27 percent. The Maunawili Title XI Bonds are amortized by semi-annual payments of $1.1 million plus interest.</w:t>
      </w:r>
    </w:p>
    <w:p>
      <w:pPr>
        <w:spacing w:after="0" w:line="178"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color w:val="auto"/>
        </w:rPr>
        <w:t xml:space="preserve">On April 27, 2020, MatNav issued $185.9 million in U.S. Government guaranteed vessel financing bonds to partially refinance debt incurred in connection with the construction of </w:t>
      </w:r>
      <w:r>
        <w:rPr>
          <w:rFonts w:ascii="Arial" w:cs="Arial" w:eastAsia="Arial" w:hAnsi="Arial"/>
          <w:sz w:val="16"/>
          <w:szCs w:val="16"/>
          <w:i w:val="1"/>
          <w:iCs w:val="1"/>
          <w:color w:val="auto"/>
        </w:rPr>
        <w:t>Daniel K. Inouye</w:t>
      </w:r>
      <w:r>
        <w:rPr>
          <w:rFonts w:ascii="Arial" w:cs="Arial" w:eastAsia="Arial" w:hAnsi="Arial"/>
          <w:sz w:val="16"/>
          <w:szCs w:val="16"/>
          <w:color w:val="auto"/>
        </w:rPr>
        <w:t xml:space="preserve"> (the “DKI Title XI Debt”). A fee of approximately $8.7 million was paid to MARAD out of the proceeds at closing. The secured DKI Title XI Debt matures on October 15, 2043 and has a cash interest rate of 1.22 percent, payable semi-annually in arrears on April 15 and October 15, commencing on October 15, 2020, together with a principal payment of approximately $4.0 million.</w:t>
      </w:r>
    </w:p>
    <w:p>
      <w:pPr>
        <w:spacing w:after="0" w:line="161"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 xml:space="preserve">On June 22, 2020, MatNav issued $139.6 million in U.S. Government guaranteed vessel financing bonds to partially refinance debt incurred in connection with the construction of </w:t>
      </w:r>
      <w:r>
        <w:rPr>
          <w:rFonts w:ascii="Arial" w:cs="Arial" w:eastAsia="Arial" w:hAnsi="Arial"/>
          <w:sz w:val="17"/>
          <w:szCs w:val="17"/>
          <w:i w:val="1"/>
          <w:iCs w:val="1"/>
          <w:color w:val="auto"/>
        </w:rPr>
        <w:t>Kaimana Hila</w:t>
      </w:r>
      <w:r>
        <w:rPr>
          <w:rFonts w:ascii="Arial" w:cs="Arial" w:eastAsia="Arial" w:hAnsi="Arial"/>
          <w:sz w:val="17"/>
          <w:szCs w:val="17"/>
          <w:color w:val="auto"/>
        </w:rPr>
        <w:t xml:space="preserve"> (the “KMH Title XI Debt”, and together with the DKI Title XI Debt, the “2020 Title XI Debt”). A fee of approximately $6.7 million was paid to MARAD out of the proceeds at closing. The secured KMH Title XI Debt matures on March 15, 2044 and has a cash interest rate of</w:t>
      </w:r>
    </w:p>
    <w:p>
      <w:pPr>
        <w:spacing w:after="0" w:line="2" w:lineRule="exact"/>
        <w:rPr>
          <w:sz w:val="20"/>
          <w:szCs w:val="20"/>
          <w:color w:val="auto"/>
        </w:rPr>
      </w:pPr>
    </w:p>
    <w:p>
      <w:pPr>
        <w:ind w:left="60" w:right="519" w:firstLine="45"/>
        <w:spacing w:after="0" w:line="260" w:lineRule="auto"/>
        <w:rPr>
          <w:sz w:val="20"/>
          <w:szCs w:val="20"/>
          <w:color w:val="auto"/>
        </w:rPr>
      </w:pPr>
      <w:r>
        <w:rPr>
          <w:rFonts w:ascii="Arial" w:cs="Arial" w:eastAsia="Arial" w:hAnsi="Arial"/>
          <w:sz w:val="18"/>
          <w:szCs w:val="18"/>
          <w:color w:val="auto"/>
        </w:rPr>
        <w:t>1.35 percent, payable semi-annually in arrears on March 15 and September 15, commencing on September 15, 2020, together with a principal payment of approximately $3.0 million.</w:t>
      </w:r>
    </w:p>
    <w:p>
      <w:pPr>
        <w:spacing w:after="0" w:line="185"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 xml:space="preserve">MatNav may prepay any amounts outstanding under the 2020 Title XI Debt agreements subject to a potential prepayment premium or other adjustment, in accordance with the 2020 Title XI Debt agreements. Once amounts under the 2020 Title XI Debt are repaid, they may not be reborrowed. Mandatory prepayments are required under certain limited circumstances, including specified casualty events with respect to the vessels </w:t>
      </w:r>
      <w:r>
        <w:rPr>
          <w:rFonts w:ascii="Arial" w:cs="Arial" w:eastAsia="Arial" w:hAnsi="Arial"/>
          <w:sz w:val="18"/>
          <w:szCs w:val="18"/>
          <w:i w:val="1"/>
          <w:iCs w:val="1"/>
          <w:color w:val="auto"/>
        </w:rPr>
        <w:t>Daniel K. Inouye</w:t>
      </w:r>
      <w:r>
        <w:rPr>
          <w:rFonts w:ascii="Arial" w:cs="Arial" w:eastAsia="Arial" w:hAnsi="Arial"/>
          <w:sz w:val="18"/>
          <w:szCs w:val="18"/>
          <w:color w:val="auto"/>
        </w:rPr>
        <w:t xml:space="preserve"> and </w:t>
      </w:r>
      <w:r>
        <w:rPr>
          <w:rFonts w:ascii="Arial" w:cs="Arial" w:eastAsia="Arial" w:hAnsi="Arial"/>
          <w:sz w:val="18"/>
          <w:szCs w:val="18"/>
          <w:i w:val="1"/>
          <w:iCs w:val="1"/>
          <w:color w:val="auto"/>
        </w:rPr>
        <w:t>Kaimana Hila</w:t>
      </w:r>
      <w:r>
        <w:rPr>
          <w:rFonts w:ascii="Arial" w:cs="Arial" w:eastAsia="Arial" w:hAnsi="Arial"/>
          <w:sz w:val="18"/>
          <w:szCs w:val="18"/>
          <w:color w:val="auto"/>
        </w:rPr>
        <w:t xml:space="preserve"> (the “Vessels”).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left="60" w:right="59"/>
        <w:spacing w:after="0" w:line="267" w:lineRule="auto"/>
        <w:rPr>
          <w:sz w:val="20"/>
          <w:szCs w:val="20"/>
          <w:color w:val="auto"/>
        </w:rPr>
      </w:pPr>
      <w:r>
        <w:rPr>
          <w:rFonts w:ascii="Arial" w:cs="Arial" w:eastAsia="Arial" w:hAnsi="Arial"/>
          <w:sz w:val="17"/>
          <w:szCs w:val="17"/>
          <w:color w:val="auto"/>
        </w:rPr>
        <w:t>On March 31, 2021, the Company entered into the Second Amended and Restated Credit Agreement (the “Credit Agreement”), which amended and restated that certain Amended and Restated Credit Agreement dated as of June 29, 2017. The Credit Agreement extended the maturity date to March 31, 2026, and retained the existing committed aggregate borrowings of up to $650 million. The Credit Agreement amended certain covenants and other terms set forth in the prior credit agreement, including (i) amending the pricing grid to provide for pricing ranging from, at the Company’s election, LIBOR plus a margin between 1.00 percent and 1.75 percent depending on the Company’s consolidated net leverage ratio, or base rate plus a margin between 0.00 percent and 0.75 percent depending on the Company’s consolidated net leverage ratio; (ii) reducing the maximum permitted consolidated leverage ratio to 3.50 to 1.0, with an option for a one-time increase to 4.0 to 1.0 in connection with a material acquisition; and (iii) removing certain additional limitations on stock redemptions and repurchases, sale and leaseback transactions and asset sales during the period from March 31, 2020 through and including December 30, 2021 that were added in March 2020, and (iv) removing certain additional limitations on incurrence of priority debt through December 21, 2027 that were added in March 2020. The Company may prepay any amounts outstanding under the Credit Agreement without premium or penalty. The Credit Agreement contains affirmative, negative and financial covenants customary for financings of this type, including, among other things, limitations on certain other indebtedness, loans and investments, liens, mergers, asset sales, and transactions with affiliates. The Credit Agreement also contains customary events of default. The Company paid fees of approximately $2.2 million in connection with the closing of the Credit Agreement which is included in other long-term assets in the Consolidated Balance Sheet as of December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As of December 31, 2021, the Company had $642.0 million of remaining borrowing availability under the revolving credit facility. The Company had $8.0 million of letters of credit outstanding as of December 31, 2021. Based on the Company’s consolidated net leverage ratio, which stipulates borrowing margins, the interest rate applicable to the revolving credit facility was approximately 1.10 percent at December 31, 2021. Borrowings under the revolving credit facility are classified as long-term debt in the Consolidated Balance Sheet, as principal payments are not required until the maturity date.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Amendments to Existing Private Placement Term Loan Facilities and New Shelf Facilities (“Private Loan Facilities”):</w:t>
      </w:r>
    </w:p>
    <w:p>
      <w:pPr>
        <w:spacing w:after="0" w:line="248" w:lineRule="exact"/>
        <w:rPr>
          <w:sz w:val="20"/>
          <w:szCs w:val="20"/>
          <w:color w:val="auto"/>
        </w:rPr>
      </w:pPr>
    </w:p>
    <w:p>
      <w:pPr>
        <w:ind w:left="60" w:right="379"/>
        <w:spacing w:after="0" w:line="296" w:lineRule="auto"/>
        <w:rPr>
          <w:sz w:val="20"/>
          <w:szCs w:val="20"/>
          <w:color w:val="auto"/>
        </w:rPr>
      </w:pPr>
      <w:r>
        <w:rPr>
          <w:rFonts w:ascii="Arial" w:cs="Arial" w:eastAsia="Arial" w:hAnsi="Arial"/>
          <w:sz w:val="16"/>
          <w:szCs w:val="16"/>
          <w:color w:val="auto"/>
        </w:rPr>
        <w:t>On March 31, 2021, the Company and the holders of the notes party thereto entered into amendments (collectively, the “2021 Note Amendments”) to each of (i) the Third Amended and Restated Note Purchase Agreement and Private Shelf Agreement dated as of September 14, 2016, among the Company and the holders of the notes issued thereunder, as amended; and (ii) the Note Purchase Agreement dated December 21, 2016 among the Company and the holders of the notes issued thereunder, in each case as amended prior to such date.</w:t>
      </w:r>
    </w:p>
    <w:p>
      <w:pPr>
        <w:spacing w:after="0" w:line="161" w:lineRule="exact"/>
        <w:rPr>
          <w:sz w:val="20"/>
          <w:szCs w:val="20"/>
          <w:color w:val="auto"/>
        </w:rPr>
      </w:pPr>
    </w:p>
    <w:p>
      <w:pPr>
        <w:ind w:left="60" w:right="119"/>
        <w:spacing w:after="0" w:line="285" w:lineRule="auto"/>
        <w:rPr>
          <w:sz w:val="20"/>
          <w:szCs w:val="20"/>
          <w:color w:val="auto"/>
        </w:rPr>
      </w:pPr>
      <w:r>
        <w:rPr>
          <w:rFonts w:ascii="Arial" w:cs="Arial" w:eastAsia="Arial" w:hAnsi="Arial"/>
          <w:sz w:val="16"/>
          <w:szCs w:val="16"/>
          <w:color w:val="auto"/>
        </w:rPr>
        <w:t>The 2021 Note Amendments amended certain covenants and other terms, including (i) eliminating the Leverage Relief Period and associated quarterly interest enhancement payments that were added in March 2020; (ii) removing certain other fees and increases to interest rate through December 31, 2021 and thereafter that were added in March 2020; (iii) reducing the maximum permitted consolidated leverage ratio to 3.50 to 1.0, with an option for a one-time increase to 4.0 to 1.0 in connection with a material acquisition, with potential interest enhancement payments if leverage is over 3.25 to 1.0; and</w:t>
      </w:r>
    </w:p>
    <w:p>
      <w:pPr>
        <w:spacing w:after="0" w:line="2" w:lineRule="exact"/>
        <w:rPr>
          <w:sz w:val="20"/>
          <w:szCs w:val="20"/>
          <w:color w:val="auto"/>
        </w:rPr>
      </w:pPr>
    </w:p>
    <w:p>
      <w:pPr>
        <w:ind w:left="60" w:right="459" w:hanging="10"/>
        <w:spacing w:after="0" w:line="281" w:lineRule="auto"/>
        <w:tabs>
          <w:tab w:leader="none" w:pos="3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removing certain additional limitations on stock redemptions and repurchases, sale and leaseback transactions and asset sales during the period from March 31, 2020 through and including December 30, 2021 that were added in</w:t>
      </w:r>
    </w:p>
    <w:p>
      <w:pPr>
        <w:spacing w:after="0" w:line="1" w:lineRule="exact"/>
        <w:rPr>
          <w:rFonts w:ascii="Arial" w:cs="Arial" w:eastAsia="Arial" w:hAnsi="Arial"/>
          <w:sz w:val="16"/>
          <w:szCs w:val="16"/>
          <w:color w:val="auto"/>
        </w:rPr>
      </w:pPr>
    </w:p>
    <w:p>
      <w:pPr>
        <w:ind w:left="60" w:right="159"/>
        <w:spacing w:after="0" w:line="302" w:lineRule="auto"/>
        <w:rPr>
          <w:rFonts w:ascii="Arial" w:cs="Arial" w:eastAsia="Arial" w:hAnsi="Arial"/>
          <w:sz w:val="16"/>
          <w:szCs w:val="16"/>
          <w:color w:val="auto"/>
        </w:rPr>
      </w:pPr>
      <w:r>
        <w:rPr>
          <w:rFonts w:ascii="Arial" w:cs="Arial" w:eastAsia="Arial" w:hAnsi="Arial"/>
          <w:sz w:val="16"/>
          <w:szCs w:val="16"/>
          <w:color w:val="auto"/>
        </w:rPr>
        <w:t>March 2020, and (v) removing certain additional limitations on the incurrence of priority debt through December 21, 2027 that were added in March 2020. The Company paid fees of approximately $0.8 million related to the 2021 Note Amendments which is included in deferred loan fees in debt in the Consolidated Balance Sheet as of December 31, 2021.</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 xml:space="preserve">Debt Maturities: </w:t>
      </w:r>
      <w:r>
        <w:rPr>
          <w:rFonts w:ascii="Arial" w:cs="Arial" w:eastAsia="Arial" w:hAnsi="Arial"/>
          <w:sz w:val="17"/>
          <w:szCs w:val="17"/>
          <w:color w:val="auto"/>
        </w:rPr>
        <w:t>At December 31, 2021, debt maturities during the next five years and thereafter are as follows: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220" w:type="dxa"/>
            <w:vAlign w:val="bottom"/>
          </w:tcPr>
          <w:p>
            <w:pPr>
              <w:spacing w:after="0"/>
              <w:rPr>
                <w:sz w:val="14"/>
                <w:szCs w:val="14"/>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7680" w:type="dxa"/>
            <w:vAlign w:val="bottom"/>
            <w:gridSpan w:val="2"/>
            <w:vMerge w:val="continue"/>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00" w:type="dxa"/>
            <w:vAlign w:val="bottom"/>
            <w:gridSpan w:val="4"/>
          </w:tcPr>
          <w:p>
            <w:pPr>
              <w:ind w:left="20"/>
              <w:spacing w:after="0"/>
              <w:rPr>
                <w:sz w:val="20"/>
                <w:szCs w:val="20"/>
                <w:color w:val="auto"/>
              </w:rPr>
            </w:pPr>
            <w:r>
              <w:rPr>
                <w:rFonts w:ascii="Arial" w:cs="Arial" w:eastAsia="Arial" w:hAnsi="Arial"/>
                <w:sz w:val="18"/>
                <w:szCs w:val="18"/>
                <w:b w:val="1"/>
                <w:bCs w:val="1"/>
                <w:i w:val="1"/>
                <w:iCs w:val="1"/>
                <w:color w:val="auto"/>
                <w:w w:val="97"/>
              </w:rPr>
              <w:t xml:space="preserve">Deferred Loan Fees: </w:t>
            </w:r>
            <w:r>
              <w:rPr>
                <w:rFonts w:ascii="Arial" w:cs="Arial" w:eastAsia="Arial" w:hAnsi="Arial"/>
                <w:sz w:val="18"/>
                <w:szCs w:val="18"/>
                <w:color w:val="auto"/>
                <w:w w:val="97"/>
              </w:rPr>
              <w:t>Activity relating to deferred loan fees for the year ended December 31, 2021 are as follows:</w:t>
            </w:r>
          </w:p>
        </w:tc>
        <w:tc>
          <w:tcPr>
            <w:tcW w:w="0" w:type="dxa"/>
            <w:vAlign w:val="bottom"/>
          </w:tcPr>
          <w:p>
            <w:pPr>
              <w:spacing w:after="0"/>
              <w:rPr>
                <w:sz w:val="1"/>
                <w:szCs w:val="1"/>
                <w:color w:val="auto"/>
              </w:rPr>
            </w:pPr>
          </w:p>
        </w:tc>
      </w:tr>
      <w:tr>
        <w:trPr>
          <w:trHeight w:val="299"/>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Deferred Loan Fees (in millions)</w:t>
            </w:r>
          </w:p>
        </w:tc>
        <w:tc>
          <w:tcPr>
            <w:tcW w:w="220" w:type="dxa"/>
            <w:vAlign w:val="bottom"/>
          </w:tcPr>
          <w:p>
            <w:pPr>
              <w:spacing w:after="0"/>
              <w:rPr>
                <w:sz w:val="24"/>
                <w:szCs w:val="24"/>
                <w:color w:val="auto"/>
              </w:rPr>
            </w:pPr>
          </w:p>
        </w:tc>
        <w:tc>
          <w:tcPr>
            <w:tcW w:w="100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564896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ind w:left="60"/>
        <w:spacing w:after="0"/>
        <w:rPr>
          <w:sz w:val="20"/>
          <w:szCs w:val="20"/>
          <w:color w:val="auto"/>
        </w:rPr>
      </w:pPr>
      <w:r>
        <w:rPr>
          <w:rFonts w:ascii="Arial" w:cs="Arial" w:eastAsia="Arial" w:hAnsi="Arial"/>
          <w:sz w:val="16"/>
          <w:szCs w:val="16"/>
          <w:color w:val="auto"/>
        </w:rPr>
        <w:t>Deferred financing costs related to Title XI bonds and private placement debt amendments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Deferred fees expensed related to the redemption of private placement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Amortization expense for the year ended December 31, 2021</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Balance at December 31, 2021</w:t>
      </w:r>
    </w:p>
    <w:p>
      <w:pPr>
        <w:spacing w:after="0" w:line="20" w:lineRule="exact"/>
        <w:rPr>
          <w:sz w:val="20"/>
          <w:szCs w:val="20"/>
          <w:color w:val="auto"/>
        </w:rPr>
      </w:pPr>
      <w:r>
        <w:rPr>
          <w:sz w:val="20"/>
          <w:szCs w:val="20"/>
          <w:color w:val="auto"/>
        </w:rPr>
        <w:br w:type="column"/>
      </w:r>
    </w:p>
    <w:p>
      <w:pPr>
        <w:ind w:left="862" w:hanging="862"/>
        <w:spacing w:after="0"/>
        <w:tabs>
          <w:tab w:leader="none" w:pos="8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16.0</w:t>
      </w:r>
    </w:p>
    <w:p>
      <w:pPr>
        <w:spacing w:after="0" w:line="7" w:lineRule="exact"/>
        <w:rPr>
          <w:rFonts w:ascii="Arial" w:cs="Arial" w:eastAsia="Arial" w:hAnsi="Arial"/>
          <w:sz w:val="18"/>
          <w:szCs w:val="18"/>
          <w:color w:val="auto"/>
        </w:rPr>
      </w:pPr>
    </w:p>
    <w:p>
      <w:pPr>
        <w:ind w:left="882"/>
        <w:spacing w:after="0"/>
        <w:rPr>
          <w:rFonts w:ascii="Arial" w:cs="Arial" w:eastAsia="Arial" w:hAnsi="Arial"/>
          <w:sz w:val="18"/>
          <w:szCs w:val="18"/>
          <w:color w:val="auto"/>
        </w:rPr>
      </w:pPr>
      <w:r>
        <w:rPr>
          <w:rFonts w:ascii="Arial" w:cs="Arial" w:eastAsia="Arial" w:hAnsi="Arial"/>
          <w:sz w:val="16"/>
          <w:szCs w:val="16"/>
          <w:color w:val="auto"/>
        </w:rPr>
        <w:t>(0.2)</w:t>
      </w:r>
    </w:p>
    <w:p>
      <w:pPr>
        <w:spacing w:after="0" w:line="32" w:lineRule="exact"/>
        <w:rPr>
          <w:rFonts w:ascii="Arial" w:cs="Arial" w:eastAsia="Arial" w:hAnsi="Arial"/>
          <w:sz w:val="18"/>
          <w:szCs w:val="18"/>
          <w:color w:val="auto"/>
        </w:rPr>
      </w:pPr>
    </w:p>
    <w:p>
      <w:pPr>
        <w:ind w:left="882"/>
        <w:spacing w:after="0"/>
        <w:rPr>
          <w:rFonts w:ascii="Arial" w:cs="Arial" w:eastAsia="Arial" w:hAnsi="Arial"/>
          <w:sz w:val="18"/>
          <w:szCs w:val="18"/>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804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12" w:lineRule="exact"/>
        <w:rPr>
          <w:sz w:val="20"/>
          <w:szCs w:val="20"/>
          <w:color w:val="auto"/>
        </w:rPr>
      </w:pPr>
    </w:p>
    <w:p>
      <w:pPr>
        <w:ind w:left="862" w:hanging="862"/>
        <w:spacing w:after="0"/>
        <w:tabs>
          <w:tab w:leader="none" w:pos="8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804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804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804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6998" w:space="720"/>
            <w:col w:w="1301"/>
          </w:cols>
          <w:pgMar w:left="1440" w:top="517" w:right="1440"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As of December 31, 2021, amortization expense relating to deferred loan fees during the next five years and thereafter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(in millions)</w:t>
            </w:r>
          </w:p>
        </w:tc>
        <w:tc>
          <w:tcPr>
            <w:tcW w:w="220" w:type="dxa"/>
            <w:vAlign w:val="bottom"/>
          </w:tcPr>
          <w:p>
            <w:pPr>
              <w:spacing w:after="0"/>
              <w:rPr>
                <w:sz w:val="14"/>
                <w:szCs w:val="14"/>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Amount</w:t>
            </w: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09"/>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amortization expense of deferred loan fees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b w:val="1"/>
          <w:bCs w:val="1"/>
          <w:i w:val="1"/>
          <w:iCs w:val="1"/>
          <w:color w:val="auto"/>
        </w:rPr>
        <w:t xml:space="preserve">Debt Covenants in Existing Title XI Bonds and 2020 Title XI Debt Agreements: </w:t>
      </w:r>
      <w:r>
        <w:rPr>
          <w:rFonts w:ascii="Arial" w:cs="Arial" w:eastAsia="Arial" w:hAnsi="Arial"/>
          <w:sz w:val="17"/>
          <w:szCs w:val="17"/>
          <w:color w:val="auto"/>
        </w:rPr>
        <w:t>The Existing Title XI Bonds contain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customary representations and warranties as well as affirmative and negative covenants, defaults and other provisions typical for MARAD-guaranteed financings of this type, with definitions and limitations as defined within the Existing Title XI Bonds. These covenants include, among other things, minimum working capital and net worth requirements, limitations on certain other indebtedness, loans and investments, liens, mergers, asset sales, sale and leaseback transactions, and transactions with affiliates as defined within the Existing Title XI Bonds. Certain of the covenants in the Existing Title XI Bonds are applicable only upon and during the continuance of either (i) an event of default or (ii) the failure of MatNav to meet certain financial requirements.</w:t>
      </w:r>
    </w:p>
    <w:p>
      <w:pPr>
        <w:spacing w:after="0" w:line="178"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The 2020 Title XI Debt agreements contain customary representations and warranties as well as affirmative and negative covenants, defaults and other provisions typical for MARAD-guaranteed financings of this type, with definitions, limitations and financial tests all as negotiated between MatNav and MARAD. As part of the 2020 Title XI Debt agreements, certain covenants contained in the Existing Title XI Bonds were eliminated. The covenants in the 2020 Title XI Debt agreements include, among other things, limitations on certain other indebtedness, loans and investments, liens, mergers, asset sales, sale and leasebacks, and transactions with affiliates as defined within the 2020 Title XI Debt agreements. Certain of the covenants in the 2020 Title XI Debt agreements are applicable only upon and during the continuance of either (i) an event of default or (ii) the failure of either the Company or MatNav to meet certain supplemental financial tests.</w:t>
      </w:r>
    </w:p>
    <w:p>
      <w:pPr>
        <w:spacing w:after="0" w:line="196" w:lineRule="exact"/>
        <w:rPr>
          <w:sz w:val="20"/>
          <w:szCs w:val="20"/>
          <w:color w:val="auto"/>
        </w:rPr>
      </w:pPr>
    </w:p>
    <w:p>
      <w:pPr>
        <w:ind w:left="380" w:right="179" w:hanging="330"/>
        <w:spacing w:after="0" w:line="258"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supplemental financial tests applicable to MatNav include maintenance of a working capital minimum of $1, and maintenance of a long term debt to net worth ratio of greater than or equal to 2.0 to 1.0; and</w:t>
      </w:r>
    </w:p>
    <w:p>
      <w:pPr>
        <w:spacing w:after="0" w:line="1" w:lineRule="exact"/>
        <w:rPr>
          <w:rFonts w:ascii="Arial" w:cs="Arial" w:eastAsia="Arial" w:hAnsi="Arial"/>
          <w:sz w:val="18"/>
          <w:szCs w:val="18"/>
          <w:color w:val="auto"/>
        </w:rPr>
      </w:pPr>
    </w:p>
    <w:p>
      <w:pPr>
        <w:jc w:val="both"/>
        <w:ind w:left="380" w:right="179" w:hanging="330"/>
        <w:spacing w:after="0" w:line="302"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supplemental financial tests applicable to the Company include maintenance of a net worth greater than or equal to 90% of the net worth of the Company as set forth in the most recent audited financial statements prior to closing of the issuance of the 2020 Title XI Bonds and compliance with the leverage ratio set forth in the Credit Agreement.</w:t>
      </w:r>
    </w:p>
    <w:p>
      <w:pPr>
        <w:spacing w:after="0" w:line="15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 xml:space="preserve">Debt Security and Guarantees: </w:t>
      </w:r>
      <w:r>
        <w:rPr>
          <w:rFonts w:ascii="Arial" w:cs="Arial" w:eastAsia="Arial" w:hAnsi="Arial"/>
          <w:sz w:val="18"/>
          <w:szCs w:val="18"/>
          <w:color w:val="auto"/>
        </w:rPr>
        <w:t>All of the debt of the Company and MatNav, including related guarantees, as of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2021 was unsecured, except for the Existing Title XI Bonds and the 2020 Title XI Debt.</w:t>
      </w:r>
    </w:p>
    <w:p>
      <w:pPr>
        <w:spacing w:after="0" w:line="170"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Under the 2020 Title XI Debt agreements, MARAD has guaranteed certain obligations of MatNav. MatNav has agreed to reimburse MARAD for any payments it makes under the MARAD guaranty, and MatNav’s obligations to MARAD with respect to the 2020 Title XI Debt are secured by a mortgage on the Vessels and certain other related assets (the “Collateral”), as well as the Existing Vessels (as defined below). In addition, MatNav’s obligations to MARAD with respect to the 2020 Title XI Debt are guaranteed by the Company under an Affiliate Guaranty (the “Guaranty”).</w:t>
      </w:r>
    </w:p>
    <w:p>
      <w:pPr>
        <w:spacing w:after="0" w:line="161"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 xml:space="preserve">The 2020 Title XI Debt agreements also provide that the two vessels securing the Existing Title XI Bonds – </w:t>
      </w:r>
      <w:r>
        <w:rPr>
          <w:rFonts w:ascii="Arial" w:cs="Arial" w:eastAsia="Arial" w:hAnsi="Arial"/>
          <w:sz w:val="18"/>
          <w:szCs w:val="18"/>
          <w:i w:val="1"/>
          <w:iCs w:val="1"/>
          <w:color w:val="auto"/>
        </w:rPr>
        <w:t>Manukai</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Maunawili </w:t>
      </w:r>
      <w:r>
        <w:rPr>
          <w:rFonts w:ascii="Arial" w:cs="Arial" w:eastAsia="Arial" w:hAnsi="Arial"/>
          <w:sz w:val="18"/>
          <w:szCs w:val="18"/>
          <w:color w:val="auto"/>
        </w:rPr>
        <w:t>(the “Existing Vessels”) – also secure the 2020 Title XI Bonds until the Existing Title XI Debt are retired in</w:t>
      </w:r>
      <w:r>
        <w:rPr>
          <w:rFonts w:ascii="Arial" w:cs="Arial" w:eastAsia="Arial" w:hAnsi="Arial"/>
          <w:sz w:val="18"/>
          <w:szCs w:val="18"/>
          <w:i w:val="1"/>
          <w:iCs w:val="1"/>
          <w:color w:val="auto"/>
        </w:rPr>
        <w:t xml:space="preserve"> </w:t>
      </w:r>
      <w:r>
        <w:rPr>
          <w:rFonts w:ascii="Arial" w:cs="Arial" w:eastAsia="Arial" w:hAnsi="Arial"/>
          <w:sz w:val="18"/>
          <w:szCs w:val="18"/>
          <w:color w:val="auto"/>
        </w:rPr>
        <w:t>2028 and 2029, respectively,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219"/>
        <w:spacing w:after="0" w:line="271" w:lineRule="auto"/>
        <w:rPr>
          <w:sz w:val="20"/>
          <w:szCs w:val="20"/>
          <w:color w:val="auto"/>
        </w:rPr>
      </w:pPr>
      <w:r>
        <w:rPr>
          <w:rFonts w:ascii="Arial" w:cs="Arial" w:eastAsia="Arial" w:hAnsi="Arial"/>
          <w:sz w:val="17"/>
          <w:szCs w:val="17"/>
          <w:i w:val="1"/>
          <w:iCs w:val="1"/>
          <w:color w:val="auto"/>
        </w:rPr>
        <w:t xml:space="preserve">Description of Operating Leases: </w:t>
      </w:r>
      <w:r>
        <w:rPr>
          <w:rFonts w:ascii="Arial" w:cs="Arial" w:eastAsia="Arial" w:hAnsi="Arial"/>
          <w:sz w:val="17"/>
          <w:szCs w:val="17"/>
          <w:color w:val="auto"/>
        </w:rPr>
        <w:t>The Company has different types of operating leases, the specific terms and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vary from lease to lease. Certain operating lease agreements include terms such as: (i) renewal and early termination options; (ii) early buy-out and purchase options; and (iii) rent escalation clauses. The lease agreements also include provisions for the maintenance of the leased asset and payment of lease related costs. The Company reviews the specific terms and conditions of each lease and, as appropriate, notifies the lessor of any intent to exercise any option in accordance with the terms of the lease. In the normal course of business, the Company expects to be able to renew or replace most of its operating leases with other similar leases as they expire. The Company’s leases do not contain any other residual value guarantees.</w:t>
      </w:r>
    </w:p>
    <w:p>
      <w:pPr>
        <w:spacing w:after="0" w:line="178"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The Company’s sub-lease income was nominal to the Company’s Consolidated Statements of Income and Comprehensive Income for the years ended December 31, 2021 and 2020. The Company did not have any finance leases during the years ended December 31, 2021 and 2020. Certain of the Company’s lease agreements include rental payments that may be adjusted in the future based on economic conditions and others include rental payments adjusted periodically for inflation. Variable lease expense is disclosed for the adjusted portion of such payments.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lease type by underlying asset class and maximum terms of the Company’s operating leases are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10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 Type: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210"/>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and terminal leases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 years</w:t>
            </w:r>
          </w:p>
        </w:tc>
      </w:tr>
      <w:tr>
        <w:trPr>
          <w:trHeight w:val="216"/>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Vessel charter leases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10 years</w:t>
            </w:r>
          </w:p>
        </w:tc>
      </w:tr>
      <w:tr>
        <w:trPr>
          <w:trHeight w:val="21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Operations equipment and other leases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r>
    </w:tbl>
    <w:p>
      <w:pPr>
        <w:spacing w:after="0" w:line="202"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i w:val="1"/>
          <w:iCs w:val="1"/>
          <w:color w:val="auto"/>
        </w:rPr>
        <w:t xml:space="preserve">Incremental Borrowing Rate: </w:t>
      </w:r>
      <w:r>
        <w:rPr>
          <w:rFonts w:ascii="Arial" w:cs="Arial" w:eastAsia="Arial" w:hAnsi="Arial"/>
          <w:sz w:val="18"/>
          <w:szCs w:val="18"/>
          <w:color w:val="auto"/>
        </w:rPr>
        <w:t>As most of the Company’s operating leases do not provide an implicit rate,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uses an estimated incremental borrowing rate based on information available at the date of adoption and subsequent lease commencement dates in calculating the present value of its operating lease liabilities. The incremental borrowing rate is determined using the U.S. Treasury rate adjusted to account for the Company’s credit rating and the collateralized nature of operating leases.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Components of Lease Cost: </w:t>
      </w:r>
      <w:r>
        <w:rPr>
          <w:rFonts w:ascii="Arial" w:cs="Arial" w:eastAsia="Arial" w:hAnsi="Arial"/>
          <w:sz w:val="16"/>
          <w:szCs w:val="16"/>
          <w:color w:val="auto"/>
        </w:rPr>
        <w:t>Components of lease cost recorded in the Company’s Consolidated Statement of Income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Comprehensive Income for the years ended December 31, 2021 and 2020 consisted of the following:</w:t>
      </w:r>
    </w:p>
    <w:p>
      <w:pPr>
        <w:spacing w:after="0" w:line="216"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Years Ended</w:t>
      </w:r>
    </w:p>
    <w:p>
      <w:pPr>
        <w:ind w:left="73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5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16"/>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0"/>
        </w:trPr>
        <w:tc>
          <w:tcPr>
            <w:tcW w:w="6580" w:type="dxa"/>
            <w:vAlign w:val="bottom"/>
            <w:gridSpan w:val="2"/>
          </w:tcPr>
          <w:p>
            <w:pPr>
              <w:ind w:left="22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99"/>
        <w:spacing w:after="0" w:line="258" w:lineRule="auto"/>
        <w:rPr>
          <w:sz w:val="20"/>
          <w:szCs w:val="20"/>
          <w:color w:val="auto"/>
        </w:rPr>
      </w:pPr>
      <w:r>
        <w:rPr>
          <w:rFonts w:ascii="Arial" w:cs="Arial" w:eastAsia="Arial" w:hAnsi="Arial"/>
          <w:sz w:val="18"/>
          <w:szCs w:val="18"/>
          <w:i w:val="1"/>
          <w:iCs w:val="1"/>
          <w:color w:val="auto"/>
        </w:rPr>
        <w:t xml:space="preserve">Other Lease Information: </w:t>
      </w:r>
      <w:r>
        <w:rPr>
          <w:rFonts w:ascii="Arial" w:cs="Arial" w:eastAsia="Arial" w:hAnsi="Arial"/>
          <w:sz w:val="18"/>
          <w:szCs w:val="18"/>
          <w:color w:val="auto"/>
        </w:rPr>
        <w:t>Other information related to the Company’s operating leases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are as follows:</w:t>
      </w:r>
    </w:p>
    <w:p>
      <w:pPr>
        <w:ind w:left="7400"/>
        <w:spacing w:after="0" w:line="233" w:lineRule="auto"/>
        <w:rPr>
          <w:sz w:val="20"/>
          <w:szCs w:val="20"/>
          <w:color w:val="auto"/>
        </w:rPr>
      </w:pPr>
      <w:r>
        <w:rPr>
          <w:rFonts w:ascii="Arial" w:cs="Arial" w:eastAsia="Arial" w:hAnsi="Arial"/>
          <w:sz w:val="14"/>
          <w:szCs w:val="14"/>
          <w:b w:val="1"/>
          <w:bCs w:val="1"/>
          <w:color w:val="auto"/>
        </w:rPr>
        <w:t>Years Ended</w:t>
      </w:r>
    </w:p>
    <w:p>
      <w:pPr>
        <w:ind w:left="7360"/>
        <w:spacing w:after="0" w:line="231"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5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operating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30"/>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Right of use assets obtained in the exchange for new operating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321.7</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364"/>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4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operating lease term</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years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years</w:t>
            </w:r>
          </w:p>
        </w:tc>
      </w:tr>
      <w:tr>
        <w:trPr>
          <w:trHeight w:val="230"/>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Weighted average incremental borrowing rate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operating lease liabilities at December 31, 2021 are as follows: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280" w:type="dxa"/>
            <w:vAlign w:val="bottom"/>
          </w:tcPr>
          <w:p>
            <w:pPr>
              <w:spacing w:after="0"/>
              <w:rPr>
                <w:sz w:val="14"/>
                <w:szCs w:val="14"/>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680" w:type="dxa"/>
            <w:vAlign w:val="bottom"/>
            <w:gridSpan w:val="2"/>
            <w:vMerge w:val="continue"/>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2022</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7440" w:type="dxa"/>
            <w:vAlign w:val="bottom"/>
          </w:tcPr>
          <w:p>
            <w:pPr>
              <w:ind w:left="1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7440" w:type="dxa"/>
            <w:vAlign w:val="bottom"/>
          </w:tcPr>
          <w:p>
            <w:pPr>
              <w:ind w:left="1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Interest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0"/>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Present value of operating lease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Short-term portion</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i w:val="1"/>
          <w:iCs w:val="1"/>
          <w:color w:val="auto"/>
        </w:rPr>
        <w:t xml:space="preserve">Sale and Leaseback of Equipment: </w:t>
      </w:r>
      <w:r>
        <w:rPr>
          <w:rFonts w:ascii="Arial" w:cs="Arial" w:eastAsia="Arial" w:hAnsi="Arial"/>
          <w:sz w:val="18"/>
          <w:szCs w:val="18"/>
          <w:color w:val="auto"/>
        </w:rPr>
        <w:t>On March 25, 2020, the Company entered into an agreement for the sale and leaseback</w:t>
      </w:r>
      <w:r>
        <w:rPr>
          <w:rFonts w:ascii="Arial" w:cs="Arial" w:eastAsia="Arial" w:hAnsi="Arial"/>
          <w:sz w:val="18"/>
          <w:szCs w:val="18"/>
          <w:i w:val="1"/>
          <w:iCs w:val="1"/>
          <w:color w:val="auto"/>
        </w:rPr>
        <w:t xml:space="preserve"> </w:t>
      </w:r>
      <w:r>
        <w:rPr>
          <w:rFonts w:ascii="Arial" w:cs="Arial" w:eastAsia="Arial" w:hAnsi="Arial"/>
          <w:sz w:val="18"/>
          <w:szCs w:val="18"/>
          <w:color w:val="auto"/>
        </w:rPr>
        <w:t>of multiple tranches of chassis and container equipment. The net proceeds from the sales were $14.3 million, and the gain on the disposal of the equipment was not material to the Company’s Consolidated Financial Statements. The Company subsequently leased back the equipment under a five-year operating lease agreement, and the obligations under the lease are included in the maturities of operating lease liabilities table above. There were no sale and leaseback transactions during 2021 and 2019.</w:t>
      </w:r>
    </w:p>
    <w:p>
      <w:pPr>
        <w:spacing w:after="0" w:line="192"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i w:val="1"/>
          <w:iCs w:val="1"/>
          <w:color w:val="auto"/>
        </w:rPr>
        <w:t xml:space="preserve">Termination of Vessel Charter: </w:t>
      </w:r>
      <w:r>
        <w:rPr>
          <w:rFonts w:ascii="Arial" w:cs="Arial" w:eastAsia="Arial" w:hAnsi="Arial"/>
          <w:sz w:val="16"/>
          <w:szCs w:val="16"/>
          <w:color w:val="auto"/>
        </w:rPr>
        <w:t>On November 26, 2018, MatNav entered into agreements whereby the MatNav owned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vessel </w:t>
      </w:r>
      <w:r>
        <w:rPr>
          <w:rFonts w:ascii="Arial" w:cs="Arial" w:eastAsia="Arial" w:hAnsi="Arial"/>
          <w:sz w:val="16"/>
          <w:szCs w:val="16"/>
          <w:i w:val="1"/>
          <w:iCs w:val="1"/>
          <w:color w:val="auto"/>
        </w:rPr>
        <w:t>Maunalei</w:t>
      </w:r>
      <w:r>
        <w:rPr>
          <w:rFonts w:ascii="Arial" w:cs="Arial" w:eastAsia="Arial" w:hAnsi="Arial"/>
          <w:sz w:val="16"/>
          <w:szCs w:val="16"/>
          <w:color w:val="auto"/>
        </w:rPr>
        <w:t xml:space="preserve"> was sold for $106.0 million and subsequently leased back from the buyer-lessor under a Bareboat Charter Agreement (the “Charter”). The transaction qualified for sale and leaseback treatment under ASC 840, </w:t>
      </w:r>
      <w:r>
        <w:rPr>
          <w:rFonts w:ascii="Arial" w:cs="Arial" w:eastAsia="Arial" w:hAnsi="Arial"/>
          <w:sz w:val="16"/>
          <w:szCs w:val="16"/>
          <w:i w:val="1"/>
          <w:iCs w:val="1"/>
          <w:color w:val="auto"/>
        </w:rPr>
        <w:t>Leases</w:t>
      </w:r>
      <w:r>
        <w:rPr>
          <w:rFonts w:ascii="Arial" w:cs="Arial" w:eastAsia="Arial" w:hAnsi="Arial"/>
          <w:sz w:val="16"/>
          <w:szCs w:val="16"/>
          <w:color w:val="auto"/>
        </w:rPr>
        <w:t>, with the Charter treated as an operating lease for accounting purposes. Lease payments were approximately $3.0 million per quarter, and the base term of the Charter was five years with a two year end-of-term renewal option.</w:t>
      </w:r>
    </w:p>
    <w:p>
      <w:pPr>
        <w:spacing w:after="0" w:line="161" w:lineRule="exact"/>
        <w:rPr>
          <w:sz w:val="20"/>
          <w:szCs w:val="20"/>
          <w:color w:val="auto"/>
        </w:rPr>
      </w:pPr>
    </w:p>
    <w:p>
      <w:pPr>
        <w:ind w:left="60" w:right="219"/>
        <w:spacing w:after="0" w:line="271" w:lineRule="auto"/>
        <w:rPr>
          <w:sz w:val="20"/>
          <w:szCs w:val="20"/>
          <w:color w:val="auto"/>
        </w:rPr>
      </w:pPr>
      <w:r>
        <w:rPr>
          <w:rFonts w:ascii="Arial" w:cs="Arial" w:eastAsia="Arial" w:hAnsi="Arial"/>
          <w:sz w:val="17"/>
          <w:szCs w:val="17"/>
          <w:color w:val="auto"/>
        </w:rPr>
        <w:t>On July 7, 2021, MatNav entered into an agreement to terminate the Charter for $95.8 million, thereby acquiring the vessel. The Company paid for the termination with a combination of cash on hand and borrowing on the revolving credit facility. The Company derecognized the related right-of-use (“ROU”) asset of $27.4 million and ROU liability of</w:t>
      </w:r>
    </w:p>
    <w:p>
      <w:pPr>
        <w:ind w:left="60" w:right="79"/>
        <w:spacing w:after="0" w:line="260" w:lineRule="auto"/>
        <w:rPr>
          <w:sz w:val="20"/>
          <w:szCs w:val="20"/>
          <w:color w:val="auto"/>
        </w:rPr>
      </w:pPr>
      <w:r>
        <w:rPr>
          <w:rFonts w:ascii="Arial" w:cs="Arial" w:eastAsia="Arial" w:hAnsi="Arial"/>
          <w:sz w:val="18"/>
          <w:szCs w:val="18"/>
          <w:color w:val="auto"/>
        </w:rPr>
        <w:t>$28.5 million, and increased property and equipment by $94.7 million, net. Concurrent with the termination of the Charter, the Company was released from certain obligations under a guaranty related to the Charter.</w:t>
      </w:r>
    </w:p>
    <w:p>
      <w:pPr>
        <w:spacing w:after="0" w:line="397" w:lineRule="exact"/>
        <w:rPr>
          <w:sz w:val="20"/>
          <w:szCs w:val="20"/>
          <w:color w:val="auto"/>
        </w:rPr>
      </w:pPr>
    </w:p>
    <w:p>
      <w:pPr>
        <w:ind w:left="700" w:hanging="650"/>
        <w:spacing w:after="0"/>
        <w:tabs>
          <w:tab w:leader="none" w:pos="7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taxes for the years ended December 31, 2021, 2020 and 2019 consisted of the following:</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8"/>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Federal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Discrete adjustments related to the Tax Act (1)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Deferred tax expense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579" w:hanging="330"/>
        <w:spacing w:after="0" w:line="253"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Current income taxes for the year ended December 31, 2019 include a non-cash income tax benefit of $2.9 million, which relates to discrete adjustments as a result of applying the provisions of the 2017 Tax Cuts and Jobs Act of 2017 (the “Tax Act”).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58" w:lineRule="auto"/>
        <w:rPr>
          <w:sz w:val="20"/>
          <w:szCs w:val="20"/>
          <w:color w:val="auto"/>
        </w:rPr>
      </w:pPr>
      <w:r>
        <w:rPr>
          <w:rFonts w:ascii="Arial" w:cs="Arial" w:eastAsia="Arial" w:hAnsi="Arial"/>
          <w:sz w:val="18"/>
          <w:szCs w:val="18"/>
          <w:color w:val="auto"/>
        </w:rPr>
        <w:t>Income taxes for the years ended December 31, 2021, 2020 and 2019 differ from amounts computed by applying the statutory federal rate to income before income taxes for the following reasons: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jc w:val="right"/>
              <w:ind w:right="31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federal income tax expense</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State income tax</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3.1 %</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3.5 %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Foreign-derived intangible income (FDII)</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w:t>
            </w: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Valuation allowance</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(0.3)%</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(0.2)%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taxes</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0.2 %</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Remeasurement and discrete adjustments related to the Tax Act (1)</w:t>
            </w:r>
          </w:p>
        </w:tc>
        <w:tc>
          <w:tcPr>
            <w:tcW w:w="760" w:type="dxa"/>
            <w:vAlign w:val="bottom"/>
            <w:gridSpan w:val="2"/>
          </w:tcPr>
          <w:p>
            <w:pPr>
              <w:jc w:val="right"/>
              <w:ind w:right="1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w:t>
            </w:r>
          </w:p>
        </w:tc>
        <w:tc>
          <w:tcPr>
            <w:tcW w:w="780" w:type="dxa"/>
            <w:vAlign w:val="bottom"/>
            <w:gridSpan w:val="2"/>
          </w:tcPr>
          <w:p>
            <w:pPr>
              <w:jc w:val="right"/>
              <w:ind w:right="1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Other — net</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(0.5)%</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1.0 %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Effective income tax rate</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62" w:lineRule="exact"/>
        <w:rPr>
          <w:sz w:val="20"/>
          <w:szCs w:val="20"/>
          <w:color w:val="auto"/>
        </w:rPr>
      </w:pPr>
    </w:p>
    <w:p>
      <w:pPr>
        <w:ind w:left="380" w:right="79" w:hanging="330"/>
        <w:spacing w:after="0" w:line="253" w:lineRule="auto"/>
        <w:tabs>
          <w:tab w:leader="none" w:pos="3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Effective income tax rate for the year ended December 31, 2019 includes the impact of a non-cash income tax benefit of $2.9 million, or 2.7 percent, which related to certain discrete adjustments as a result of applying the provisions of the Tax Act.</w:t>
      </w:r>
    </w:p>
    <w:p>
      <w:pPr>
        <w:spacing w:after="0" w:line="178" w:lineRule="exact"/>
        <w:rPr>
          <w:sz w:val="20"/>
          <w:szCs w:val="20"/>
          <w:color w:val="auto"/>
        </w:rPr>
      </w:pPr>
    </w:p>
    <w:p>
      <w:pPr>
        <w:ind w:left="60" w:right="399"/>
        <w:spacing w:after="0" w:line="258" w:lineRule="auto"/>
        <w:rPr>
          <w:sz w:val="20"/>
          <w:szCs w:val="20"/>
          <w:color w:val="auto"/>
        </w:rPr>
      </w:pPr>
      <w:r>
        <w:rPr>
          <w:rFonts w:ascii="Arial" w:cs="Arial" w:eastAsia="Arial" w:hAnsi="Arial"/>
          <w:sz w:val="18"/>
          <w:szCs w:val="18"/>
          <w:color w:val="auto"/>
        </w:rPr>
        <w:t>The tax effects of temporary differences that gave rise to significant portions of the deferred tax assets and deferred tax liabilities at December 31, 2021 and 2020, were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111.7</w:t>
            </w:r>
          </w:p>
        </w:tc>
        <w:tc>
          <w:tcPr>
            <w:tcW w:w="22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Multi-employer withdrawal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Pension and post-retirement plans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Insurance reserves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net operating losses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 net of valuation allowance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Basis differences for property and equipment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SSAT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Capital Construction Fund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financing</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liabilities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gridSpan w:val="2"/>
          </w:tcPr>
          <w:p>
            <w:pPr>
              <w:spacing w:after="0"/>
              <w:rPr>
                <w:sz w:val="20"/>
                <w:szCs w:val="20"/>
                <w:color w:val="auto"/>
              </w:rPr>
            </w:pPr>
            <w:r>
              <w:rPr>
                <w:rFonts w:ascii="Arial" w:cs="Arial" w:eastAsia="Arial" w:hAnsi="Arial"/>
                <w:sz w:val="18"/>
                <w:szCs w:val="18"/>
                <w:color w:val="auto"/>
              </w:rPr>
              <w:t>Deferred tax liability, net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i w:val="1"/>
          <w:iCs w:val="1"/>
          <w:color w:val="auto"/>
        </w:rPr>
        <w:t xml:space="preserve">Valuation Allowance: </w:t>
      </w:r>
      <w:r>
        <w:rPr>
          <w:rFonts w:ascii="Arial" w:cs="Arial" w:eastAsia="Arial" w:hAnsi="Arial"/>
          <w:sz w:val="17"/>
          <w:szCs w:val="17"/>
          <w:color w:val="auto"/>
        </w:rPr>
        <w:t>Valuation allowances recorded against the Company’s foreign income tax net operating losses</w:t>
      </w:r>
      <w:r>
        <w:rPr>
          <w:rFonts w:ascii="Arial" w:cs="Arial" w:eastAsia="Arial" w:hAnsi="Arial"/>
          <w:sz w:val="17"/>
          <w:szCs w:val="17"/>
          <w:i w:val="1"/>
          <w:iCs w:val="1"/>
          <w:color w:val="auto"/>
        </w:rPr>
        <w:t xml:space="preserve"> </w:t>
      </w:r>
      <w:r>
        <w:rPr>
          <w:rFonts w:ascii="Arial" w:cs="Arial" w:eastAsia="Arial" w:hAnsi="Arial"/>
          <w:sz w:val="17"/>
          <w:szCs w:val="17"/>
          <w:color w:val="auto"/>
        </w:rPr>
        <w:t>(“NOLs”) and a portion of the state income tax NOLs were $5.3 million and $10.0 million as of December 31, 2021 and 2020, respectively. The Company believes that it is more likely than not that the benefit from these deferred assets will not be realized. The Company recorded a decrease to its valuation allowance of $4.7 million, $0.6 million and $0.9 million during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i w:val="1"/>
          <w:iCs w:val="1"/>
          <w:color w:val="auto"/>
        </w:rPr>
        <w:t xml:space="preserve">Net Operating Losses and Tax Credit Carryforwards: </w:t>
      </w:r>
      <w:r>
        <w:rPr>
          <w:rFonts w:ascii="Arial" w:cs="Arial" w:eastAsia="Arial" w:hAnsi="Arial"/>
          <w:sz w:val="18"/>
          <w:szCs w:val="18"/>
          <w:color w:val="auto"/>
        </w:rPr>
        <w:t>The Company’s NOLs and tax credit carryforwards at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were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94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Expiration Date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r>
      <w:tr>
        <w:trPr>
          <w:trHeight w:val="209"/>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Federal income tax NOLs</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Various dates beginning in 2027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U.S. State income tax NOLs (1)</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rPr>
              <w:t>Various dates beginning in 2032</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159.8</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185.9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U.S. State alternative minimum tax credit</w:t>
            </w: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 expiration date</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Foreign income tax NOLs</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rPr>
              <w:t>No expiration date</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8.8</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179" w:hanging="330"/>
        <w:spacing w:after="0" w:line="253"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U.S. State income tax NOLs are presented on a gross tax basis. The Company does not expect to benefit from $157.9 million of U.S. State income tax NOLs as of December 31, 2021 and 2020.</w:t>
      </w:r>
    </w:p>
    <w:p>
      <w:pPr>
        <w:spacing w:after="0" w:line="178"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The U.S. federal and state income tax NOLs in the Company’s filed income tax returns include unrecognized tax benefits. The deferred tax assets recognized for those NOLs are presented net of these unrecognized tax benefits. As a result of changes in tax legislation, the use of a portion of the Company’s domestic NOL and tax credit carryforwards may be limited in future periods. Further, a portion of the federal and state income tax NOLs and tax credit carryforwards may expire before being applied to reduce future income tax liabilities.</w:t>
      </w:r>
    </w:p>
    <w:p>
      <w:pPr>
        <w:spacing w:after="0" w:line="188"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i w:val="1"/>
          <w:iCs w:val="1"/>
          <w:color w:val="auto"/>
        </w:rPr>
        <w:t xml:space="preserve">Unrecognized Tax Benefits: </w:t>
      </w:r>
      <w:r>
        <w:rPr>
          <w:rFonts w:ascii="Arial" w:cs="Arial" w:eastAsia="Arial" w:hAnsi="Arial"/>
          <w:sz w:val="18"/>
          <w:szCs w:val="18"/>
          <w:color w:val="auto"/>
        </w:rPr>
        <w:t>Total unrecognized benefits represent the amount that, if recognized, would favorably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incomes taxes and effective tax rate in future periods. The Company does not expect a material change in gross unrecognized benefits in the next twelve months. A reconciliation of the beginning and ending amount of gross unrecognized tax benefits is as follows: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Unrecognized Tax Benefits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r>
      <w:tr>
        <w:trPr>
          <w:trHeight w:val="209"/>
        </w:trPr>
        <w:tc>
          <w:tcPr>
            <w:tcW w:w="814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81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CCEEFF"/>
            </w:tcBorders>
          </w:tcPr>
          <w:p>
            <w:pPr>
              <w:spacing w:after="0"/>
              <w:rPr>
                <w:sz w:val="18"/>
                <w:szCs w:val="18"/>
                <w:color w:val="auto"/>
              </w:rPr>
            </w:pPr>
          </w:p>
        </w:tc>
      </w:tr>
      <w:tr>
        <w:trPr>
          <w:trHeight w:val="210"/>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r>
      <w:tr>
        <w:trPr>
          <w:trHeight w:val="209"/>
        </w:trPr>
        <w:tc>
          <w:tcPr>
            <w:tcW w:w="8140" w:type="dxa"/>
            <w:vAlign w:val="bottom"/>
            <w:gridSpan w:val="2"/>
          </w:tcPr>
          <w:p>
            <w:pPr>
              <w:spacing w:after="0"/>
              <w:rPr>
                <w:sz w:val="20"/>
                <w:szCs w:val="20"/>
                <w:color w:val="auto"/>
              </w:rPr>
            </w:pPr>
            <w:r>
              <w:rPr>
                <w:rFonts w:ascii="Arial" w:cs="Arial" w:eastAsia="Arial" w:hAnsi="Arial"/>
                <w:sz w:val="18"/>
                <w:szCs w:val="18"/>
                <w:color w:val="auto"/>
              </w:rPr>
              <w:t>Balance at December 31, 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2</w:t>
            </w:r>
          </w:p>
        </w:tc>
        <w:tc>
          <w:tcPr>
            <w:tcW w:w="6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Included in the balance of unrecognized tax benefits at December 31, 2021 are potential benefits of $19.2 million that, if recognized, would affect the Company’s income taxes and effective tax rate. The Company recognizes potential accrued interest and penalties related to unrecognized tax benefits in income taxes. To the extent interest and penalties are not ultimately assessed with respect to the settlement of uncertain tax positions, amounts accrued will be reduced and reflected as a reduction of the Company’s income taxes. Interest accrued related to the balance of unrecognized tax benefits totaled $0.1 million as of December 31, 2021 and 2020.</w:t>
      </w:r>
    </w:p>
    <w:p>
      <w:pPr>
        <w:spacing w:after="0" w:line="178"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Company is no longer subject to U.S. federal income tax audits for years before 2015. The Company is routinely involved in federal, state, local income and excise tax audits, and foreign tax audits.</w:t>
      </w:r>
    </w:p>
    <w:p>
      <w:pPr>
        <w:spacing w:after="0" w:line="382" w:lineRule="exact"/>
        <w:rPr>
          <w:sz w:val="20"/>
          <w:szCs w:val="20"/>
          <w:color w:val="auto"/>
        </w:rPr>
      </w:pPr>
    </w:p>
    <w:p>
      <w:pPr>
        <w:ind w:left="700" w:hanging="650"/>
        <w:spacing w:after="0"/>
        <w:tabs>
          <w:tab w:leader="none" w:pos="7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Non-bargaining Plans:</w:t>
      </w:r>
    </w:p>
    <w:p>
      <w:pPr>
        <w:spacing w:after="0" w:line="225"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The Company has two funded qualified single-employer defined benefit pension plans that cover certain non-bargaining unit employees and bargaining unit employees. In addition, the Company has plans that provide certain retiree health care and life insurance benefits to substantially all salaried, non-bargaining employees hired before 2008 and to certain bargaining unit employees. Employees are generally eligible for such benefits upon retirement and completion of a specified number of years of service. The Company does not pre-fund these health care and life insurance benefits, and has the right to modify or terminate certain of these plans in the future. Most non-bargaining retirees pay a portion of the benefit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i w:val="1"/>
          <w:iCs w:val="1"/>
          <w:color w:val="auto"/>
        </w:rPr>
        <w:t xml:space="preserve">Plan Administration, Investments and Asset Allocations: </w:t>
      </w:r>
      <w:r>
        <w:rPr>
          <w:rFonts w:ascii="Arial" w:cs="Arial" w:eastAsia="Arial" w:hAnsi="Arial"/>
          <w:sz w:val="16"/>
          <w:szCs w:val="16"/>
          <w:color w:val="auto"/>
        </w:rPr>
        <w:t>The Company has a Benefits Investment Committee that meets</w:t>
      </w:r>
      <w:r>
        <w:rPr>
          <w:rFonts w:ascii="Arial" w:cs="Arial" w:eastAsia="Arial" w:hAnsi="Arial"/>
          <w:sz w:val="16"/>
          <w:szCs w:val="16"/>
          <w:i w:val="1"/>
          <w:iCs w:val="1"/>
          <w:color w:val="auto"/>
        </w:rPr>
        <w:t xml:space="preserve"> </w:t>
      </w:r>
      <w:r>
        <w:rPr>
          <w:rFonts w:ascii="Arial" w:cs="Arial" w:eastAsia="Arial" w:hAnsi="Arial"/>
          <w:sz w:val="16"/>
          <w:szCs w:val="16"/>
          <w:color w:val="auto"/>
        </w:rPr>
        <w:t>regularly with investment advisors to establish investment policies, direct investments and select investment options for the qualified plans. The Benefits Investment Committee is also responsible for appointing investment managers and monitoring their performance. The Company’s investment policy permits investments in marketable equity securities, such as domestic and foreign stocks, domestic and foreign bonds, venture capital, real estate investments, and cash equivalents. The Company’s investment policy does not permit direct investment in certain types of assets, such as options or commodities, or the use of certain strategies, such as short selling or the purchase of securities on margin.</w:t>
      </w:r>
    </w:p>
    <w:p>
      <w:pPr>
        <w:spacing w:after="0" w:line="166"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The Company’s investment strategy for its qualified pension plan assets is to achieve a diversified mix of investments that provides for long-term growth at an acceptable level of risk, and to provide sufficient liquidity to fund ongoing benefit payments. The Company has engaged a number of investment managers to implement various investment strategies to achieve the desired asset class mix, liquidity and risk diversification objectives.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target and actual asset allocations at December 31, 2021 and 2020 were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Asset Categories</w:t>
            </w:r>
          </w:p>
        </w:tc>
        <w:tc>
          <w:tcPr>
            <w:tcW w:w="6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3"/>
              </w:rPr>
              <w:t>Target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r>
      <w:tr>
        <w:trPr>
          <w:trHeight w:val="209"/>
        </w:trPr>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Domestic equity securities</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International equity securities</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15 %</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16 %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22 %</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5 %</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6 %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and cash</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9"/>
        </w:trPr>
        <w:tc>
          <w:tcPr>
            <w:tcW w:w="694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The Company’s investments in equity securities primarily include domestic large-cap and mid-cap companies, but also includes an allocation to small-cap and international equity securities. Equity investments do not include any direct holdings of the Company’s stock but may include such holdings to the extent that the stock is included as part of certain mutual fund holdings. Debt securities include investment-grade and high-yield corporate bonds from diversified industries, mortgage-backed securities, and U.S. Treasuries. Other types of investments include funds that invest in commercial real estate assets. All assets within specific funds are allocated to the target asset allocation of the fund.</w:t>
      </w:r>
    </w:p>
    <w:p>
      <w:pPr>
        <w:spacing w:after="0" w:line="178"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The expected return on plan assets is principally based on the Company’s historical returns combined with the Company’s long-term future expectations regarding asset class returns, the mix of plan assets, and inflation assumptions. Actual return on plan assets for the periods presented are as follows: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 Return on Plan Assets</w:t>
            </w:r>
          </w:p>
        </w:tc>
        <w:tc>
          <w:tcPr>
            <w:tcW w:w="11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Returns</w:t>
            </w:r>
          </w:p>
        </w:tc>
      </w:tr>
      <w:tr>
        <w:trPr>
          <w:trHeight w:val="210"/>
        </w:trPr>
        <w:tc>
          <w:tcPr>
            <w:tcW w:w="7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One-year return</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Three-year return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16.4 %</w:t>
            </w:r>
          </w:p>
        </w:tc>
      </w:tr>
      <w:tr>
        <w:trPr>
          <w:trHeight w:val="21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Five-year return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average return (since plan inception in 1989)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8.7 %</w:t>
            </w:r>
          </w:p>
        </w:tc>
      </w:tr>
    </w:tbl>
    <w:p>
      <w:pPr>
        <w:spacing w:after="0" w:line="187" w:lineRule="exact"/>
        <w:rPr>
          <w:sz w:val="20"/>
          <w:szCs w:val="20"/>
          <w:color w:val="auto"/>
        </w:rPr>
      </w:pPr>
    </w:p>
    <w:p>
      <w:pPr>
        <w:jc w:val="both"/>
        <w:ind w:left="60" w:right="559"/>
        <w:spacing w:after="0" w:line="263" w:lineRule="auto"/>
        <w:rPr>
          <w:sz w:val="20"/>
          <w:szCs w:val="20"/>
          <w:color w:val="auto"/>
        </w:rPr>
      </w:pPr>
      <w:r>
        <w:rPr>
          <w:rFonts w:ascii="Arial" w:cs="Arial" w:eastAsia="Arial" w:hAnsi="Arial"/>
          <w:sz w:val="18"/>
          <w:szCs w:val="18"/>
          <w:color w:val="auto"/>
        </w:rPr>
        <w:t>The Company’s pension plan assets are held in a master trust and are stated at estimated fair values of the underlying investments. Purchases and sales of securities are recorded on a trade-date basis. Interest income is recorded on the accrual basis. Dividends are recorded on the ex-dividend date.</w:t>
      </w:r>
    </w:p>
    <w:p>
      <w:pPr>
        <w:spacing w:after="0" w:line="184"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Domestic and international common stocks are valued by obtaining quoted prices on recognized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exchanges.</w:t>
      </w:r>
    </w:p>
    <w:p>
      <w:pPr>
        <w:spacing w:after="0" w:line="170"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i w:val="1"/>
          <w:iCs w:val="1"/>
          <w:color w:val="auto"/>
        </w:rPr>
        <w:t xml:space="preserve">Fixed Income Securities: </w:t>
      </w:r>
      <w:r>
        <w:rPr>
          <w:rFonts w:ascii="Arial" w:cs="Arial" w:eastAsia="Arial" w:hAnsi="Arial"/>
          <w:sz w:val="17"/>
          <w:szCs w:val="17"/>
          <w:color w:val="auto"/>
        </w:rPr>
        <w:t>Corporate bonds and U.S. government treasury and agency securities are valued based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price reported in the market in which the security is traded. U.S. government agency and corporate asset-backed securities may utilize models, such as a matrix pricing model, that incorporate other observable inputs when broker/dealer quotes are not available, such as cash flow, security structure, or market information.</w:t>
      </w:r>
    </w:p>
    <w:p>
      <w:pPr>
        <w:spacing w:after="0" w:line="171" w:lineRule="exact"/>
        <w:rPr>
          <w:sz w:val="20"/>
          <w:szCs w:val="20"/>
          <w:color w:val="auto"/>
        </w:rPr>
      </w:pPr>
    </w:p>
    <w:p>
      <w:pPr>
        <w:ind w:left="60" w:right="359"/>
        <w:spacing w:after="0" w:line="279" w:lineRule="auto"/>
        <w:rPr>
          <w:sz w:val="20"/>
          <w:szCs w:val="20"/>
          <w:color w:val="auto"/>
        </w:rPr>
      </w:pPr>
      <w:r>
        <w:rPr>
          <w:rFonts w:ascii="Arial" w:cs="Arial" w:eastAsia="Arial" w:hAnsi="Arial"/>
          <w:sz w:val="17"/>
          <w:szCs w:val="17"/>
          <w:i w:val="1"/>
          <w:iCs w:val="1"/>
          <w:color w:val="auto"/>
        </w:rPr>
        <w:t xml:space="preserve">Real Estate and Private Equity Funds: </w:t>
      </w:r>
      <w:r>
        <w:rPr>
          <w:rFonts w:ascii="Arial" w:cs="Arial" w:eastAsia="Arial" w:hAnsi="Arial"/>
          <w:sz w:val="17"/>
          <w:szCs w:val="17"/>
          <w:color w:val="auto"/>
        </w:rPr>
        <w:t>The fair value of real estate and private equity funds is determined by the issuer</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their net asset value (“NAV”). NAV is determined by dividing the fund’s net assets, as recorded in the fund’s audited financial statements, by the number of units outstanding at the valuation date. Fair value for underlying investments in real estate is determined through independent property appraisals.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fair values of the Company’s pension plan assets at December 31, 2021 and 2020 by asset category were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11"/>
          </w:tcPr>
          <w:p>
            <w:pPr>
              <w:ind w:left="460"/>
              <w:spacing w:after="0"/>
              <w:rPr>
                <w:sz w:val="20"/>
                <w:szCs w:val="20"/>
                <w:color w:val="auto"/>
              </w:rPr>
            </w:pPr>
            <w:r>
              <w:rPr>
                <w:rFonts w:ascii="Arial" w:cs="Arial" w:eastAsia="Arial" w:hAnsi="Arial"/>
                <w:sz w:val="14"/>
                <w:szCs w:val="14"/>
                <w:b w:val="1"/>
                <w:bCs w:val="1"/>
                <w:color w:val="auto"/>
              </w:rPr>
              <w:t>Fair Value Measurements at December 31, 2021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1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3"/>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Category (in millions)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14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46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(Level 1)</w:t>
            </w:r>
          </w:p>
        </w:tc>
        <w:tc>
          <w:tcPr>
            <w:tcW w:w="114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Inputs (Level 2)</w:t>
            </w:r>
          </w:p>
        </w:tc>
        <w:tc>
          <w:tcPr>
            <w:tcW w:w="1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U.S. mid- and small-cap</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International large-cap</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Fixed income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Investment grade U.S. corporate bonds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High-yield U.S. corporate bonds / Non-U.S. Bonds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6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195.1</w:t>
            </w: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Investment measured at NAV (1)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52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3"/>
          </w:tcPr>
          <w:p>
            <w:pPr>
              <w:ind w:left="20"/>
              <w:spacing w:after="0"/>
              <w:rPr>
                <w:sz w:val="20"/>
                <w:szCs w:val="20"/>
                <w:color w:val="auto"/>
              </w:rPr>
            </w:pPr>
            <w:r>
              <w:rPr>
                <w:rFonts w:ascii="Arial" w:cs="Arial" w:eastAsia="Arial" w:hAnsi="Arial"/>
                <w:sz w:val="18"/>
                <w:szCs w:val="18"/>
                <w:color w:val="auto"/>
              </w:rPr>
              <w:t>Total plan assets</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11"/>
          </w:tcPr>
          <w:p>
            <w:pPr>
              <w:ind w:left="460"/>
              <w:spacing w:after="0"/>
              <w:rPr>
                <w:sz w:val="20"/>
                <w:szCs w:val="20"/>
                <w:color w:val="auto"/>
              </w:rPr>
            </w:pPr>
            <w:r>
              <w:rPr>
                <w:rFonts w:ascii="Arial" w:cs="Arial" w:eastAsia="Arial" w:hAnsi="Arial"/>
                <w:sz w:val="14"/>
                <w:szCs w:val="14"/>
                <w:b w:val="1"/>
                <w:bCs w:val="1"/>
                <w:color w:val="auto"/>
              </w:rPr>
              <w:t>Fair Value Measurements at December 31,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1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3"/>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Category (in millions)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14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46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(Level 1)</w:t>
            </w:r>
          </w:p>
        </w:tc>
        <w:tc>
          <w:tcPr>
            <w:tcW w:w="114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Inputs (Level 2)</w:t>
            </w:r>
          </w:p>
        </w:tc>
        <w:tc>
          <w:tcPr>
            <w:tcW w:w="1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U.S. mid- and small-cap</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International large-cap</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Fixed income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Investment grade U.S. corporate bonds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2"/>
            <w:vMerge w:val="restart"/>
          </w:tcPr>
          <w:p>
            <w:pPr>
              <w:ind w:left="220"/>
              <w:spacing w:after="0"/>
              <w:rPr>
                <w:sz w:val="20"/>
                <w:szCs w:val="20"/>
                <w:color w:val="auto"/>
              </w:rPr>
            </w:pPr>
            <w:r>
              <w:rPr>
                <w:rFonts w:ascii="Arial" w:cs="Arial" w:eastAsia="Arial" w:hAnsi="Arial"/>
                <w:sz w:val="18"/>
                <w:szCs w:val="18"/>
                <w:color w:val="auto"/>
              </w:rPr>
              <w:t>Investment measured at NAV (1)</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Borders>
              <w:bottom w:val="single" w:sz="8" w:color="CCEEFF"/>
            </w:tcBorders>
            <w:gridSpan w:val="2"/>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plan assets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212.8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39" w:hanging="330"/>
        <w:spacing w:after="0" w:line="253" w:lineRule="auto"/>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Real estate and private equity funds for which fair value is measured using the NAV per share as a practical expedient are not leveled within the fair value hierarchy and are included as a reconciling item to total plan assets.</w:t>
      </w:r>
    </w:p>
    <w:p>
      <w:pPr>
        <w:spacing w:after="0" w:line="178"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Contributions to each of the qualified single-employer defined benefit pension plans are determined annually by the Company’s pension administrative committee, based upon the actuarially determined minimum required contribution under the Employee Retirement Income Security Act of 1974 (“ERISA”), as amended, the Pension Protection Act of 2006, and the maximum deductible contribution allowed for tax purposes. The Company’s funding policy is to contribute cash to its pension plans so that it meets at least the minimum contribution requirements. In 2021, 2020 and 2019, the Company contributed $9.0 million, $9.0 million and $10 million, respectively, in pension contributions in these plans.</w:t>
      </w:r>
    </w:p>
    <w:p>
      <w:pPr>
        <w:spacing w:after="0" w:line="164" w:lineRule="exact"/>
        <w:rPr>
          <w:sz w:val="20"/>
          <w:szCs w:val="20"/>
          <w:color w:val="auto"/>
        </w:rPr>
      </w:pPr>
    </w:p>
    <w:p>
      <w:pPr>
        <w:ind w:left="60" w:right="479"/>
        <w:spacing w:after="0" w:line="342" w:lineRule="auto"/>
        <w:rPr>
          <w:sz w:val="20"/>
          <w:szCs w:val="20"/>
          <w:color w:val="auto"/>
        </w:rPr>
      </w:pPr>
      <w:r>
        <w:rPr>
          <w:rFonts w:ascii="Arial" w:cs="Arial" w:eastAsia="Arial" w:hAnsi="Arial"/>
          <w:sz w:val="16"/>
          <w:szCs w:val="16"/>
          <w:color w:val="auto"/>
        </w:rPr>
        <w:t>The benefit formulas for employees who are members of collective bargaining units are determined according to the collective bargaining agreements, either using final average pay as the base or a flat dollar amount per year of service.</w:t>
      </w:r>
    </w:p>
    <w:p>
      <w:pPr>
        <w:spacing w:after="0" w:line="124"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Effective December 31, 2011, the Company froze benefit accruals under the final average pay formula for salaried, non-bargaining unit employees hired before January 1, 2008 and transitioned them to the same cash balance formula for employees hired on or after January 1, 2008. Retirement benefits under the cash balance formula are based on a fixed percentage of employee eligible compensation, plus interest. The plan interest credit rate will vary from year to year based on the ten-year U.S. Treasury rate.</w:t>
      </w:r>
    </w:p>
    <w:p>
      <w:pPr>
        <w:spacing w:after="0" w:line="188"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i w:val="1"/>
          <w:iCs w:val="1"/>
          <w:color w:val="auto"/>
        </w:rPr>
        <w:t xml:space="preserve">Benefit Plan Assets and Obligations: </w:t>
      </w:r>
      <w:r>
        <w:rPr>
          <w:rFonts w:ascii="Arial" w:cs="Arial" w:eastAsia="Arial" w:hAnsi="Arial"/>
          <w:sz w:val="18"/>
          <w:szCs w:val="18"/>
          <w:color w:val="auto"/>
        </w:rPr>
        <w:t>The measurement date for the Company’s benefit plan disclosures is December 31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status of the funded qualified defined benefit pension plans and the unfunded post-retirement benefit plans at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and 2020 are shown below:</w:t>
      </w: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rPr>
              <w:t>Pension Benefits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7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34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$ 263.1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$ 239.9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Service cost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Interest cost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Participant contributions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Actuarial (gain)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Benefits paid, net of subsidies received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Expenses paid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212.8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Actual return on plan assets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Participant contributions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Employer contributions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Benefits paid, net of subsidies received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Expenses paid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plan assets at end of year</w:t>
            </w:r>
          </w:p>
        </w:tc>
        <w:tc>
          <w:tcPr>
            <w:tcW w:w="1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 and Recognized Liability</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(10.6)</w:t>
            </w: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(50.3)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Qualified pension and post-retirement benefits plans liabilities recognized in the Consolidated Balance Sheets and expenses recognized in accumulated other comprehensive income (loss) at December 31, 2021 and 2020 were as follows:</w:t>
      </w:r>
    </w:p>
    <w:tbl>
      <w:tblPr>
        <w:tblLayout w:type="fixed"/>
        <w:tblInd w:w="40" w:type="dxa"/>
        <w:tblCellMar>
          <w:top w:w="0" w:type="dxa"/>
          <w:left w:w="0" w:type="dxa"/>
          <w:bottom w:w="0" w:type="dxa"/>
          <w:right w:w="0" w:type="dxa"/>
        </w:tblCellMar>
      </w:tblPr>
      <w:tr>
        <w:trPr>
          <w:trHeight w:val="13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vMerge w:val="restart"/>
          </w:tcPr>
          <w:p>
            <w:pPr>
              <w:jc w:val="right"/>
              <w:ind w:right="320"/>
              <w:spacing w:after="0"/>
              <w:rPr>
                <w:sz w:val="20"/>
                <w:szCs w:val="20"/>
                <w:color w:val="auto"/>
              </w:rPr>
            </w:pPr>
            <w:r>
              <w:rPr>
                <w:rFonts w:ascii="Arial" w:cs="Arial" w:eastAsia="Arial" w:hAnsi="Arial"/>
                <w:sz w:val="14"/>
                <w:szCs w:val="14"/>
                <w:b w:val="1"/>
                <w:bCs w:val="1"/>
                <w:color w:val="auto"/>
                <w:w w:val="89"/>
              </w:rPr>
              <w:t>Pension Benefits</w:t>
            </w:r>
          </w:p>
        </w:tc>
        <w:tc>
          <w:tcPr>
            <w:tcW w:w="120" w:type="dxa"/>
            <w:vAlign w:val="bottom"/>
          </w:tcPr>
          <w:p>
            <w:pPr>
              <w:spacing w:after="0"/>
              <w:rPr>
                <w:sz w:val="12"/>
                <w:szCs w:val="12"/>
                <w:color w:val="auto"/>
              </w:rPr>
            </w:pPr>
          </w:p>
        </w:tc>
        <w:tc>
          <w:tcPr>
            <w:tcW w:w="1320" w:type="dxa"/>
            <w:vAlign w:val="bottom"/>
            <w:gridSpan w:val="5"/>
          </w:tcPr>
          <w:p>
            <w:pPr>
              <w:jc w:val="center"/>
              <w:ind w:right="200"/>
              <w:spacing w:after="0" w:line="139"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71"/>
        </w:trPr>
        <w:tc>
          <w:tcPr>
            <w:tcW w:w="5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3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3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liabilities, net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(51.3)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(28.4)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(28.1)</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(10.6)</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(50.3)</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(29.3)</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(29.1)</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Net loss, net of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(64.2)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Prior service credit, net of taxes</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(61.7)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information for qualified defined benefit pension plans with an accumulated benefit obligation in excess of plan assets at December 31, 2021 and 2020 are shown below:</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247.8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4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40"/>
              <w:spacing w:after="0"/>
              <w:rPr>
                <w:sz w:val="20"/>
                <w:szCs w:val="20"/>
                <w:color w:val="auto"/>
              </w:rPr>
            </w:pPr>
            <w:r>
              <w:rPr>
                <w:rFonts w:ascii="Arial" w:cs="Arial" w:eastAsia="Arial" w:hAnsi="Arial"/>
                <w:sz w:val="18"/>
                <w:szCs w:val="18"/>
                <w:color w:val="auto"/>
                <w:w w:val="97"/>
              </w:rPr>
              <w:t>247.4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260.9</w:t>
            </w:r>
          </w:p>
        </w:tc>
        <w:tc>
          <w:tcPr>
            <w:tcW w:w="4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235.8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Unrecognized gains and losses of the post-retirement benefit plans are amortized over five years. Although current health care costs are expected to increase, the Company attempts to mitigate these increases by maintaining caps on certain of its benefit plans, using lower cost health care plan options where possible, requiring that certain groups of employees pay a portion of their benefit costs, self-insuring for certain insurance plans, encouraging wellness programs for employees, and implementing measures to mitigate future benefit cost increases.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Components of the net periodic benefit cost and other amounts recognized in other comprehensive income (loss) for the qualified pension plans and the post-retirement benefit plans during 2021, 2020 and 2019 were as follows:</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center"/>
              <w:ind w:left="273"/>
              <w:spacing w:after="0"/>
              <w:rPr>
                <w:sz w:val="20"/>
                <w:szCs w:val="20"/>
                <w:color w:val="auto"/>
              </w:rPr>
            </w:pPr>
            <w:r>
              <w:rPr>
                <w:rFonts w:ascii="Arial" w:cs="Arial" w:eastAsia="Arial" w:hAnsi="Arial"/>
                <w:sz w:val="14"/>
                <w:szCs w:val="14"/>
                <w:b w:val="1"/>
                <w:bCs w:val="1"/>
                <w:color w:val="auto"/>
                <w:w w:val="89"/>
              </w:rPr>
              <w:t>Pension Benefits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8"/>
          </w:tcPr>
          <w:p>
            <w:pPr>
              <w:ind w:left="18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71"/>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(11.9)</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Other Changes in Plan Assets and Benefit Obligations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Recognized in Other Comprehensive Income, net of tax:</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8"/>
                <w:szCs w:val="18"/>
                <w:color w:val="auto"/>
              </w:rPr>
              <w:t>Net (gain) loss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recognized in other comprehensive loss (income)</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4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Total recognized in net periodic benefit cost and other</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(23.2)</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comprehensive loss (income)</w:t>
            </w:r>
          </w:p>
        </w:tc>
        <w:tc>
          <w:tcPr>
            <w:tcW w:w="1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weighted average assumptions used to determine benefit information during 2021, 2020 and 2019 were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3"/>
              </w:rPr>
              <w:t>Pension Benefits</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7"/>
          </w:tcPr>
          <w:p>
            <w:pPr>
              <w:jc w:val="center"/>
              <w:ind w:right="170"/>
              <w:spacing w:after="0"/>
              <w:rPr>
                <w:sz w:val="20"/>
                <w:szCs w:val="20"/>
                <w:color w:val="auto"/>
              </w:rPr>
            </w:pPr>
            <w:r>
              <w:rPr>
                <w:rFonts w:ascii="Arial" w:cs="Arial" w:eastAsia="Arial" w:hAnsi="Arial"/>
                <w:sz w:val="14"/>
                <w:szCs w:val="14"/>
                <w:b w:val="1"/>
                <w:bCs w:val="1"/>
                <w:color w:val="auto"/>
                <w:w w:val="91"/>
              </w:rPr>
              <w:t>Post-retirement Benefits</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040" w:type="dxa"/>
            <w:vAlign w:val="bottom"/>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98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Discount rate (1)</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3.00</w:t>
            </w:r>
          </w:p>
        </w:tc>
        <w:tc>
          <w:tcPr>
            <w:tcW w:w="240" w:type="dxa"/>
            <w:vAlign w:val="bottom"/>
            <w:tcBorders>
              <w:top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2.70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3.50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Expected return on plan assets</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7.00 %</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7.25 %</w:t>
            </w:r>
          </w:p>
        </w:tc>
        <w:tc>
          <w:tcPr>
            <w:tcW w:w="6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7.50 %</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Rate of compensation increase</w:t>
            </w:r>
          </w:p>
        </w:tc>
        <w:tc>
          <w:tcPr>
            <w:tcW w:w="1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3.00 %</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3.00 %</w:t>
            </w:r>
          </w:p>
        </w:tc>
        <w:tc>
          <w:tcPr>
            <w:tcW w:w="66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jc w:val="right"/>
              <w:ind w:right="30"/>
              <w:spacing w:after="0"/>
              <w:rPr>
                <w:sz w:val="20"/>
                <w:szCs w:val="20"/>
                <w:color w:val="auto"/>
              </w:rPr>
            </w:pPr>
            <w:r>
              <w:rPr>
                <w:rFonts w:ascii="Arial" w:cs="Arial" w:eastAsia="Arial" w:hAnsi="Arial"/>
                <w:sz w:val="18"/>
                <w:szCs w:val="18"/>
                <w:color w:val="auto"/>
                <w:w w:val="98"/>
              </w:rPr>
              <w:t>3.00 %  3.00 %  3.00 %  3.00 %</w:t>
            </w:r>
          </w:p>
        </w:tc>
      </w:tr>
      <w:tr>
        <w:trPr>
          <w:trHeight w:val="216"/>
        </w:trPr>
        <w:tc>
          <w:tcPr>
            <w:tcW w:w="2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Cash balance interest credit rate</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1.5 % - 3.25 %</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0.75 % - 3.25 %</w:t>
            </w: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w w:val="90"/>
              </w:rPr>
              <w:t>1.75 % - 3.75 %</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Immediate health care cost trend rate: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320"/>
              <w:spacing w:after="0"/>
              <w:rPr>
                <w:sz w:val="20"/>
                <w:szCs w:val="20"/>
                <w:color w:val="auto"/>
              </w:rPr>
            </w:pPr>
            <w:r>
              <w:rPr>
                <w:rFonts w:ascii="Arial" w:cs="Arial" w:eastAsia="Arial" w:hAnsi="Arial"/>
                <w:sz w:val="18"/>
                <w:szCs w:val="18"/>
                <w:color w:val="auto"/>
              </w:rPr>
              <w:t>Pre-65 group</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40" w:type="dxa"/>
            <w:vAlign w:val="bottom"/>
            <w:gridSpan w:val="9"/>
          </w:tcPr>
          <w:p>
            <w:pPr>
              <w:jc w:val="right"/>
              <w:ind w:right="30"/>
              <w:spacing w:after="0"/>
              <w:rPr>
                <w:sz w:val="20"/>
                <w:szCs w:val="20"/>
                <w:color w:val="auto"/>
              </w:rPr>
            </w:pPr>
            <w:r>
              <w:rPr>
                <w:rFonts w:ascii="Arial" w:cs="Arial" w:eastAsia="Arial" w:hAnsi="Arial"/>
                <w:sz w:val="18"/>
                <w:szCs w:val="18"/>
                <w:color w:val="auto"/>
              </w:rPr>
              <w:t>5.70 %  5.30 %  5.70 %</w:t>
            </w: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Post-65 group</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jc w:val="right"/>
              <w:ind w:right="30"/>
              <w:spacing w:after="0"/>
              <w:rPr>
                <w:sz w:val="20"/>
                <w:szCs w:val="20"/>
                <w:color w:val="auto"/>
              </w:rPr>
            </w:pPr>
            <w:r>
              <w:rPr>
                <w:rFonts w:ascii="Arial" w:cs="Arial" w:eastAsia="Arial" w:hAnsi="Arial"/>
                <w:sz w:val="18"/>
                <w:szCs w:val="18"/>
                <w:color w:val="auto"/>
              </w:rPr>
              <w:t>5.80 %  5.40 %  5.90 %</w:t>
            </w:r>
          </w:p>
        </w:tc>
      </w:tr>
      <w:tr>
        <w:trPr>
          <w:trHeight w:val="216"/>
        </w:trPr>
        <w:tc>
          <w:tcPr>
            <w:tcW w:w="20" w:type="dxa"/>
            <w:vAlign w:val="bottom"/>
          </w:tcPr>
          <w:p>
            <w:pPr>
              <w:spacing w:after="0"/>
              <w:rPr>
                <w:sz w:val="18"/>
                <w:szCs w:val="18"/>
                <w:color w:val="auto"/>
              </w:rPr>
            </w:pPr>
          </w:p>
        </w:tc>
        <w:tc>
          <w:tcPr>
            <w:tcW w:w="2980" w:type="dxa"/>
            <w:vAlign w:val="bottom"/>
            <w:gridSpan w:val="2"/>
          </w:tcPr>
          <w:p>
            <w:pPr>
              <w:ind w:left="100"/>
              <w:spacing w:after="0"/>
              <w:rPr>
                <w:sz w:val="20"/>
                <w:szCs w:val="20"/>
                <w:color w:val="auto"/>
              </w:rPr>
            </w:pPr>
            <w:r>
              <w:rPr>
                <w:rFonts w:ascii="Arial" w:cs="Arial" w:eastAsia="Arial" w:hAnsi="Arial"/>
                <w:sz w:val="18"/>
                <w:szCs w:val="18"/>
                <w:color w:val="auto"/>
              </w:rPr>
              <w:t>Ultimate health care cost trend rate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4.00 %</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4.40 %</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4.40 %</w:t>
            </w:r>
          </w:p>
        </w:tc>
      </w:tr>
      <w:tr>
        <w:trPr>
          <w:trHeight w:val="202"/>
        </w:trPr>
        <w:tc>
          <w:tcPr>
            <w:tcW w:w="20" w:type="dxa"/>
            <w:vAlign w:val="bottom"/>
          </w:tcPr>
          <w:p>
            <w:pPr>
              <w:spacing w:after="0"/>
              <w:rPr>
                <w:sz w:val="17"/>
                <w:szCs w:val="17"/>
                <w:color w:val="auto"/>
              </w:rPr>
            </w:pPr>
          </w:p>
        </w:tc>
        <w:tc>
          <w:tcPr>
            <w:tcW w:w="29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89"/>
              </w:rPr>
              <w:t>Year ultimate health care cost trend rate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is reached:</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320"/>
              <w:spacing w:after="0"/>
              <w:rPr>
                <w:sz w:val="20"/>
                <w:szCs w:val="20"/>
                <w:color w:val="auto"/>
              </w:rPr>
            </w:pPr>
            <w:r>
              <w:rPr>
                <w:rFonts w:ascii="Arial" w:cs="Arial" w:eastAsia="Arial" w:hAnsi="Arial"/>
                <w:sz w:val="18"/>
                <w:szCs w:val="18"/>
                <w:color w:val="auto"/>
              </w:rPr>
              <w:t>Pre-65 group</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2045</w:t>
            </w: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4"/>
              </w:rPr>
              <w:t>2037</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2037</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Post-65 group</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2036</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2036</w:t>
            </w:r>
          </w:p>
        </w:tc>
        <w:tc>
          <w:tcPr>
            <w:tcW w:w="260" w:type="dxa"/>
            <w:vAlign w:val="bottom"/>
            <w:shd w:val="clear" w:color="auto" w:fill="CCEEFF"/>
          </w:tcPr>
          <w:p>
            <w:pPr>
              <w:spacing w:after="0"/>
              <w:rPr>
                <w:sz w:val="18"/>
                <w:szCs w:val="18"/>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r>
    </w:tbl>
    <w:p>
      <w:pPr>
        <w:spacing w:after="0" w:line="62" w:lineRule="exact"/>
        <w:rPr>
          <w:sz w:val="20"/>
          <w:szCs w:val="20"/>
          <w:color w:val="auto"/>
        </w:rPr>
      </w:pPr>
    </w:p>
    <w:p>
      <w:pPr>
        <w:ind w:left="380" w:right="459" w:hanging="330"/>
        <w:spacing w:after="0" w:line="253" w:lineRule="auto"/>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Company derives a single equivalent rate utilizing a yield curve constructed from a portfolio of high-quality corporate bonds with various maturities.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93" w:lineRule="auto"/>
        <w:rPr>
          <w:sz w:val="20"/>
          <w:szCs w:val="20"/>
          <w:color w:val="auto"/>
        </w:rPr>
      </w:pPr>
      <w:r>
        <w:rPr>
          <w:rFonts w:ascii="Arial" w:cs="Arial" w:eastAsia="Arial" w:hAnsi="Arial"/>
          <w:sz w:val="16"/>
          <w:szCs w:val="16"/>
          <w:i w:val="1"/>
          <w:iCs w:val="1"/>
          <w:color w:val="auto"/>
        </w:rPr>
        <w:t xml:space="preserve">Non-qualified Pension Plans: </w:t>
      </w:r>
      <w:r>
        <w:rPr>
          <w:rFonts w:ascii="Arial" w:cs="Arial" w:eastAsia="Arial" w:hAnsi="Arial"/>
          <w:sz w:val="16"/>
          <w:szCs w:val="16"/>
          <w:color w:val="auto"/>
        </w:rPr>
        <w:t>The Company has non-qualified supplemental pension plans covering certain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retirees, which provide for incremental pension payments from the Company’s general funds so that total pension benefits would be substantially equal to amounts that would have been payable from the Company’s qualified pension plans if it were not for limitations imposed by income tax law. A few employees and retirees receive additional supplemental pension benefits. Non-qualified pension plan liabilities recognized in the Consolidated Balance Sheets and expenses recognized in accumulated other comprehensive income (loss) at December 31, 2021 and 2020 are as follows:</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Non-qualified</w:t>
            </w: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Pension Benefits</w:t>
            </w:r>
          </w:p>
        </w:tc>
        <w:tc>
          <w:tcPr>
            <w:tcW w:w="0" w:type="dxa"/>
            <w:vAlign w:val="bottom"/>
          </w:tcPr>
          <w:p>
            <w:pPr>
              <w:spacing w:after="0"/>
              <w:rPr>
                <w:sz w:val="1"/>
                <w:szCs w:val="1"/>
                <w:color w:val="auto"/>
              </w:rPr>
            </w:pPr>
          </w:p>
        </w:tc>
      </w:tr>
      <w:tr>
        <w:trPr>
          <w:trHeight w:val="171"/>
        </w:trPr>
        <w:tc>
          <w:tcPr>
            <w:tcW w:w="6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Non-current liabilities, net</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net of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Prior service credit, net of taxes</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Discount rates of 2.4 percent and 1.8 percent were used in determining the 2021 and 2020 non-qualified pension plan obligations, respectively.</w:t>
      </w:r>
    </w:p>
    <w:p>
      <w:pPr>
        <w:spacing w:after="0" w:line="103"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i w:val="1"/>
          <w:iCs w:val="1"/>
          <w:color w:val="auto"/>
        </w:rPr>
        <w:t xml:space="preserve">Estimated Benefit Payments: </w:t>
      </w:r>
      <w:r>
        <w:rPr>
          <w:rFonts w:ascii="Arial" w:cs="Arial" w:eastAsia="Arial" w:hAnsi="Arial"/>
          <w:sz w:val="18"/>
          <w:szCs w:val="18"/>
          <w:color w:val="auto"/>
        </w:rPr>
        <w:t>The estimated future benefit payments for the next ten years as of December 31, 2021 were</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Pension</w:t>
            </w: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Non-qualified</w:t>
            </w:r>
          </w:p>
        </w:tc>
        <w:tc>
          <w:tcPr>
            <w:tcW w:w="16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Post-retirement</w:t>
            </w:r>
          </w:p>
        </w:tc>
        <w:tc>
          <w:tcPr>
            <w:tcW w:w="0" w:type="dxa"/>
            <w:vAlign w:val="bottom"/>
          </w:tcPr>
          <w:p>
            <w:pPr>
              <w:spacing w:after="0"/>
              <w:rPr>
                <w:sz w:val="1"/>
                <w:szCs w:val="1"/>
                <w:color w:val="auto"/>
              </w:rPr>
            </w:pPr>
          </w:p>
        </w:tc>
      </w:tr>
      <w:tr>
        <w:trPr>
          <w:trHeight w:val="148"/>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5"/>
              </w:rPr>
              <w:t>Pension</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Benefits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Benefits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3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2023</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2025</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2027-2031</w:t>
            </w:r>
          </w:p>
        </w:tc>
        <w:tc>
          <w:tcPr>
            <w:tcW w:w="3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Net of participant contributions and Medicare Part D subsidies.</w:t>
      </w:r>
    </w:p>
    <w:p>
      <w:pPr>
        <w:spacing w:after="0" w:line="140"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i w:val="1"/>
          <w:iCs w:val="1"/>
          <w:color w:val="auto"/>
        </w:rPr>
        <w:t xml:space="preserve">Defined Contribution Plans: </w:t>
      </w:r>
      <w:r>
        <w:rPr>
          <w:rFonts w:ascii="Arial" w:cs="Arial" w:eastAsia="Arial" w:hAnsi="Arial"/>
          <w:sz w:val="18"/>
          <w:szCs w:val="18"/>
          <w:color w:val="auto"/>
        </w:rPr>
        <w:t>The Company sponsors defined contribution plans that qualify under Sections 401(a) and</w:t>
      </w:r>
      <w:r>
        <w:rPr>
          <w:rFonts w:ascii="Arial" w:cs="Arial" w:eastAsia="Arial" w:hAnsi="Arial"/>
          <w:sz w:val="18"/>
          <w:szCs w:val="18"/>
          <w:i w:val="1"/>
          <w:iCs w:val="1"/>
          <w:color w:val="auto"/>
        </w:rPr>
        <w:t xml:space="preserve"> </w:t>
      </w:r>
      <w:r>
        <w:rPr>
          <w:rFonts w:ascii="Arial" w:cs="Arial" w:eastAsia="Arial" w:hAnsi="Arial"/>
          <w:sz w:val="18"/>
          <w:szCs w:val="18"/>
          <w:color w:val="auto"/>
        </w:rPr>
        <w:t>401(k) of the Internal Revenue Code. The Company may make discretionary matching contributions equal to a specified percentage of each participant’s 401(k) contributions and makes other non-discretionary contributions. For the year ended December 31, 2021, the Company provided discretionary matching contributions of up to 3 percent of eligible employee compensation. The Company’s matching contributions expensed in 2021, 2020 and 2019 were $3.2 million, $3.0 million and $2.9 million, respectively.</w:t>
      </w:r>
    </w:p>
    <w:p>
      <w:pPr>
        <w:spacing w:after="0" w:line="192"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The Company may also provide a discretionary profit sharing contribution under the qualified defined contribution plans, to salaried, non-bargaining unit employees, if both a minimum threshold of Company performance is achieved and the Board has approved the profit sharing contribution. For certain eligible employees, supplemental profit sharing contributions are credited under a non-qualified plan to be paid after separation from service from the Company’s general funds so that total profit sharing contributions would be substantially equal to amounts that would have been contributed to the Company’s qualified defined contribution plans if it were not for limitations imposed by income tax law. Discretionary profit sharing contributions expensed in 2021, 2020 and 2019 were $2.5 million, $2.2 million and $0.5 million, respectively.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Multi-employer Bargaining Plans:</w:t>
      </w:r>
    </w:p>
    <w:p>
      <w:pPr>
        <w:spacing w:after="0" w:line="144"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The Company contributes to multi-employer defined benefit pension plans under the terms of collective-bargaining agreements that cover its bargaining unit employees. Contributions are generally based on amounts paid for union labor or cargo volume. The risks of participating in multi-employer plans are different from single-employer plans because assets contributed to the multi-employer plan by one employer may be used to provide benefits to employees of other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participating employers. Additionally, if one employer stops contributing to the plan, the unfunded obligations of the plan may be borne by the remaining participating employers.</w:t>
      </w:r>
    </w:p>
    <w:p>
      <w:pPr>
        <w:spacing w:after="0" w:line="103"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The multi-employer pension plans are subject to the plan termination insurance provisions of ERISA and are paying premiums to the Pension Benefit Guaranty Corporation (“PBGC”). The statutes provide that an employer who withdraws from, or significantly reduces its contribution obligation to, a multi-employer plan generally will be required to continue funding its proportional share of the plan’s unfunded vested benefits. As of December 31, 2021, the Company’s estimated benefit plan withdrawal obligations were $202.9 million. Except as described in Note 12, no withdrawal obligations have been recorded by the Company in the Consolidated Balance Sheets at December 31, 2021 and 2020, as the Company has no present intention of withdrawing from and does not anticipate termination of any of these plans.</w:t>
      </w:r>
    </w:p>
    <w:p>
      <w:pPr>
        <w:spacing w:after="0" w:line="8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Information regarding the Company’s participation in multi-employer pension plans is outlined in the table below. The “EIN/Pension Plan Number” column provides the Employer Identification Number (“EIN”) and the three-digit plan number, if applicable. Unless otherwise noted, the most recent Pension Protection Act zone status available in 2021 and 2020 is for the plan’s year-end at December 31, 2021 and 2020, respectively. The zone status is based on information that the Company received from the plan and is certified by the plan’s actuary. Among other factors, plans in the red zone are generally less than 65 percent funded; plans in the orange zone are both a) less than 80 percent funded and b) have an accumulated/expected funding deficiency in any of the next six plan years, net of any amortization extensions; plans in the yellow zone meet either one of the criteria mentioned in the orange zone; and plans in the green zone are at least 80 percent funded. The funding improvement plan (“FIP”) or rehabilitation plan (“RP”) column indicates the status which is either pending or has been implemented. The last column lists the expiration dates of the collective-bargaining agreements to which the plans are subject.</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spacing w:after="0"/>
              <w:rPr>
                <w:sz w:val="20"/>
                <w:szCs w:val="20"/>
                <w:color w:val="auto"/>
              </w:rPr>
            </w:pPr>
            <w:r>
              <w:rPr>
                <w:rFonts w:ascii="Arial" w:cs="Arial" w:eastAsia="Arial" w:hAnsi="Arial"/>
                <w:sz w:val="11"/>
                <w:szCs w:val="11"/>
                <w:b w:val="1"/>
                <w:bCs w:val="1"/>
                <w:color w:val="auto"/>
                <w:w w:val="84"/>
              </w:rPr>
              <w:t>Pension</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7"/>
              </w:rPr>
              <w:t>Protection Act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7"/>
              </w:rPr>
              <w:t>Zone as of</w:t>
            </w:r>
          </w:p>
        </w:tc>
        <w:tc>
          <w:tcPr>
            <w:tcW w:w="1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FIP/RP Status</w:t>
            </w:r>
          </w:p>
        </w:tc>
        <w:tc>
          <w:tcPr>
            <w:tcW w:w="680" w:type="dxa"/>
            <w:vAlign w:val="bottom"/>
            <w:gridSpan w:val="2"/>
          </w:tcPr>
          <w:p>
            <w:pPr>
              <w:jc w:val="center"/>
              <w:ind w:left="26"/>
              <w:spacing w:after="0" w:line="122" w:lineRule="exact"/>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7"/>
          </w:tcPr>
          <w:p>
            <w:pPr>
              <w:jc w:val="center"/>
              <w:spacing w:after="0" w:line="122" w:lineRule="exact"/>
              <w:rPr>
                <w:sz w:val="20"/>
                <w:szCs w:val="20"/>
                <w:color w:val="auto"/>
              </w:rPr>
            </w:pPr>
            <w:r>
              <w:rPr>
                <w:rFonts w:ascii="Arial" w:cs="Arial" w:eastAsia="Arial" w:hAnsi="Arial"/>
                <w:sz w:val="11"/>
                <w:szCs w:val="11"/>
                <w:b w:val="1"/>
                <w:bCs w:val="1"/>
                <w:color w:val="auto"/>
                <w:w w:val="89"/>
              </w:rPr>
              <w:t>Contributions of Matson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b w:val="1"/>
                <w:bCs w:val="1"/>
                <w:color w:val="auto"/>
              </w:rPr>
              <w:t>EIN/Pension</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December 31,</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0"/>
              </w:rPr>
              <w:t>Pending/</w:t>
            </w:r>
          </w:p>
        </w:tc>
        <w:tc>
          <w:tcPr>
            <w:tcW w:w="680" w:type="dxa"/>
            <w:vAlign w:val="bottom"/>
            <w:gridSpan w:val="2"/>
          </w:tcPr>
          <w:p>
            <w:pPr>
              <w:jc w:val="center"/>
              <w:ind w:left="26"/>
              <w:spacing w:after="0"/>
              <w:rPr>
                <w:sz w:val="20"/>
                <w:szCs w:val="20"/>
                <w:color w:val="auto"/>
              </w:rPr>
            </w:pPr>
            <w:r>
              <w:rPr>
                <w:rFonts w:ascii="Arial" w:cs="Arial" w:eastAsia="Arial" w:hAnsi="Arial"/>
                <w:sz w:val="11"/>
                <w:szCs w:val="11"/>
                <w:b w:val="1"/>
                <w:bCs w:val="1"/>
                <w:color w:val="auto"/>
                <w:w w:val="92"/>
              </w:rPr>
              <w:t>Contributor</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7"/>
              </w:rPr>
              <w:t>(in millions)</w:t>
            </w: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Surcharge</w:t>
            </w:r>
          </w:p>
        </w:tc>
        <w:tc>
          <w:tcPr>
            <w:tcW w:w="60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2"/>
              </w:rPr>
              <w:t>Expiration</w:t>
            </w:r>
          </w:p>
        </w:tc>
        <w:tc>
          <w:tcPr>
            <w:tcW w:w="0" w:type="dxa"/>
            <w:vAlign w:val="bottom"/>
          </w:tcPr>
          <w:p>
            <w:pPr>
              <w:spacing w:after="0"/>
              <w:rPr>
                <w:sz w:val="1"/>
                <w:szCs w:val="1"/>
                <w:color w:val="auto"/>
              </w:rPr>
            </w:pPr>
          </w:p>
        </w:tc>
      </w:tr>
      <w:tr>
        <w:trPr>
          <w:trHeight w:val="115"/>
        </w:trPr>
        <w:tc>
          <w:tcPr>
            <w:tcW w:w="242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rPr>
              <w:t>Pension Funds</w:t>
            </w:r>
          </w:p>
        </w:tc>
        <w:tc>
          <w:tcPr>
            <w:tcW w:w="120" w:type="dxa"/>
            <w:vAlign w:val="bottom"/>
          </w:tcPr>
          <w:p>
            <w:pPr>
              <w:spacing w:after="0"/>
              <w:rPr>
                <w:sz w:val="10"/>
                <w:szCs w:val="10"/>
                <w:color w:val="auto"/>
              </w:rPr>
            </w:pPr>
          </w:p>
        </w:tc>
        <w:tc>
          <w:tcPr>
            <w:tcW w:w="840" w:type="dxa"/>
            <w:vAlign w:val="bottom"/>
          </w:tcPr>
          <w:p>
            <w:pPr>
              <w:jc w:val="right"/>
              <w:ind w:right="63"/>
              <w:spacing w:after="0" w:line="115" w:lineRule="exact"/>
              <w:rPr>
                <w:sz w:val="20"/>
                <w:szCs w:val="20"/>
                <w:color w:val="auto"/>
              </w:rPr>
            </w:pPr>
            <w:r>
              <w:rPr>
                <w:rFonts w:ascii="Arial" w:cs="Arial" w:eastAsia="Arial" w:hAnsi="Arial"/>
                <w:sz w:val="11"/>
                <w:szCs w:val="11"/>
                <w:b w:val="1"/>
                <w:bCs w:val="1"/>
                <w:color w:val="auto"/>
              </w:rPr>
              <w:t>Plan Number</w:t>
            </w:r>
          </w:p>
        </w:tc>
        <w:tc>
          <w:tcPr>
            <w:tcW w:w="480" w:type="dxa"/>
            <w:vAlign w:val="bottom"/>
            <w:gridSpan w:val="3"/>
          </w:tcPr>
          <w:p>
            <w:pPr>
              <w:ind w:left="120"/>
              <w:spacing w:after="0" w:line="115" w:lineRule="exact"/>
              <w:rPr>
                <w:sz w:val="20"/>
                <w:szCs w:val="20"/>
                <w:color w:val="auto"/>
              </w:rPr>
            </w:pPr>
            <w:r>
              <w:rPr>
                <w:rFonts w:ascii="Arial" w:cs="Arial" w:eastAsia="Arial" w:hAnsi="Arial"/>
                <w:sz w:val="11"/>
                <w:szCs w:val="11"/>
                <w:b w:val="1"/>
                <w:bCs w:val="1"/>
                <w:color w:val="auto"/>
              </w:rPr>
              <w:t>Notes</w:t>
            </w:r>
          </w:p>
        </w:tc>
        <w:tc>
          <w:tcPr>
            <w:tcW w:w="3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9"/>
              </w:rPr>
              <w:t>2021</w:t>
            </w:r>
          </w:p>
        </w:tc>
        <w:tc>
          <w:tcPr>
            <w:tcW w:w="120" w:type="dxa"/>
            <w:vAlign w:val="bottom"/>
          </w:tcPr>
          <w:p>
            <w:pPr>
              <w:spacing w:after="0"/>
              <w:rPr>
                <w:sz w:val="10"/>
                <w:szCs w:val="10"/>
                <w:color w:val="auto"/>
              </w:rPr>
            </w:pPr>
          </w:p>
        </w:tc>
        <w:tc>
          <w:tcPr>
            <w:tcW w:w="3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1"/>
              </w:rPr>
              <w:t>2020</w:t>
            </w:r>
          </w:p>
        </w:tc>
        <w:tc>
          <w:tcPr>
            <w:tcW w:w="10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1"/>
              </w:rPr>
              <w:t>Implemented</w:t>
            </w:r>
          </w:p>
        </w:tc>
        <w:tc>
          <w:tcPr>
            <w:tcW w:w="10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5"/>
              </w:rPr>
              <w:t>in 2021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ind w:right="18"/>
              <w:spacing w:after="0" w:line="115" w:lineRule="exact"/>
              <w:rPr>
                <w:sz w:val="20"/>
                <w:szCs w:val="20"/>
                <w:color w:val="auto"/>
              </w:rPr>
            </w:pPr>
            <w:r>
              <w:rPr>
                <w:rFonts w:ascii="Arial" w:cs="Arial" w:eastAsia="Arial" w:hAnsi="Arial"/>
                <w:sz w:val="11"/>
                <w:szCs w:val="11"/>
                <w:b w:val="1"/>
                <w:bCs w:val="1"/>
                <w:color w:val="auto"/>
                <w:w w:val="81"/>
              </w:rPr>
              <w:t>2021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center"/>
              <w:ind w:right="18"/>
              <w:spacing w:after="0" w:line="115" w:lineRule="exact"/>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ind w:right="18"/>
              <w:spacing w:after="0" w:line="115" w:lineRule="exact"/>
              <w:rPr>
                <w:sz w:val="20"/>
                <w:szCs w:val="20"/>
                <w:color w:val="auto"/>
              </w:rPr>
            </w:pPr>
            <w:r>
              <w:rPr>
                <w:rFonts w:ascii="Arial" w:cs="Arial" w:eastAsia="Arial" w:hAnsi="Arial"/>
                <w:sz w:val="11"/>
                <w:szCs w:val="11"/>
                <w:b w:val="1"/>
                <w:bCs w:val="1"/>
                <w:color w:val="auto"/>
                <w:w w:val="81"/>
              </w:rPr>
              <w:t>2019</w:t>
            </w:r>
          </w:p>
        </w:tc>
        <w:tc>
          <w:tcPr>
            <w:tcW w:w="120" w:type="dxa"/>
            <w:vAlign w:val="bottom"/>
          </w:tcPr>
          <w:p>
            <w:pPr>
              <w:spacing w:after="0"/>
              <w:rPr>
                <w:sz w:val="10"/>
                <w:szCs w:val="10"/>
                <w:color w:val="auto"/>
              </w:rPr>
            </w:pPr>
          </w:p>
        </w:tc>
        <w:tc>
          <w:tcPr>
            <w:tcW w:w="60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88"/>
              </w:rPr>
              <w:t>Imposed</w:t>
            </w:r>
          </w:p>
        </w:tc>
        <w:tc>
          <w:tcPr>
            <w:tcW w:w="600" w:type="dxa"/>
            <w:vAlign w:val="bottom"/>
            <w:gridSpan w:val="2"/>
          </w:tcPr>
          <w:p>
            <w:pPr>
              <w:jc w:val="center"/>
              <w:ind w:right="40"/>
              <w:spacing w:after="0" w:line="115" w:lineRule="exact"/>
              <w:rPr>
                <w:sz w:val="20"/>
                <w:szCs w:val="20"/>
                <w:color w:val="auto"/>
              </w:rPr>
            </w:pPr>
            <w:r>
              <w:rPr>
                <w:rFonts w:ascii="Arial" w:cs="Arial" w:eastAsia="Arial" w:hAnsi="Arial"/>
                <w:sz w:val="11"/>
                <w:szCs w:val="11"/>
                <w:b w:val="1"/>
                <w:bCs w:val="1"/>
                <w:color w:val="auto"/>
                <w:w w:val="89"/>
              </w:rPr>
              <w:t>Date (2)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w w:val="96"/>
              </w:rPr>
              <w:t>American Radio Association Pension Fund</w:t>
            </w: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13-6161999-001</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Green</w:t>
            </w: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Green</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Implemented</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0"/>
              </w:rPr>
              <w:t>Yes</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6"/>
              </w:rPr>
              <w:t>No</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6/15/2028</w:t>
            </w: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Hawaii Longshore Pension Plan</w:t>
            </w:r>
          </w:p>
        </w:tc>
        <w:tc>
          <w:tcPr>
            <w:tcW w:w="134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99-0314293-001   (1)</w:t>
            </w: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rPr>
              <w:t>N/A</w:t>
            </w:r>
          </w:p>
        </w:tc>
        <w:tc>
          <w:tcPr>
            <w:tcW w:w="78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Implemented</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w w:val="94"/>
              </w:rPr>
              <w:t>11.1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89"/>
              </w:rPr>
              <w:t>Hawaii Terminals Multiemployer Pension Plan</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20-0389370-001</w:t>
            </w:r>
          </w:p>
        </w:tc>
        <w:tc>
          <w:tcPr>
            <w:tcW w:w="3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rPr>
              <w:t>N/A</w:t>
            </w: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3"/>
              </w:rPr>
              <w:t>Yellow</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2"/>
              </w:rPr>
              <w:t>N/A</w:t>
            </w:r>
          </w:p>
        </w:tc>
        <w:tc>
          <w:tcPr>
            <w:tcW w:w="60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gridSpan w:val="2"/>
          </w:tcPr>
          <w:p>
            <w:pPr>
              <w:spacing w:after="0" w:line="121" w:lineRule="exact"/>
              <w:rPr>
                <w:sz w:val="20"/>
                <w:szCs w:val="20"/>
                <w:color w:val="auto"/>
              </w:rPr>
            </w:pPr>
            <w:r>
              <w:rPr>
                <w:rFonts w:ascii="Arial" w:cs="Arial" w:eastAsia="Arial" w:hAnsi="Arial"/>
                <w:sz w:val="13"/>
                <w:szCs w:val="13"/>
                <w:color w:val="auto"/>
                <w:w w:val="90"/>
              </w:rPr>
              <w:t>Hawaii Stevedoring Multiemployer Retirement</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420" w:type="dxa"/>
            <w:vAlign w:val="bottom"/>
            <w:gridSpan w:val="3"/>
            <w:vMerge w:val="restart"/>
          </w:tcPr>
          <w:p>
            <w:pPr>
              <w:ind w:left="20"/>
              <w:spacing w:after="0"/>
              <w:rPr>
                <w:sz w:val="20"/>
                <w:szCs w:val="20"/>
                <w:color w:val="auto"/>
              </w:rPr>
            </w:pPr>
            <w:r>
              <w:rPr>
                <w:rFonts w:ascii="Arial" w:cs="Arial" w:eastAsia="Arial" w:hAnsi="Arial"/>
                <w:sz w:val="13"/>
                <w:szCs w:val="13"/>
                <w:color w:val="auto"/>
              </w:rPr>
              <w:t>Plan</w:t>
            </w:r>
          </w:p>
        </w:tc>
        <w:tc>
          <w:tcPr>
            <w:tcW w:w="960" w:type="dxa"/>
            <w:vAlign w:val="bottom"/>
            <w:gridSpan w:val="2"/>
            <w:vMerge w:val="restart"/>
          </w:tcPr>
          <w:p>
            <w:pPr>
              <w:jc w:val="right"/>
              <w:spacing w:after="0"/>
              <w:rPr>
                <w:sz w:val="20"/>
                <w:szCs w:val="20"/>
                <w:color w:val="auto"/>
              </w:rPr>
            </w:pPr>
            <w:r>
              <w:rPr>
                <w:rFonts w:ascii="Arial" w:cs="Arial" w:eastAsia="Arial" w:hAnsi="Arial"/>
                <w:sz w:val="13"/>
                <w:szCs w:val="13"/>
                <w:color w:val="auto"/>
                <w:w w:val="98"/>
              </w:rPr>
              <w:t>99-0314293-001</w:t>
            </w:r>
          </w:p>
        </w:tc>
        <w:tc>
          <w:tcPr>
            <w:tcW w:w="3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N/A</w:t>
            </w:r>
          </w:p>
        </w:tc>
        <w:tc>
          <w:tcPr>
            <w:tcW w:w="380" w:type="dxa"/>
            <w:vAlign w:val="bottom"/>
            <w:vMerge w:val="restart"/>
          </w:tcPr>
          <w:p>
            <w:pPr>
              <w:jc w:val="center"/>
              <w:spacing w:after="0"/>
              <w:rPr>
                <w:sz w:val="20"/>
                <w:szCs w:val="20"/>
                <w:color w:val="auto"/>
              </w:rPr>
            </w:pPr>
            <w:r>
              <w:rPr>
                <w:rFonts w:ascii="Arial" w:cs="Arial" w:eastAsia="Arial" w:hAnsi="Arial"/>
                <w:sz w:val="13"/>
                <w:szCs w:val="13"/>
                <w:color w:val="auto"/>
                <w:w w:val="88"/>
              </w:rPr>
              <w:t>Green</w:t>
            </w:r>
          </w:p>
        </w:tc>
        <w:tc>
          <w:tcPr>
            <w:tcW w:w="10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8"/>
                <w:szCs w:val="8"/>
                <w:color w:val="auto"/>
              </w:rPr>
            </w:pP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2"/>
              </w:rPr>
              <w:t>N/A</w:t>
            </w: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57"/>
        </w:trPr>
        <w:tc>
          <w:tcPr>
            <w:tcW w:w="2420" w:type="dxa"/>
            <w:vAlign w:val="bottom"/>
            <w:gridSpan w:val="3"/>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Master, Mates and Pilots Pension Plan</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13-6372630-001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6/15/2027,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6/15/2028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89"/>
              </w:rPr>
              <w:t>Masters, Mates and Pilots Adjustable Pension</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8"/>
              </w:rPr>
              <w:t>37-1719247-001</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2"/>
              </w:rPr>
              <w:t>Green</w:t>
            </w:r>
          </w:p>
        </w:tc>
        <w:tc>
          <w:tcPr>
            <w:tcW w:w="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Green</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No</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Yes</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6/15/2027,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6/15/2028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4"/>
              </w:rPr>
              <w:t>MEBA Pension Trust - Defined Benefit Plan</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51-6029896-001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6/15/2022,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6/15/2028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OCU Pension Trust Plan</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26-1574440-001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MFOW Supplementary Pension Plan</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8"/>
              </w:rPr>
              <w:t>94-6201677-001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3"/>
              </w:rPr>
              <w:t>Yellow</w:t>
            </w: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93"/>
              </w:rPr>
              <w:t>Yellow</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SIU Pacific District Pension Plan</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94-6061923-001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w w:val="97"/>
              </w:rPr>
              <w:t>Alaska Teamster - Employer Pension Plan</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8"/>
              </w:rPr>
              <w:t>92-6003463-024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Red</w:t>
            </w: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3"/>
              </w:rPr>
              <w:t>Red</w:t>
            </w:r>
          </w:p>
        </w:tc>
        <w:tc>
          <w:tcPr>
            <w:tcW w:w="78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87"/>
              </w:rPr>
              <w:t>Implemented</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9"/>
              </w:rPr>
              <w:t>Yes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7"/>
              </w:rPr>
              <w:t>6/30/2022,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6/30/2023,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All Alaska Longshore Pension Plan</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8"/>
              </w:rPr>
              <w:t>91-6085352-001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85"/>
              </w:rPr>
              <w:t>Western Conference of Teamsters Pension Plan</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91-6145047-001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3/31/2023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gridSpan w:val="2"/>
          </w:tcPr>
          <w:p>
            <w:pPr>
              <w:spacing w:after="0" w:line="121" w:lineRule="exact"/>
              <w:rPr>
                <w:sz w:val="20"/>
                <w:szCs w:val="20"/>
                <w:color w:val="auto"/>
              </w:rPr>
            </w:pPr>
            <w:r>
              <w:rPr>
                <w:rFonts w:ascii="Arial" w:cs="Arial" w:eastAsia="Arial" w:hAnsi="Arial"/>
                <w:sz w:val="13"/>
                <w:szCs w:val="13"/>
                <w:color w:val="auto"/>
              </w:rPr>
              <w:t>Western Conference of Teamsters</w:t>
            </w:r>
          </w:p>
        </w:tc>
        <w:tc>
          <w:tcPr>
            <w:tcW w:w="960" w:type="dxa"/>
            <w:vAlign w:val="bottom"/>
            <w:gridSpan w:val="2"/>
            <w:vMerge w:val="restart"/>
          </w:tcPr>
          <w:p>
            <w:pPr>
              <w:jc w:val="right"/>
              <w:spacing w:after="0"/>
              <w:rPr>
                <w:sz w:val="20"/>
                <w:szCs w:val="20"/>
                <w:color w:val="auto"/>
              </w:rPr>
            </w:pPr>
            <w:r>
              <w:rPr>
                <w:rFonts w:ascii="Arial" w:cs="Arial" w:eastAsia="Arial" w:hAnsi="Arial"/>
                <w:sz w:val="13"/>
                <w:szCs w:val="13"/>
                <w:color w:val="auto"/>
                <w:w w:val="98"/>
              </w:rPr>
              <w:t>95-3746907-001</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420" w:type="dxa"/>
            <w:vAlign w:val="bottom"/>
            <w:gridSpan w:val="3"/>
            <w:vMerge w:val="restart"/>
          </w:tcPr>
          <w:p>
            <w:pPr>
              <w:ind w:left="20"/>
              <w:spacing w:after="0"/>
              <w:rPr>
                <w:sz w:val="20"/>
                <w:szCs w:val="20"/>
                <w:color w:val="auto"/>
              </w:rPr>
            </w:pPr>
            <w:r>
              <w:rPr>
                <w:rFonts w:ascii="Arial" w:cs="Arial" w:eastAsia="Arial" w:hAnsi="Arial"/>
                <w:sz w:val="13"/>
                <w:szCs w:val="13"/>
                <w:color w:val="auto"/>
              </w:rPr>
              <w:t>Supplemental Benefit Trust</w:t>
            </w:r>
          </w:p>
        </w:tc>
        <w:tc>
          <w:tcPr>
            <w:tcW w:w="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2"/>
              </w:rPr>
              <w:t>Green</w:t>
            </w:r>
          </w:p>
        </w:tc>
        <w:tc>
          <w:tcPr>
            <w:tcW w:w="380" w:type="dxa"/>
            <w:vAlign w:val="bottom"/>
            <w:vMerge w:val="restart"/>
          </w:tcPr>
          <w:p>
            <w:pPr>
              <w:jc w:val="center"/>
              <w:spacing w:after="0"/>
              <w:rPr>
                <w:sz w:val="20"/>
                <w:szCs w:val="20"/>
                <w:color w:val="auto"/>
              </w:rPr>
            </w:pPr>
            <w:r>
              <w:rPr>
                <w:rFonts w:ascii="Arial" w:cs="Arial" w:eastAsia="Arial" w:hAnsi="Arial"/>
                <w:sz w:val="13"/>
                <w:szCs w:val="13"/>
                <w:color w:val="auto"/>
                <w:w w:val="88"/>
              </w:rPr>
              <w:t>Green</w:t>
            </w:r>
          </w:p>
        </w:tc>
        <w:tc>
          <w:tcPr>
            <w:tcW w:w="10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3"/>
              </w:rPr>
              <w:t>No</w:t>
            </w:r>
          </w:p>
        </w:tc>
        <w:tc>
          <w:tcPr>
            <w:tcW w:w="100" w:type="dxa"/>
            <w:vAlign w:val="bottom"/>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6"/>
              </w:rPr>
              <w:t>No</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9"/>
              </w:rPr>
              <w:t>3/31/2023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4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OPEIU Local 153 Pension Plan</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13-2864289-001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Red</w:t>
            </w:r>
          </w:p>
        </w:tc>
        <w:tc>
          <w:tcPr>
            <w:tcW w:w="3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Red</w:t>
            </w:r>
          </w:p>
        </w:tc>
        <w:tc>
          <w:tcPr>
            <w:tcW w:w="78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7"/>
              </w:rPr>
              <w:t>Implemented</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11/9/2023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Seafarers Pension Plan</w:t>
            </w: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8"/>
              </w:rPr>
              <w:t>13-6100329-001</w:t>
            </w:r>
          </w:p>
        </w:tc>
        <w:tc>
          <w:tcPr>
            <w:tcW w:w="3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380" w:type="dxa"/>
            <w:vAlign w:val="bottom"/>
          </w:tcPr>
          <w:p>
            <w:pPr>
              <w:jc w:val="center"/>
              <w:spacing w:after="0" w:line="135" w:lineRule="exact"/>
              <w:rPr>
                <w:sz w:val="20"/>
                <w:szCs w:val="20"/>
                <w:color w:val="auto"/>
              </w:rPr>
            </w:pPr>
            <w:r>
              <w:rPr>
                <w:rFonts w:ascii="Arial" w:cs="Arial" w:eastAsia="Arial" w:hAnsi="Arial"/>
                <w:sz w:val="13"/>
                <w:szCs w:val="13"/>
                <w:color w:val="auto"/>
                <w:w w:val="88"/>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6"/>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tcBorders>
              <w:top w:val="single" w:sz="8" w:color="CCEEFF"/>
              <w:bottom w:val="single" w:sz="8" w:color="CCEEFF"/>
            </w:tcBorders>
            <w:gridSpan w:val="2"/>
            <w:shd w:val="clear" w:color="auto" w:fill="CCEEFF"/>
          </w:tcPr>
          <w:p>
            <w:pPr>
              <w:ind w:left="220"/>
              <w:spacing w:after="0" w:line="129" w:lineRule="exact"/>
              <w:rPr>
                <w:sz w:val="20"/>
                <w:szCs w:val="20"/>
                <w:color w:val="auto"/>
              </w:rPr>
            </w:pPr>
            <w:r>
              <w:rPr>
                <w:rFonts w:ascii="Arial" w:cs="Arial" w:eastAsia="Arial" w:hAnsi="Arial"/>
                <w:sz w:val="13"/>
                <w:szCs w:val="13"/>
                <w:color w:val="auto"/>
              </w:rPr>
              <w:t>Total</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31.0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28.4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27.3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99" w:hanging="330"/>
        <w:spacing w:after="0" w:line="224" w:lineRule="auto"/>
        <w:tabs>
          <w:tab w:leader="none" w:pos="3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Hawaii Terminals Multiemployer Pension Plan merged into the Hawaii Stevedoring Multiemployer Retirement Plan effective January 1, 2021 and is formally known as the Hawaii Longshore Pension Plan.</w:t>
      </w:r>
    </w:p>
    <w:p>
      <w:pPr>
        <w:ind w:left="380" w:hanging="330"/>
        <w:spacing w:after="0" w:line="216" w:lineRule="auto"/>
        <w:tabs>
          <w:tab w:leader="none" w:pos="3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Represents the expiration date of the collective bargaining agreement.</w:t>
      </w:r>
    </w:p>
    <w:p>
      <w:pPr>
        <w:ind w:left="380" w:right="359" w:hanging="330"/>
        <w:spacing w:after="0" w:line="228" w:lineRule="auto"/>
        <w:tabs>
          <w:tab w:leader="none" w:pos="3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Company does not make contributions directly to the Seafarers Pension Plan. Instead, contributions are made to the Seafarers Health and Benefits Plan, and are subsequently re-allocated to the Seafarers Pension Plan at the discretion of the plan Trustee.</w:t>
      </w:r>
    </w:p>
    <w:p>
      <w:pPr>
        <w:spacing w:after="0" w:line="192"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The Company also contributes to multi-employer plans that provide post-retirement health and other benefits other than pensions under the terms of collective-bargaining agreements. Benefits provided to active and retired employees and their eligible dependents under these plans include medical, dental, vision and prescription drug. These plans are not subject to the PBGC plan termination and withdrawal liability provisions of ERISA applicable to multi-employer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defined benefit pension plans. Contributions for these multi-employer postretirement health and other benefits were $34.7 million, $32.5 million and $32.8 million in 2021, 2020 and 2019, respectively.</w:t>
      </w:r>
    </w:p>
    <w:p>
      <w:pPr>
        <w:spacing w:after="0" w:line="170"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i w:val="1"/>
          <w:iCs w:val="1"/>
          <w:color w:val="auto"/>
        </w:rPr>
        <w:t xml:space="preserve">Multi-employer Defined Contribution Plans: </w:t>
      </w:r>
      <w:r>
        <w:rPr>
          <w:rFonts w:ascii="Arial" w:cs="Arial" w:eastAsia="Arial" w:hAnsi="Arial"/>
          <w:sz w:val="18"/>
          <w:szCs w:val="18"/>
          <w:color w:val="auto"/>
        </w:rPr>
        <w:t>The Company contributes to six multi-employer defined contribution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These plans are not subject to the withdrawal liability provisions of ERISA or the PBGC applicable to multi-employer defined benefit pension plans. Contributions made to these plans by the Company were $5.6 million, $5.1 million and $5.3 million in 2021, 2020 and 2019, respectively.</w:t>
      </w:r>
    </w:p>
    <w:p>
      <w:pPr>
        <w:spacing w:after="0" w:line="399" w:lineRule="exact"/>
        <w:rPr>
          <w:sz w:val="20"/>
          <w:szCs w:val="20"/>
          <w:color w:val="auto"/>
        </w:rPr>
      </w:pPr>
    </w:p>
    <w:p>
      <w:pPr>
        <w:ind w:left="700" w:hanging="650"/>
        <w:spacing w:after="0"/>
        <w:tabs>
          <w:tab w:leader="none" w:pos="7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MULTI-EMPLOYER WITHDRAWAL LIABILITIES</w:t>
      </w:r>
    </w:p>
    <w:p>
      <w:pPr>
        <w:spacing w:after="0" w:line="229" w:lineRule="exact"/>
        <w:rPr>
          <w:sz w:val="20"/>
          <w:szCs w:val="20"/>
          <w:color w:val="auto"/>
        </w:rPr>
      </w:pPr>
    </w:p>
    <w:p>
      <w:pPr>
        <w:ind w:left="60" w:right="279"/>
        <w:spacing w:after="0" w:line="293" w:lineRule="auto"/>
        <w:rPr>
          <w:sz w:val="20"/>
          <w:szCs w:val="20"/>
          <w:color w:val="auto"/>
        </w:rPr>
      </w:pPr>
      <w:r>
        <w:rPr>
          <w:rFonts w:ascii="Arial" w:cs="Arial" w:eastAsia="Arial" w:hAnsi="Arial"/>
          <w:sz w:val="16"/>
          <w:szCs w:val="16"/>
          <w:color w:val="auto"/>
        </w:rPr>
        <w:t>Horizon ceased all of its operations in Puerto Rico during the first quarter of 2015, which resulted in a mass withdrawal from its multi-employer ILA-PRSSA pension fund. The Company assumed this liability as part of the acquisition of Horizon on May 29, 2015. The Company estimated the mass withdrawal liability based upon the required undiscounted quarterly payment of approximately $1.0 million to be paid to the ILA-PRSSA pension fund over a period which ends in March 2040, discounted to present value using the Company’s incremental borrowing rate. Future estimated annual payments to be paid to the ILA-PRSSA pension fund as of December 31, 2021 were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(in millions)</w:t>
            </w:r>
          </w:p>
        </w:tc>
        <w:tc>
          <w:tcPr>
            <w:tcW w:w="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09"/>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r>
      <w:tr>
        <w:trPr>
          <w:trHeight w:val="209"/>
        </w:trPr>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remaining future undiscounted payments due to the ILA-PRSSA pension fund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16"/>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09"/>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Present value of multi-employer withdrawal liability</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16"/>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multi-employer withdrawal liability (see Note 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multi-employer withdrawal liability (see Note 2)</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0"/>
        </w:trPr>
        <w:tc>
          <w:tcPr>
            <w:tcW w:w="7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Furthermore, the Company assumed a partial withdrawal liability related to the Local 153 Fund of the OPEIU. The partial withdrawal liability resulted from a decline in the number of contribution base units related to the Local 153 Fund caused by Horizon terminating all of its operations in Puerto Rico during the first quarter of 2015. The Company included the partial withdrawal liability of $6.5 million within other current liabilities in the Consolidated Balance Sheets as of December 31, 2020. The Company paid off this liability during 2021.</w:t>
      </w:r>
    </w:p>
    <w:p>
      <w:pPr>
        <w:spacing w:after="0" w:line="200" w:lineRule="exact"/>
        <w:rPr>
          <w:sz w:val="20"/>
          <w:szCs w:val="20"/>
          <w:color w:val="auto"/>
        </w:rPr>
      </w:pPr>
    </w:p>
    <w:p>
      <w:pPr>
        <w:spacing w:after="0" w:line="213" w:lineRule="exact"/>
        <w:rPr>
          <w:sz w:val="20"/>
          <w:szCs w:val="20"/>
          <w:color w:val="auto"/>
        </w:rPr>
      </w:pPr>
    </w:p>
    <w:p>
      <w:pPr>
        <w:ind w:left="700" w:hanging="650"/>
        <w:spacing w:after="0"/>
        <w:tabs>
          <w:tab w:leader="none" w:pos="7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accumulated other comprehensive income (loss) by component, net of tax,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Post-</w:t>
            </w:r>
          </w:p>
        </w:tc>
        <w:tc>
          <w:tcPr>
            <w:tcW w:w="120" w:type="dxa"/>
            <w:vAlign w:val="bottom"/>
          </w:tcPr>
          <w:p>
            <w:pPr>
              <w:spacing w:after="0"/>
              <w:rPr>
                <w:sz w:val="14"/>
                <w:szCs w:val="14"/>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Qualified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740" w:type="dxa"/>
            <w:vAlign w:val="bottom"/>
            <w:gridSpan w:val="2"/>
            <w:vMerge w:val="continue"/>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Retirement</w:t>
            </w: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Pension</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940" w:type="dxa"/>
            <w:vAlign w:val="bottom"/>
            <w:gridSpan w:val="2"/>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Benefits</w:t>
            </w: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Benefits</w:t>
            </w:r>
          </w:p>
        </w:tc>
        <w:tc>
          <w:tcPr>
            <w:tcW w:w="640" w:type="dxa"/>
            <w:vAlign w:val="bottom"/>
            <w:gridSpan w:val="2"/>
            <w:vMerge w:val="continue"/>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(0.9)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2020</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Arial" w:cs="Arial" w:eastAsia="Arial" w:hAnsi="Arial"/>
                <w:sz w:val="18"/>
                <w:szCs w:val="18"/>
                <w:color w:val="auto"/>
              </w:rPr>
              <w:t>Amortization of net loss (gain)</w:t>
            </w:r>
          </w:p>
        </w:tc>
        <w:tc>
          <w:tcPr>
            <w:tcW w:w="60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exchange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Arial" w:cs="Arial" w:eastAsia="Arial" w:hAnsi="Arial"/>
                <w:sz w:val="18"/>
                <w:szCs w:val="18"/>
                <w:color w:val="auto"/>
              </w:rPr>
              <w:t>Other adjustments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Other comprehensive income (loss) in the Consolidated Statements of Income and Comprehensive Income is shown net of tax benefit (expense) of $(8.1) million, $4.2 million and $(0.3) million for the years ended December 2021, 2020 and 2019, respectively.</w:t>
      </w:r>
    </w:p>
    <w:p>
      <w:pPr>
        <w:spacing w:after="0" w:line="382" w:lineRule="exact"/>
        <w:rPr>
          <w:sz w:val="20"/>
          <w:szCs w:val="20"/>
          <w:color w:val="auto"/>
        </w:rPr>
      </w:pPr>
    </w:p>
    <w:p>
      <w:pPr>
        <w:ind w:left="700" w:hanging="650"/>
        <w:spacing w:after="0"/>
        <w:tabs>
          <w:tab w:leader="none" w:pos="7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left="60" w:right="399"/>
        <w:spacing w:after="0" w:line="301" w:lineRule="auto"/>
        <w:rPr>
          <w:sz w:val="20"/>
          <w:szCs w:val="20"/>
          <w:color w:val="auto"/>
        </w:rPr>
      </w:pPr>
      <w:r>
        <w:rPr>
          <w:rFonts w:ascii="Arial" w:cs="Arial" w:eastAsia="Arial" w:hAnsi="Arial"/>
          <w:sz w:val="16"/>
          <w:szCs w:val="16"/>
          <w:color w:val="auto"/>
        </w:rPr>
        <w:t>Basic earnings per share are determined by dividing net income by the weighted-average common shares outstanding during the year. The calculation of diluted earnings per share includes the dilutive effect of unexercised non-qualified stock options and non-vested stock units. The computation of weighted average dilutive shares outstanding excluded a nominal amount of anti-dilutive non-qualified stock options for each of the years 2021, 2020 and 2019.</w:t>
      </w:r>
    </w:p>
    <w:p>
      <w:pPr>
        <w:spacing w:after="0" w:line="144"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The denominators used to compute basic and diluted earnings per share for the years ended December 31, 2021, 2020 and 2019 are as follows: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w w:val="87"/>
              </w:rPr>
              <w:t>Year Ended December 31, 2021</w:t>
            </w:r>
          </w:p>
        </w:tc>
        <w:tc>
          <w:tcPr>
            <w:tcW w:w="100" w:type="dxa"/>
            <w:vAlign w:val="bottom"/>
          </w:tcPr>
          <w:p>
            <w:pPr>
              <w:spacing w:after="0"/>
              <w:rPr>
                <w:sz w:val="13"/>
                <w:szCs w:val="13"/>
                <w:color w:val="auto"/>
              </w:rPr>
            </w:pPr>
          </w:p>
        </w:tc>
        <w:tc>
          <w:tcPr>
            <w:tcW w:w="208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87"/>
              </w:rPr>
              <w:t>Year Ended December 31, 2020</w:t>
            </w:r>
          </w:p>
        </w:tc>
        <w:tc>
          <w:tcPr>
            <w:tcW w:w="100" w:type="dxa"/>
            <w:vAlign w:val="bottom"/>
          </w:tcPr>
          <w:p>
            <w:pPr>
              <w:spacing w:after="0"/>
              <w:rPr>
                <w:sz w:val="13"/>
                <w:szCs w:val="13"/>
                <w:color w:val="auto"/>
              </w:rPr>
            </w:pPr>
          </w:p>
        </w:tc>
        <w:tc>
          <w:tcPr>
            <w:tcW w:w="2040" w:type="dxa"/>
            <w:vAlign w:val="bottom"/>
            <w:gridSpan w:val="7"/>
          </w:tcPr>
          <w:p>
            <w:pPr>
              <w:jc w:val="center"/>
              <w:ind w:right="160"/>
              <w:spacing w:after="0"/>
              <w:rPr>
                <w:sz w:val="20"/>
                <w:szCs w:val="20"/>
                <w:color w:val="auto"/>
              </w:rPr>
            </w:pPr>
            <w:r>
              <w:rPr>
                <w:rFonts w:ascii="Arial" w:cs="Arial" w:eastAsia="Arial" w:hAnsi="Arial"/>
                <w:sz w:val="13"/>
                <w:szCs w:val="13"/>
                <w:b w:val="1"/>
                <w:bCs w:val="1"/>
                <w:color w:val="auto"/>
                <w:w w:val="87"/>
              </w:rPr>
              <w:t>Year Ended December 31, 2019</w:t>
            </w:r>
          </w:p>
        </w:tc>
      </w:tr>
      <w:tr>
        <w:trPr>
          <w:trHeight w:val="124"/>
        </w:trPr>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85"/>
              </w:rPr>
              <w:t>Weighted</w:t>
            </w: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right="26"/>
              <w:spacing w:after="0" w:line="124" w:lineRule="exact"/>
              <w:rPr>
                <w:sz w:val="20"/>
                <w:szCs w:val="20"/>
                <w:color w:val="auto"/>
              </w:rPr>
            </w:pPr>
            <w:r>
              <w:rPr>
                <w:rFonts w:ascii="Arial" w:cs="Arial" w:eastAsia="Arial" w:hAnsi="Arial"/>
                <w:sz w:val="13"/>
                <w:szCs w:val="13"/>
                <w:b w:val="1"/>
                <w:bCs w:val="1"/>
                <w:color w:val="auto"/>
                <w:w w:val="85"/>
              </w:rPr>
              <w:t>Per</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85"/>
              </w:rPr>
              <w:t>Weighted</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28"/>
              <w:spacing w:after="0" w:line="124" w:lineRule="exact"/>
              <w:rPr>
                <w:sz w:val="20"/>
                <w:szCs w:val="20"/>
                <w:color w:val="auto"/>
              </w:rPr>
            </w:pPr>
            <w:r>
              <w:rPr>
                <w:rFonts w:ascii="Arial" w:cs="Arial" w:eastAsia="Arial" w:hAnsi="Arial"/>
                <w:sz w:val="13"/>
                <w:szCs w:val="13"/>
                <w:b w:val="1"/>
                <w:bCs w:val="1"/>
                <w:color w:val="auto"/>
                <w:w w:val="85"/>
              </w:rPr>
              <w:t>Per</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88"/>
              </w:rPr>
              <w:t>Weighted</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ind w:right="28"/>
              <w:spacing w:after="0" w:line="124" w:lineRule="exact"/>
              <w:rPr>
                <w:sz w:val="20"/>
                <w:szCs w:val="20"/>
                <w:color w:val="auto"/>
              </w:rPr>
            </w:pPr>
            <w:r>
              <w:rPr>
                <w:rFonts w:ascii="Arial" w:cs="Arial" w:eastAsia="Arial" w:hAnsi="Arial"/>
                <w:sz w:val="13"/>
                <w:szCs w:val="13"/>
                <w:b w:val="1"/>
                <w:bCs w:val="1"/>
                <w:color w:val="auto"/>
                <w:w w:val="95"/>
              </w:rPr>
              <w:t>Per</w:t>
            </w:r>
          </w:p>
        </w:tc>
        <w:tc>
          <w:tcPr>
            <w:tcW w:w="40" w:type="dxa"/>
            <w:vAlign w:val="bottom"/>
          </w:tcPr>
          <w:p>
            <w:pPr>
              <w:spacing w:after="0"/>
              <w:rPr>
                <w:sz w:val="10"/>
                <w:szCs w:val="10"/>
                <w:color w:val="auto"/>
              </w:rPr>
            </w:pPr>
          </w:p>
        </w:tc>
      </w:tr>
      <w:tr>
        <w:trPr>
          <w:trHeight w:val="149"/>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Average</w:t>
            </w:r>
          </w:p>
        </w:tc>
        <w:tc>
          <w:tcPr>
            <w:tcW w:w="7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Average</w:t>
            </w:r>
          </w:p>
        </w:tc>
        <w:tc>
          <w:tcPr>
            <w:tcW w:w="7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Average</w:t>
            </w:r>
          </w:p>
        </w:tc>
        <w:tc>
          <w:tcPr>
            <w:tcW w:w="6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8"/>
              </w:rPr>
              <w:t>Common</w:t>
            </w:r>
          </w:p>
        </w:tc>
      </w:tr>
      <w:tr>
        <w:trPr>
          <w:trHeight w:val="148"/>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Net</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2"/>
                <w:szCs w:val="12"/>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Share</w:t>
            </w:r>
          </w:p>
        </w:tc>
        <w:tc>
          <w:tcPr>
            <w:tcW w:w="10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2"/>
                <w:szCs w:val="12"/>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Share</w:t>
            </w:r>
          </w:p>
        </w:tc>
        <w:tc>
          <w:tcPr>
            <w:tcW w:w="10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Net</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Common</w:t>
            </w:r>
          </w:p>
        </w:tc>
        <w:tc>
          <w:tcPr>
            <w:tcW w:w="80" w:type="dxa"/>
            <w:vAlign w:val="bottom"/>
          </w:tcPr>
          <w:p>
            <w:pPr>
              <w:spacing w:after="0"/>
              <w:rPr>
                <w:sz w:val="12"/>
                <w:szCs w:val="12"/>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Share</w:t>
            </w:r>
          </w:p>
        </w:tc>
      </w:tr>
      <w:tr>
        <w:trPr>
          <w:trHeight w:val="153"/>
        </w:trPr>
        <w:tc>
          <w:tcPr>
            <w:tcW w:w="244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(In millions, except per share amounts)</w:t>
            </w:r>
          </w:p>
        </w:tc>
        <w:tc>
          <w:tcPr>
            <w:tcW w:w="8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Income</w:t>
            </w: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Income</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3"/>
                <w:szCs w:val="13"/>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Amount</w:t>
            </w:r>
          </w:p>
        </w:tc>
      </w:tr>
      <w:tr>
        <w:trPr>
          <w:trHeight w:val="196"/>
        </w:trPr>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927.4</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40" w:type="dxa"/>
            <w:vAlign w:val="bottom"/>
            <w:tcBorders>
              <w:top w:val="single" w:sz="8" w:color="CCEEFF"/>
            </w:tcBorders>
            <w:shd w:val="clear" w:color="auto" w:fill="CCEEFF"/>
          </w:tcPr>
          <w:p>
            <w:pPr>
              <w:spacing w:after="0"/>
              <w:rPr>
                <w:sz w:val="17"/>
                <w:szCs w:val="17"/>
                <w:color w:val="auto"/>
              </w:rPr>
            </w:pPr>
          </w:p>
        </w:tc>
      </w:tr>
      <w:tr>
        <w:trPr>
          <w:trHeight w:val="213"/>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Effect of Dilutive Securities:</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(0.02)</w:t>
            </w:r>
          </w:p>
        </w:tc>
      </w:tr>
      <w:tr>
        <w:trPr>
          <w:trHeight w:val="199"/>
        </w:trPr>
        <w:tc>
          <w:tcPr>
            <w:tcW w:w="2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700" w:hanging="650"/>
        <w:spacing w:after="0"/>
        <w:tabs>
          <w:tab w:leader="none" w:pos="7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AWARDS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share-based compensation plans which are described as follows:</w:t>
      </w:r>
    </w:p>
    <w:p>
      <w:pPr>
        <w:spacing w:after="0" w:line="225"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i w:val="1"/>
          <w:iCs w:val="1"/>
          <w:color w:val="auto"/>
        </w:rPr>
        <w:t xml:space="preserve">2016 Incentive Compensation Plan: </w:t>
      </w:r>
      <w:r>
        <w:rPr>
          <w:rFonts w:ascii="Arial" w:cs="Arial" w:eastAsia="Arial" w:hAnsi="Arial"/>
          <w:sz w:val="18"/>
          <w:szCs w:val="18"/>
          <w:color w:val="auto"/>
        </w:rPr>
        <w:t>The Amended and Restated Matson, Inc. 2016 Incentive Compensation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“2016 Plan”) serves as a successor to the 2007 Incentive Compensation Plan and all other predecessor plans. No further grants will be made under the predecessor stock option plans. Under the 2016 Plan, 4.35 million shares of common stock were reserved for issuance.</w:t>
      </w:r>
    </w:p>
    <w:p>
      <w:pPr>
        <w:spacing w:after="0" w:line="187"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The 2016 Plan consists of four separate incentive compensation programs: (i) the discretionary grant program, (ii) the stock issuance program, (iii) the incentive bonus program, and (iv) the automatic grant program for the non-employee members of the Company’s Board of Directors. Share-based compensation is generally awarded under three of the four programs, as more fully described below.</w:t>
      </w:r>
    </w:p>
    <w:p>
      <w:pPr>
        <w:spacing w:after="0" w:line="11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i w:val="1"/>
          <w:iCs w:val="1"/>
          <w:color w:val="auto"/>
        </w:rPr>
        <w:t xml:space="preserve">Discretionary Grant Program </w:t>
      </w:r>
      <w:r>
        <w:rPr>
          <w:rFonts w:ascii="Arial" w:cs="Arial" w:eastAsia="Arial" w:hAnsi="Arial"/>
          <w:sz w:val="18"/>
          <w:szCs w:val="18"/>
          <w:color w:val="auto"/>
        </w:rPr>
        <w:t>— Under the Discretionary Grant Program, stock options may be granted with an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no less than 100 percent of the fair market value (defined as the closing market price) of the Company’s common stock on the date of the grant. Options generally become exercisable ratably over three years and have a maximum contractual term of 10 years.</w:t>
      </w:r>
    </w:p>
    <w:p>
      <w:pPr>
        <w:spacing w:after="0" w:line="11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i w:val="1"/>
          <w:iCs w:val="1"/>
          <w:color w:val="auto"/>
        </w:rPr>
        <w:t xml:space="preserve">Stock Issuance Program </w:t>
      </w:r>
      <w:r>
        <w:rPr>
          <w:rFonts w:ascii="Arial" w:cs="Arial" w:eastAsia="Arial" w:hAnsi="Arial"/>
          <w:sz w:val="18"/>
          <w:szCs w:val="18"/>
          <w:color w:val="auto"/>
        </w:rPr>
        <w:t>— Under the Stock Issuance Program, shares of common stock, restricted stock units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shares may be granted. Time-based equity awards generally vest ratably over three years. Provided certain three-year performance targets are achieved, performance-based equity awards generally vest on the three-year anniversary date of the grant.</w:t>
      </w:r>
    </w:p>
    <w:p>
      <w:pPr>
        <w:spacing w:after="0" w:line="187" w:lineRule="exact"/>
        <w:rPr>
          <w:sz w:val="20"/>
          <w:szCs w:val="20"/>
          <w:color w:val="auto"/>
        </w:rPr>
      </w:pPr>
    </w:p>
    <w:p>
      <w:pPr>
        <w:ind w:left="60" w:right="399"/>
        <w:spacing w:after="0" w:line="259" w:lineRule="auto"/>
        <w:rPr>
          <w:sz w:val="20"/>
          <w:szCs w:val="20"/>
          <w:color w:val="auto"/>
        </w:rPr>
      </w:pPr>
      <w:r>
        <w:rPr>
          <w:rFonts w:ascii="Arial" w:cs="Arial" w:eastAsia="Arial" w:hAnsi="Arial"/>
          <w:sz w:val="18"/>
          <w:szCs w:val="18"/>
          <w:i w:val="1"/>
          <w:iCs w:val="1"/>
          <w:color w:val="auto"/>
        </w:rPr>
        <w:t xml:space="preserve">Automatic Grant Program </w:t>
      </w:r>
      <w:r>
        <w:rPr>
          <w:rFonts w:ascii="Arial" w:cs="Arial" w:eastAsia="Arial" w:hAnsi="Arial"/>
          <w:sz w:val="18"/>
          <w:szCs w:val="18"/>
          <w:color w:val="auto"/>
        </w:rPr>
        <w:t>— At each annual shareholder meeting, non-employee directors will receive an award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that entitle the holder to an equivalent number of shares of common stock upon vesting, under the Automatic Grant Program. Awards of restricted stock units granted under the program generally vest on the one-year anniversary of the grant date.</w:t>
      </w:r>
    </w:p>
    <w:p>
      <w:pPr>
        <w:spacing w:after="0" w:line="92"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The shares of common stock authorized to be issued under the 2016 Plan may be drawn from shares of the Company’s authorized but unissued common stock or from shares of its common stock that the Company acquires, including shares purchased on the open market or in private transactions.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Arial" w:cs="Arial" w:eastAsia="Arial" w:hAnsi="Arial"/>
          <w:sz w:val="18"/>
          <w:szCs w:val="18"/>
          <w:color w:val="auto"/>
        </w:rPr>
        <w:t>Share-based compensation expense and other information related to share-based awards for the years ended December 31, 2021, 2020 and 2019 are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Share-based compensation expense, net of estimated forfeitures (in millions)</w:t>
            </w:r>
          </w:p>
        </w:tc>
        <w:tc>
          <w:tcPr>
            <w:tcW w:w="120" w:type="dxa"/>
            <w:vAlign w:val="bottom"/>
          </w:tcPr>
          <w:p>
            <w:pPr>
              <w:spacing w:after="0"/>
              <w:rPr>
                <w:sz w:val="14"/>
                <w:szCs w:val="14"/>
                <w:color w:val="auto"/>
              </w:rPr>
            </w:pPr>
          </w:p>
        </w:tc>
        <w:tc>
          <w:tcPr>
            <w:tcW w:w="1960" w:type="dxa"/>
            <w:vAlign w:val="bottom"/>
            <w:gridSpan w:val="8"/>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Intrinsic value of options exercised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benefit realized upon stock vesting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Fair value of stock vested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As of December 31, 2021, there was no unrecognized compensation cost related to non-vested stock options. As of December 31, 2021, unrecognized compensation cost related to non-vested restricted stock units and performance-based equity awards was $20.8 million. Unrecognized compensation cost is expected to be recognized over a weighted average period of approximately 1.7 years.</w:t>
      </w:r>
    </w:p>
    <w:p>
      <w:pPr>
        <w:spacing w:after="0" w:line="92"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Stock option activity for the year ended December 31, 2021 was nominal and there were no stock options outstanding and exercisable as of December 31, 2021.</w:t>
      </w:r>
    </w:p>
    <w:p>
      <w:pPr>
        <w:spacing w:after="0" w:line="76" w:lineRule="exact"/>
        <w:rPr>
          <w:sz w:val="20"/>
          <w:szCs w:val="20"/>
          <w:color w:val="auto"/>
        </w:rPr>
      </w:pPr>
    </w:p>
    <w:p>
      <w:pPr>
        <w:ind w:left="60" w:right="139"/>
        <w:spacing w:after="0" w:line="258" w:lineRule="auto"/>
        <w:rPr>
          <w:sz w:val="20"/>
          <w:szCs w:val="20"/>
          <w:color w:val="auto"/>
        </w:rPr>
      </w:pPr>
      <w:r>
        <w:rPr>
          <w:rFonts w:ascii="Arial" w:cs="Arial" w:eastAsia="Arial" w:hAnsi="Arial"/>
          <w:sz w:val="18"/>
          <w:szCs w:val="18"/>
          <w:color w:val="auto"/>
        </w:rPr>
        <w:t>The following table summarizes non-vested restricted stock unit activity through December 31, 2021 (in thousands, except weighted average grant-date fair value amounts):</w:t>
      </w:r>
    </w:p>
    <w:tbl>
      <w:tblPr>
        <w:tblLayout w:type="fixed"/>
        <w:tblInd w:w="40" w:type="dxa"/>
        <w:tblCellMar>
          <w:top w:w="0" w:type="dxa"/>
          <w:left w:w="0" w:type="dxa"/>
          <w:bottom w:w="0" w:type="dxa"/>
          <w:right w:w="0" w:type="dxa"/>
        </w:tblCellMar>
      </w:tblPr>
      <w:tr>
        <w:trPr>
          <w:trHeight w:val="141"/>
        </w:trPr>
        <w:tc>
          <w:tcPr>
            <w:tcW w:w="22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2"/>
              </w:rPr>
              <w:t>2007 Plan</w:t>
            </w:r>
          </w:p>
        </w:tc>
        <w:tc>
          <w:tcPr>
            <w:tcW w:w="8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5"/>
              </w:rPr>
              <w:t>2016 Plan</w:t>
            </w: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2"/>
                <w:szCs w:val="12"/>
                <w:color w:val="auto"/>
              </w:rPr>
            </w:pPr>
          </w:p>
        </w:tc>
        <w:tc>
          <w:tcPr>
            <w:tcW w:w="88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Weighted</w:t>
            </w:r>
          </w:p>
        </w:tc>
      </w:tr>
      <w:tr>
        <w:trPr>
          <w:trHeight w:val="148"/>
        </w:trPr>
        <w:tc>
          <w:tcPr>
            <w:tcW w:w="22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Average Grant-</w:t>
            </w:r>
          </w:p>
        </w:tc>
      </w:tr>
      <w:tr>
        <w:trPr>
          <w:trHeight w:val="171"/>
        </w:trPr>
        <w:tc>
          <w:tcPr>
            <w:tcW w:w="22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 Units</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Stock Units</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Stock Units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Date Fair Value</w:t>
            </w:r>
          </w:p>
        </w:tc>
      </w:tr>
      <w:tr>
        <w:trPr>
          <w:trHeight w:val="209"/>
        </w:trPr>
        <w:tc>
          <w:tcPr>
            <w:tcW w:w="5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gridSpan w:val="3"/>
          </w:tcPr>
          <w:p>
            <w:pPr>
              <w:ind w:left="2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68.41</w:t>
            </w:r>
          </w:p>
        </w:tc>
        <w:tc>
          <w:tcPr>
            <w:tcW w:w="40" w:type="dxa"/>
            <w:vAlign w:val="bottom"/>
          </w:tcPr>
          <w:p>
            <w:pPr>
              <w:spacing w:after="0"/>
              <w:rPr>
                <w:sz w:val="18"/>
                <w:szCs w:val="18"/>
                <w:color w:val="auto"/>
              </w:rPr>
            </w:pPr>
          </w:p>
        </w:tc>
      </w:tr>
      <w:tr>
        <w:trPr>
          <w:trHeight w:val="216"/>
        </w:trPr>
        <w:tc>
          <w:tcPr>
            <w:tcW w:w="5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40" w:type="dxa"/>
            <w:vAlign w:val="bottom"/>
            <w:shd w:val="clear" w:color="auto" w:fill="CCEEFF"/>
          </w:tcPr>
          <w:p>
            <w:pPr>
              <w:spacing w:after="0"/>
              <w:rPr>
                <w:sz w:val="18"/>
                <w:szCs w:val="18"/>
                <w:color w:val="auto"/>
              </w:rPr>
            </w:pPr>
          </w:p>
        </w:tc>
      </w:tr>
      <w:tr>
        <w:trPr>
          <w:trHeight w:val="216"/>
        </w:trPr>
        <w:tc>
          <w:tcPr>
            <w:tcW w:w="5280" w:type="dxa"/>
            <w:vAlign w:val="bottom"/>
            <w:gridSpan w:val="3"/>
          </w:tcPr>
          <w:p>
            <w:pPr>
              <w:ind w:left="220"/>
              <w:spacing w:after="0"/>
              <w:rPr>
                <w:sz w:val="20"/>
                <w:szCs w:val="20"/>
                <w:color w:val="auto"/>
              </w:rPr>
            </w:pPr>
            <w:r>
              <w:rPr>
                <w:rFonts w:ascii="Arial" w:cs="Arial" w:eastAsia="Arial" w:hAnsi="Arial"/>
                <w:sz w:val="18"/>
                <w:szCs w:val="18"/>
                <w:color w:val="auto"/>
              </w:rPr>
              <w:t>Canceled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44.27</w:t>
            </w:r>
          </w:p>
        </w:tc>
        <w:tc>
          <w:tcPr>
            <w:tcW w:w="40" w:type="dxa"/>
            <w:vAlign w:val="bottom"/>
          </w:tcPr>
          <w:p>
            <w:pPr>
              <w:spacing w:after="0"/>
              <w:rPr>
                <w:sz w:val="18"/>
                <w:szCs w:val="18"/>
                <w:color w:val="auto"/>
              </w:rPr>
            </w:pPr>
          </w:p>
        </w:tc>
      </w:tr>
      <w:tr>
        <w:trPr>
          <w:trHeight w:val="216"/>
        </w:trPr>
        <w:tc>
          <w:tcPr>
            <w:tcW w:w="5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Added by performance factor (1)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40" w:type="dxa"/>
            <w:vAlign w:val="bottom"/>
            <w:shd w:val="clear" w:color="auto" w:fill="CCEEFF"/>
          </w:tcPr>
          <w:p>
            <w:pPr>
              <w:spacing w:after="0"/>
              <w:rPr>
                <w:sz w:val="18"/>
                <w:szCs w:val="18"/>
                <w:color w:val="auto"/>
              </w:rPr>
            </w:pPr>
          </w:p>
        </w:tc>
      </w:tr>
      <w:tr>
        <w:trPr>
          <w:trHeight w:val="210"/>
        </w:trPr>
        <w:tc>
          <w:tcPr>
            <w:tcW w:w="5280" w:type="dxa"/>
            <w:vAlign w:val="bottom"/>
            <w:gridSpan w:val="3"/>
          </w:tcPr>
          <w:p>
            <w:pPr>
              <w:ind w:left="20"/>
              <w:spacing w:after="0"/>
              <w:rPr>
                <w:sz w:val="20"/>
                <w:szCs w:val="20"/>
                <w:color w:val="auto"/>
              </w:rPr>
            </w:pPr>
            <w:r>
              <w:rPr>
                <w:rFonts w:ascii="Arial" w:cs="Arial" w:eastAsia="Arial" w:hAnsi="Arial"/>
                <w:sz w:val="18"/>
                <w:szCs w:val="18"/>
                <w:color w:val="auto"/>
              </w:rPr>
              <w:t>Outstanding at December 31, 2021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47.61</w:t>
            </w:r>
          </w:p>
        </w:tc>
        <w:tc>
          <w:tcPr>
            <w:tcW w:w="4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shares paid out above target.</w:t>
      </w:r>
    </w:p>
    <w:p>
      <w:pPr>
        <w:spacing w:after="0" w:line="200" w:lineRule="exact"/>
        <w:rPr>
          <w:sz w:val="20"/>
          <w:szCs w:val="20"/>
          <w:color w:val="auto"/>
        </w:rPr>
      </w:pPr>
    </w:p>
    <w:p>
      <w:pPr>
        <w:spacing w:after="0" w:line="220" w:lineRule="exact"/>
        <w:rPr>
          <w:sz w:val="20"/>
          <w:szCs w:val="20"/>
          <w:color w:val="auto"/>
        </w:rPr>
      </w:pPr>
    </w:p>
    <w:p>
      <w:pPr>
        <w:ind w:left="700" w:hanging="650"/>
        <w:spacing w:after="0"/>
        <w:tabs>
          <w:tab w:leader="none" w:pos="7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8"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December 31, 2021 and 2020 are as follows:</w:t>
      </w:r>
    </w:p>
    <w:tbl>
      <w:tblPr>
        <w:tblLayout w:type="fixed"/>
        <w:tblInd w:w="40" w:type="dxa"/>
        <w:tblCellMar>
          <w:top w:w="0" w:type="dxa"/>
          <w:left w:w="0" w:type="dxa"/>
          <w:bottom w:w="0" w:type="dxa"/>
          <w:right w:w="0" w:type="dxa"/>
        </w:tblCellMar>
      </w:tblPr>
      <w:tr>
        <w:trPr>
          <w:trHeight w:val="141"/>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94"/>
              <w:spacing w:after="0" w:line="141" w:lineRule="exact"/>
              <w:rPr>
                <w:sz w:val="20"/>
                <w:szCs w:val="20"/>
                <w:color w:val="auto"/>
              </w:rPr>
            </w:pPr>
            <w:r>
              <w:rPr>
                <w:rFonts w:ascii="Arial" w:cs="Arial" w:eastAsia="Arial" w:hAnsi="Arial"/>
                <w:sz w:val="14"/>
                <w:szCs w:val="14"/>
                <w:b w:val="1"/>
                <w:bCs w:val="1"/>
                <w:color w:val="auto"/>
                <w:w w:val="97"/>
              </w:rPr>
              <w:t>Significant</w:t>
            </w:r>
          </w:p>
        </w:tc>
        <w:tc>
          <w:tcPr>
            <w:tcW w:w="120" w:type="dxa"/>
            <w:vAlign w:val="bottom"/>
          </w:tcPr>
          <w:p>
            <w:pPr>
              <w:spacing w:after="0"/>
              <w:rPr>
                <w:sz w:val="12"/>
                <w:szCs w:val="12"/>
                <w:color w:val="auto"/>
              </w:rPr>
            </w:pPr>
          </w:p>
        </w:tc>
        <w:tc>
          <w:tcPr>
            <w:tcW w:w="1040" w:type="dxa"/>
            <w:vAlign w:val="bottom"/>
            <w:gridSpan w:val="3"/>
          </w:tcPr>
          <w:p>
            <w:pPr>
              <w:jc w:val="center"/>
              <w:ind w:right="20"/>
              <w:spacing w:after="0" w:line="141"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Carrying Value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Inputs (Level 2)</w:t>
            </w:r>
          </w:p>
        </w:tc>
        <w:tc>
          <w:tcPr>
            <w:tcW w:w="12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Inputs (Level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73"/>
              </w:rPr>
              <w:t>Value Measurements</w:t>
            </w: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80"/>
              <w:spacing w:after="0" w:line="129" w:lineRule="exact"/>
              <w:rPr>
                <w:sz w:val="20"/>
                <w:szCs w:val="20"/>
                <w:color w:val="auto"/>
              </w:rPr>
            </w:pPr>
            <w:r>
              <w:rPr>
                <w:rFonts w:ascii="Arial" w:cs="Arial" w:eastAsia="Arial" w:hAnsi="Arial"/>
                <w:sz w:val="14"/>
                <w:szCs w:val="14"/>
                <w:b w:val="1"/>
                <w:bCs w:val="1"/>
                <w:color w:val="auto"/>
                <w:w w:val="94"/>
              </w:rPr>
              <w:t>at December 31,</w:t>
            </w:r>
          </w:p>
        </w:tc>
        <w:tc>
          <w:tcPr>
            <w:tcW w:w="5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Fixed rate debt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629.0</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615.1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615.1</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ind w:left="620"/>
              <w:spacing w:after="0"/>
              <w:rPr>
                <w:sz w:val="20"/>
                <w:szCs w:val="20"/>
                <w:color w:val="auto"/>
              </w:rPr>
            </w:pPr>
            <w:r>
              <w:rPr>
                <w:rFonts w:ascii="Arial" w:cs="Arial" w:eastAsia="Arial" w:hAnsi="Arial"/>
                <w:sz w:val="14"/>
                <w:szCs w:val="14"/>
                <w:b w:val="1"/>
                <w:bCs w:val="1"/>
                <w:color w:val="auto"/>
                <w:w w:val="98"/>
              </w:rPr>
              <w:t>Fair Value Measurements at December 31, 2020</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Fixed rate debt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688.3</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686.7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686.7</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700" w:hanging="650"/>
        <w:spacing w:after="0"/>
        <w:tabs>
          <w:tab w:leader="none" w:pos="7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Commitments and contractual obligations, excluding debt obligations (see Note 8), lease commitments (see Note 9), pension and post-retirement plan commitments, and multi-employer bargaining plan withdrawal obligations (see Note 11 and 12), are as follows as of December 31, 2021:</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 and Contractual Obligations (in millions)</w:t>
            </w:r>
          </w:p>
        </w:tc>
        <w:tc>
          <w:tcPr>
            <w:tcW w:w="1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8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Standby letters of credit (1)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gridSpan w:val="3"/>
          </w:tcPr>
          <w:p>
            <w:pPr>
              <w:ind w:left="20"/>
              <w:spacing w:after="0"/>
              <w:rPr>
                <w:sz w:val="20"/>
                <w:szCs w:val="20"/>
                <w:color w:val="auto"/>
              </w:rPr>
            </w:pPr>
            <w:r>
              <w:rPr>
                <w:rFonts w:ascii="Arial" w:cs="Arial" w:eastAsia="Arial" w:hAnsi="Arial"/>
                <w:sz w:val="18"/>
                <w:szCs w:val="18"/>
                <w:color w:val="auto"/>
              </w:rPr>
              <w:t>Bonds (2)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8"/>
                <w:szCs w:val="18"/>
                <w:color w:val="auto"/>
              </w:rPr>
            </w:pPr>
          </w:p>
        </w:tc>
      </w:tr>
      <w:tr>
        <w:trPr>
          <w:trHeight w:val="216"/>
        </w:trPr>
        <w:tc>
          <w:tcPr>
            <w:tcW w:w="8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Vendor and other obligations (3)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CEEFF"/>
          </w:tcPr>
          <w:p>
            <w:pPr>
              <w:spacing w:after="0"/>
              <w:rPr>
                <w:sz w:val="18"/>
                <w:szCs w:val="18"/>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5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62" w:lineRule="exact"/>
        <w:rPr>
          <w:sz w:val="20"/>
          <w:szCs w:val="20"/>
          <w:color w:val="auto"/>
        </w:rPr>
      </w:pPr>
    </w:p>
    <w:p>
      <w:pPr>
        <w:ind w:left="380" w:hanging="330"/>
        <w:spacing w:after="0"/>
        <w:tabs>
          <w:tab w:leader="none" w:pos="3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Standby letters of credit are required for the Company’s uninsured workers’ compensation and other insurance programs, and other needs.</w:t>
      </w:r>
    </w:p>
    <w:p>
      <w:pPr>
        <w:ind w:left="380" w:hanging="330"/>
        <w:spacing w:after="0" w:line="221" w:lineRule="auto"/>
        <w:tabs>
          <w:tab w:leader="none" w:pos="3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Bonds are required for U.S. Customs and other related matters.</w:t>
      </w:r>
    </w:p>
    <w:p>
      <w:pPr>
        <w:ind w:left="380" w:right="199" w:hanging="330"/>
        <w:spacing w:after="0" w:line="232" w:lineRule="auto"/>
        <w:tabs>
          <w:tab w:leader="none" w:pos="3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Vendor and other obligations include: (i) non-cancellable contractual capital project obligations; (ii) dry-docking related obligations; and (iii) other contractual obligations. Amounts are considered obligations if a contract has been agreed to specifying significant terms of the contract, and the amounts are not reflected in the Consolidated Balance Sheets.</w:t>
      </w:r>
    </w:p>
    <w:p>
      <w:pPr>
        <w:spacing w:after="0" w:line="18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These amounts are not recorded on the Company’s Consolidated Balance Sheets and it is not expected that the Company or its subsidiaries will be called upon to advance funds under these commitments.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Contingencies and other litigation related matters are described as follows:</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The Company’s Ocean Transportation segment has certain risks that could result in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environmental remediation.</w:t>
      </w:r>
    </w:p>
    <w:p>
      <w:pPr>
        <w:spacing w:after="0" w:line="170" w:lineRule="exact"/>
        <w:rPr>
          <w:sz w:val="20"/>
          <w:szCs w:val="20"/>
          <w:color w:val="auto"/>
        </w:rPr>
      </w:pPr>
    </w:p>
    <w:p>
      <w:pPr>
        <w:ind w:left="60" w:right="199"/>
        <w:spacing w:after="0" w:line="269" w:lineRule="auto"/>
        <w:rPr>
          <w:sz w:val="20"/>
          <w:szCs w:val="20"/>
          <w:color w:val="auto"/>
        </w:rPr>
      </w:pPr>
      <w:r>
        <w:rPr>
          <w:rFonts w:ascii="Arial" w:cs="Arial" w:eastAsia="Arial" w:hAnsi="Arial"/>
          <w:sz w:val="17"/>
          <w:szCs w:val="17"/>
          <w:color w:val="auto"/>
        </w:rPr>
        <w:t>On November 10, 2021, the California Air Resources Board (“CARB”) issued a Notice of Violation (the “NOV”) to Matson for alleged violations of the Airborne Toxic Control Measure for Auxiliary Diesel Engines Operated on Ocean-Going Vessels At-Berth in a California Port pursuant to California Code of Regulations, title 17, section 93118.3. CARB regulations require that a company’s fleet plug into shore power for at least 80 percent of visits at California ports and reduce auxiliary engine power generation by at least 80 percent. The NOV alleges that Matson’s fleet did not meet the 80 percent thresholds during visits to the Port of Long Beach in 2020. The violations were alleged to have been incurred by chartered vessels in the CLX+ service. These chartered vessels were not outfitted with alternative maritime power (“AMP”) capability which would have allowed them to plug into the shore power grid and shut down the vessel diesel generators when at dock. The Company has presented mitigating factors for consideration in settlement discussions with CARB, as well as plans to achieve compliance in 2022. Although potential penalties for 2020 and 2021 violations could, in the aggregate, reasonably be expected to exceed $1 million, they are not expected to be material to the Company’s business or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99" w:lineRule="exact"/>
        <w:rPr>
          <w:sz w:val="20"/>
          <w:szCs w:val="20"/>
          <w:color w:val="auto"/>
        </w:rPr>
      </w:pPr>
    </w:p>
    <w:p>
      <w:pPr>
        <w:ind w:left="100" w:right="999" w:hanging="44"/>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Conclusion Regarding Effectiveness of Disclosure Controls and Procedures</w:t>
      </w:r>
    </w:p>
    <w:p>
      <w:pPr>
        <w:spacing w:after="0" w:line="22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See page 41 for management’s annual report on internal control over financial reporting, which is incorporated herein by reference.</w:t>
      </w:r>
    </w:p>
    <w:p>
      <w:pPr>
        <w:spacing w:after="0" w:line="170"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See page 42 for the attestation report of the independent registered public accounting firm on the Company’s internal control over financial reporting, which is incorporated herein by reference.</w:t>
      </w:r>
    </w:p>
    <w:p>
      <w:pPr>
        <w:spacing w:after="0" w:line="170"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Except as described below, there have not been any changes in the Company’s internal control over financial reporting (as such term is defined in Rules 13a-15(f) and 15d-15(f) under the Exchange Act) during the Company’s fiscal fourth quarter ended December 31, 2021, that have materially affected, or are reasonably likely to materially affect, the Company’s internal control over financial reporting.</w:t>
      </w:r>
    </w:p>
    <w:p>
      <w:pPr>
        <w:spacing w:after="0" w:line="187"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The Company completed the implementation of the financial modules of a new enterprise resource planning (“ERP”) system during the fiscal year ended December 31, 2021. The new ERP system is intended to enhance operating efficiencies and provide more effective management of its business operations. As a result of this implementation, certain internal controls over financial reporting have been automated, modified or implemented.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1340" w:hanging="642"/>
        <w:spacing w:after="0"/>
        <w:tabs>
          <w:tab w:leader="none" w:pos="1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 information about the directors of Matson required under this item will be included under the section captioned “Proposal 1 – Election of Directors” in Matson’s Proxy Statement for the 2022 Annual Meeting of Shareholders to be filed with the SEC within 120 days of the fiscal year ended December 31, 2021 (“Matson’s 2022 Proxy Statement”), which section is incorporated herein by reference.</w:t>
      </w:r>
    </w:p>
    <w:p>
      <w:pPr>
        <w:spacing w:after="0" w:line="183" w:lineRule="exact"/>
        <w:rPr>
          <w:sz w:val="20"/>
          <w:szCs w:val="20"/>
          <w:color w:val="auto"/>
        </w:rPr>
      </w:pPr>
    </w:p>
    <w:p>
      <w:pPr>
        <w:ind w:left="1340" w:hanging="642"/>
        <w:spacing w:after="0"/>
        <w:tabs>
          <w:tab w:leader="none" w:pos="1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The information about the executive officers of Matson required under this item will be included under the subsection captioned “Executive Officers” in Matson’s 2022 Proxy Statement, which subsection is incorporated herein by reference.</w:t>
      </w:r>
    </w:p>
    <w:p>
      <w:pPr>
        <w:spacing w:after="0" w:line="120" w:lineRule="exact"/>
        <w:rPr>
          <w:sz w:val="20"/>
          <w:szCs w:val="20"/>
          <w:color w:val="auto"/>
        </w:rPr>
      </w:pPr>
    </w:p>
    <w:p>
      <w:pPr>
        <w:ind w:left="1340" w:hanging="642"/>
        <w:spacing w:after="0"/>
        <w:tabs>
          <w:tab w:leader="none" w:pos="1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ind w:left="60" w:right="339"/>
        <w:spacing w:after="0" w:line="259" w:lineRule="auto"/>
        <w:rPr>
          <w:sz w:val="20"/>
          <w:szCs w:val="20"/>
          <w:color w:val="auto"/>
        </w:rPr>
      </w:pPr>
      <w:r>
        <w:rPr>
          <w:rFonts w:ascii="Arial" w:cs="Arial" w:eastAsia="Arial" w:hAnsi="Arial"/>
          <w:sz w:val="18"/>
          <w:szCs w:val="18"/>
          <w:color w:val="auto"/>
        </w:rPr>
        <w:t>The information about the Audit Committee of the Matson Board of Directors and compliance with Section 16(a) of the Exchange Act, will be included under the subsections captioned “Board of Directors and Committees of Board” and, if applicable, “Delinquent Section 16(a) Reports” in Matson’s 2022 Proxy Statement, which subsections are incorporated herein by reference.</w:t>
      </w:r>
    </w:p>
    <w:p>
      <w:pPr>
        <w:spacing w:after="0" w:line="183" w:lineRule="exact"/>
        <w:rPr>
          <w:sz w:val="20"/>
          <w:szCs w:val="20"/>
          <w:color w:val="auto"/>
        </w:rPr>
      </w:pPr>
    </w:p>
    <w:p>
      <w:pPr>
        <w:ind w:left="1340" w:hanging="642"/>
        <w:spacing w:after="0"/>
        <w:tabs>
          <w:tab w:leader="none" w:pos="1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The information about Matson’s Code of Ethics required under this item will be included under the subsection captioned “Code of Ethics” in Matson’s 2022 Proxy Statement, which subsection is incorporated herein by reference.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The information required under this item will be included under the section captioned “Executive Compensation” and the subsections captioned “Compensation of Directors” and “Pay Risk Assessment” in Matson’s 2022 Proxy Statement, which section and subsections are incorporated herein by reference.</w:t>
      </w:r>
    </w:p>
    <w:p>
      <w:pPr>
        <w:spacing w:after="0" w:line="180" w:lineRule="exact"/>
        <w:rPr>
          <w:sz w:val="20"/>
          <w:szCs w:val="20"/>
          <w:color w:val="auto"/>
        </w:rPr>
      </w:pPr>
    </w:p>
    <w:p>
      <w:pPr>
        <w:ind w:left="60" w:right="103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60" w:right="479"/>
        <w:spacing w:after="0" w:line="258" w:lineRule="auto"/>
        <w:rPr>
          <w:sz w:val="20"/>
          <w:szCs w:val="20"/>
          <w:color w:val="auto"/>
        </w:rPr>
      </w:pPr>
      <w:r>
        <w:rPr>
          <w:rFonts w:ascii="Arial" w:cs="Arial" w:eastAsia="Arial" w:hAnsi="Arial"/>
          <w:sz w:val="18"/>
          <w:szCs w:val="18"/>
          <w:i w:val="1"/>
          <w:iCs w:val="1"/>
          <w:color w:val="auto"/>
        </w:rPr>
        <w:t xml:space="preserve">Equity Compensation Plan Information: </w:t>
      </w:r>
      <w:r>
        <w:rPr>
          <w:rFonts w:ascii="Arial" w:cs="Arial" w:eastAsia="Arial" w:hAnsi="Arial"/>
          <w:sz w:val="18"/>
          <w:szCs w:val="18"/>
          <w:color w:val="auto"/>
        </w:rPr>
        <w:t>The following table sets forth, as of December 31, 2021, certain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Matson’s equity compensation plan:</w:t>
      </w:r>
    </w:p>
    <w:tbl>
      <w:tblPr>
        <w:tblLayout w:type="fixed"/>
        <w:tblInd w:w="40" w:type="dxa"/>
        <w:tblCellMar>
          <w:top w:w="0" w:type="dxa"/>
          <w:left w:w="0" w:type="dxa"/>
          <w:bottom w:w="0" w:type="dxa"/>
          <w:right w:w="0" w:type="dxa"/>
        </w:tblCellMar>
      </w:tblPr>
      <w:tr>
        <w:trPr>
          <w:trHeight w:val="141"/>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Number of shares</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upon exercise of</w:t>
            </w:r>
          </w:p>
        </w:tc>
        <w:tc>
          <w:tcPr>
            <w:tcW w:w="8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8"/>
        </w:trPr>
        <w:tc>
          <w:tcPr>
            <w:tcW w:w="4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plans (excluding shares</w:t>
            </w:r>
          </w:p>
        </w:tc>
        <w:tc>
          <w:tcPr>
            <w:tcW w:w="0" w:type="dxa"/>
            <w:vAlign w:val="bottom"/>
          </w:tcPr>
          <w:p>
            <w:pPr>
              <w:spacing w:after="0"/>
              <w:rPr>
                <w:sz w:val="1"/>
                <w:szCs w:val="1"/>
                <w:color w:val="auto"/>
              </w:rPr>
            </w:pPr>
          </w:p>
        </w:tc>
      </w:tr>
      <w:tr>
        <w:trPr>
          <w:trHeight w:val="171"/>
        </w:trPr>
        <w:tc>
          <w:tcPr>
            <w:tcW w:w="4140" w:type="dxa"/>
            <w:vAlign w:val="bottom"/>
            <w:gridSpan w:val="3"/>
            <w:vMerge w:val="continue"/>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warrants and rights</w:t>
            </w:r>
          </w:p>
        </w:tc>
        <w:tc>
          <w:tcPr>
            <w:tcW w:w="8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warrants and rights</w:t>
            </w: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(a)</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(b)</w:t>
            </w:r>
          </w:p>
        </w:tc>
        <w:tc>
          <w:tcPr>
            <w:tcW w:w="2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(c)</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Equity compensation plans approved by shareholders</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690,695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ind w:left="1060"/>
              <w:spacing w:after="0"/>
              <w:rPr>
                <w:sz w:val="20"/>
                <w:szCs w:val="20"/>
                <w:color w:val="auto"/>
              </w:rPr>
            </w:pPr>
            <w:r>
              <w:rPr>
                <w:rFonts w:ascii="Arial" w:cs="Arial" w:eastAsia="Arial" w:hAnsi="Arial"/>
                <w:sz w:val="16"/>
                <w:szCs w:val="16"/>
                <w:color w:val="auto"/>
              </w:rPr>
              <w:t>— (2)</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2,443,529 (3)</w:t>
            </w: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Equity compensation plans not approved by shareholders</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tcPr>
          <w:p>
            <w:pPr>
              <w:ind w:left="220"/>
              <w:spacing w:after="0"/>
              <w:rPr>
                <w:sz w:val="20"/>
                <w:szCs w:val="20"/>
                <w:color w:val="auto"/>
              </w:rPr>
            </w:pPr>
            <w:r>
              <w:rPr>
                <w:rFonts w:ascii="Arial" w:cs="Arial" w:eastAsia="Arial" w:hAnsi="Arial"/>
                <w:sz w:val="16"/>
                <w:szCs w:val="16"/>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690,695</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2,443,529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40" w:type="dxa"/>
            <w:vAlign w:val="bottom"/>
            <w:tcBorders>
              <w:bottom w:val="single" w:sz="8" w:color="auto"/>
            </w:tcBorders>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80" w:hanging="330"/>
        <w:spacing w:after="0"/>
        <w:tabs>
          <w:tab w:leader="none" w:pos="3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This includes 349,712 shares subject to unvested restricted stock unit awards and 340,983 shares subject to unvested Performance Share awards.</w:t>
      </w:r>
    </w:p>
    <w:p>
      <w:pPr>
        <w:spacing w:after="0" w:line="11" w:lineRule="exact"/>
        <w:rPr>
          <w:rFonts w:ascii="Arial" w:cs="Arial" w:eastAsia="Arial" w:hAnsi="Arial"/>
          <w:sz w:val="13"/>
          <w:szCs w:val="13"/>
          <w:color w:val="auto"/>
        </w:rPr>
      </w:pPr>
    </w:p>
    <w:p>
      <w:pPr>
        <w:ind w:left="380" w:hanging="330"/>
        <w:spacing w:after="0" w:line="221" w:lineRule="auto"/>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Restricted stock unit and Performance Share awards do not have exercise prices.</w:t>
      </w:r>
    </w:p>
    <w:p>
      <w:pPr>
        <w:ind w:left="380" w:hanging="330"/>
        <w:spacing w:after="0"/>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shares are available for issuance under the 2016 Plan.</w:t>
      </w:r>
    </w:p>
    <w:p>
      <w:pPr>
        <w:spacing w:after="0" w:line="196" w:lineRule="exact"/>
        <w:rPr>
          <w:sz w:val="20"/>
          <w:szCs w:val="20"/>
          <w:color w:val="auto"/>
        </w:rPr>
      </w:pPr>
    </w:p>
    <w:p>
      <w:pPr>
        <w:jc w:val="both"/>
        <w:ind w:left="60" w:right="279"/>
        <w:spacing w:after="0" w:line="286" w:lineRule="auto"/>
        <w:rPr>
          <w:sz w:val="20"/>
          <w:szCs w:val="20"/>
          <w:color w:val="auto"/>
        </w:rPr>
      </w:pPr>
      <w:r>
        <w:rPr>
          <w:rFonts w:ascii="Arial" w:cs="Arial" w:eastAsia="Arial" w:hAnsi="Arial"/>
          <w:sz w:val="17"/>
          <w:szCs w:val="17"/>
          <w:color w:val="auto"/>
        </w:rPr>
        <w:t>Other information required under this item will be included under the section captioned “Security Ownership of Certain Shareholders” and the subsection captioned “Security Ownership of Directors and Executive Officers” in Matson’s 2022 Proxy Statement, which section and subsection are incorporated herein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499"/>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6"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The information required under this item will be included in the section captioned “Proposal 1 – Election of Directors” and the subsection captioned “Certain Relationships and Transactions” in Matson’s 2022 Proxy Statement, which section and subsection are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0" w:right="479"/>
        <w:spacing w:after="0" w:line="311" w:lineRule="auto"/>
        <w:rPr>
          <w:sz w:val="20"/>
          <w:szCs w:val="20"/>
          <w:color w:val="auto"/>
        </w:rPr>
      </w:pPr>
      <w:r>
        <w:rPr>
          <w:rFonts w:ascii="Arial" w:cs="Arial" w:eastAsia="Arial" w:hAnsi="Arial"/>
          <w:sz w:val="16"/>
          <w:szCs w:val="16"/>
          <w:color w:val="auto"/>
        </w:rPr>
        <w:t>The information concerning principal accountant fees and services required under this item will be included under the sections captioned “Audit Committee Report” and “Ratification of Appointment of Independent Registered Public Accounting Firm” in Matson’s 2022 Proxy Statement, which sections are incorporated herein by reference.</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700" w:hanging="650"/>
        <w:spacing w:after="0"/>
        <w:tabs>
          <w:tab w:leader="none" w:pos="7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Consolidated Financial Statements are set forth in Item 8 of Part II above.</w:t>
      </w:r>
    </w:p>
    <w:p>
      <w:pPr>
        <w:spacing w:after="0" w:line="221" w:lineRule="exact"/>
        <w:rPr>
          <w:sz w:val="20"/>
          <w:szCs w:val="20"/>
          <w:color w:val="auto"/>
        </w:rPr>
      </w:pPr>
    </w:p>
    <w:p>
      <w:pPr>
        <w:ind w:left="700" w:hanging="650"/>
        <w:spacing w:after="0"/>
        <w:tabs>
          <w:tab w:leader="none" w:pos="7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60" w:right="919"/>
        <w:spacing w:after="0" w:line="308" w:lineRule="auto"/>
        <w:rPr>
          <w:sz w:val="20"/>
          <w:szCs w:val="20"/>
          <w:color w:val="auto"/>
        </w:rPr>
      </w:pPr>
      <w:r>
        <w:rPr>
          <w:rFonts w:ascii="Arial" w:cs="Arial" w:eastAsia="Arial" w:hAnsi="Arial"/>
          <w:sz w:val="17"/>
          <w:szCs w:val="17"/>
          <w:color w:val="auto"/>
        </w:rPr>
        <w:t>All schedules are omitted because of the absence of the conditions under which they are required or because the information called for is included in the Consolidated Financial Statements or notes thereto.</w:t>
      </w:r>
    </w:p>
    <w:p>
      <w:pPr>
        <w:spacing w:after="0" w:line="142" w:lineRule="exact"/>
        <w:rPr>
          <w:sz w:val="20"/>
          <w:szCs w:val="20"/>
          <w:color w:val="auto"/>
        </w:rPr>
      </w:pPr>
    </w:p>
    <w:p>
      <w:pPr>
        <w:ind w:left="700" w:hanging="650"/>
        <w:spacing w:after="0"/>
        <w:tabs>
          <w:tab w:leader="none" w:pos="7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Item 601 of Regulation S</w:t>
      </w:r>
      <w:r>
        <w:rPr>
          <w:rFonts w:ascii="Arial" w:cs="Arial" w:eastAsia="Arial" w:hAnsi="Arial"/>
          <w:sz w:val="18"/>
          <w:szCs w:val="18"/>
          <w:color w:val="auto"/>
        </w:rPr>
        <w:t>-</w:t>
      </w:r>
      <w:r>
        <w:rPr>
          <w:rFonts w:ascii="Arial" w:cs="Arial" w:eastAsia="Arial" w:hAnsi="Arial"/>
          <w:sz w:val="18"/>
          <w:szCs w:val="18"/>
          <w:b w:val="1"/>
          <w:bCs w:val="1"/>
          <w:color w:val="auto"/>
        </w:rPr>
        <w:t>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Exhibits not filed herewith are incorporated by reference to the exhibit number and previous filing shown in parentheses.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 previous exhibits were filed with the Securities and Exchange Commission in Washington, D.C.</w:t>
      </w:r>
    </w:p>
    <w:p>
      <w:pPr>
        <w:spacing w:after="0" w:line="211"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Exhibits filed pursuant to the Securities Exchange Act of 1934 were filed under file number 001-34187. Shareholders may obtain copies of exhibits for a copying and handling charge of $0.15 per page by writing to, Corporate Secretary, Matson, Inc., 555 12th Street, Oakland, California 94607.</w:t>
      </w:r>
    </w:p>
    <w:p>
      <w:pPr>
        <w:spacing w:after="0" w:line="89" w:lineRule="exact"/>
        <w:rPr>
          <w:sz w:val="20"/>
          <w:szCs w:val="20"/>
          <w:color w:val="auto"/>
        </w:rPr>
      </w:pPr>
    </w:p>
    <w:p>
      <w:pPr>
        <w:ind w:left="1120" w:hanging="1064"/>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Plan of acquisition, reorganization, arrangement, liquidation or succession.</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2.1</w:t>
            </w:r>
          </w:p>
        </w:tc>
        <w:tc>
          <w:tcPr>
            <w:tcW w:w="7120" w:type="dxa"/>
            <w:vAlign w:val="bottom"/>
            <w:tcBorders>
              <w:bottom w:val="single" w:sz="8" w:color="0000EE"/>
            </w:tcBorders>
            <w:gridSpan w:val="6"/>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Agreement and Plan of Merger, dated as of November 11, 2014, by and among Matson Navigation</w:t>
              </w:r>
            </w:hyperlink>
          </w:p>
        </w:tc>
        <w:tc>
          <w:tcPr>
            <w:tcW w:w="680" w:type="dxa"/>
            <w:vAlign w:val="bottom"/>
            <w:gridSpan w:val="7"/>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77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Company, Inc., Hogan Acquisition Inc. and Horizon Lines, Inc. (incorporated by reference to Exhibit 2.1 of</w:t>
              </w:r>
            </w:hyperlink>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Matson’s Form 8-K dated November 11, 2014).</w:t>
              </w:r>
            </w:hyperlink>
          </w:p>
        </w:tc>
        <w:tc>
          <w:tcPr>
            <w:tcW w:w="4360" w:type="dxa"/>
            <w:vAlign w:val="bottom"/>
            <w:gridSpan w:val="11"/>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2.2</w:t>
            </w:r>
          </w:p>
        </w:tc>
        <w:tc>
          <w:tcPr>
            <w:tcW w:w="7800" w:type="dxa"/>
            <w:vAlign w:val="bottom"/>
            <w:gridSpan w:val="13"/>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Amendment No. 1 to Agreement and Plan of Merger, dated as of February 13, 2015, by and among Matson</w:t>
              </w:r>
            </w:hyperlink>
          </w:p>
        </w:tc>
      </w:tr>
      <w:tr>
        <w:trPr>
          <w:trHeight w:val="196"/>
        </w:trPr>
        <w:tc>
          <w:tcPr>
            <w:tcW w:w="1060" w:type="dxa"/>
            <w:vAlign w:val="bottom"/>
          </w:tcPr>
          <w:p>
            <w:pPr>
              <w:spacing w:after="0"/>
              <w:rPr>
                <w:sz w:val="17"/>
                <w:szCs w:val="17"/>
                <w:color w:val="auto"/>
              </w:rPr>
            </w:pPr>
          </w:p>
        </w:tc>
        <w:tc>
          <w:tcPr>
            <w:tcW w:w="7720" w:type="dxa"/>
            <w:vAlign w:val="bottom"/>
            <w:tcBorders>
              <w:top w:val="single" w:sz="8" w:color="0000EE"/>
            </w:tcBorders>
            <w:gridSpan w:val="10"/>
          </w:tcPr>
          <w:p>
            <w:pPr>
              <w:spacing w:after="0" w:line="196"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Navigation Company, Inc., Hogan Acquisition Inc. and Horizon Lines, Inc. (incorporated by reference to</w:t>
              </w:r>
            </w:hyperlink>
          </w:p>
        </w:tc>
        <w:tc>
          <w:tcPr>
            <w:tcW w:w="8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Exhibit 2.1 of Matson’s Form 8-K dated February 17, 2015).</w:t>
              </w:r>
            </w:hyperlink>
          </w:p>
        </w:tc>
        <w:tc>
          <w:tcPr>
            <w:tcW w:w="3180" w:type="dxa"/>
            <w:vAlign w:val="bottom"/>
            <w:tcBorders>
              <w:top w:val="single" w:sz="8" w:color="0000EE"/>
            </w:tcBorders>
            <w:gridSpan w:val="6"/>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2.3</w:t>
            </w:r>
          </w:p>
        </w:tc>
        <w:tc>
          <w:tcPr>
            <w:tcW w:w="7800" w:type="dxa"/>
            <w:vAlign w:val="bottom"/>
            <w:gridSpan w:val="13"/>
          </w:tcPr>
          <w:p>
            <w:pPr>
              <w:spacing w:after="0"/>
              <w:rPr>
                <w:rFonts w:ascii="Arial" w:cs="Arial" w:eastAsia="Arial" w:hAnsi="Arial"/>
                <w:sz w:val="18"/>
                <w:szCs w:val="18"/>
                <w:color w:val="0000EE"/>
                <w:w w:val="93"/>
              </w:rPr>
            </w:pPr>
            <w:hyperlink r:id="rId108">
              <w:r>
                <w:rPr>
                  <w:rFonts w:ascii="Arial" w:cs="Arial" w:eastAsia="Arial" w:hAnsi="Arial"/>
                  <w:sz w:val="18"/>
                  <w:szCs w:val="18"/>
                  <w:color w:val="0000EE"/>
                  <w:w w:val="93"/>
                </w:rPr>
                <w:t>Contribution, Assumption and Purchase Agreement, dated as of November 11, 2014, by and among The</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Pasha Group, SR Holding LLC, Horizon Lines, Inc. and Sunrise Operations LLC (incorporated by reference</w:t>
              </w:r>
            </w:hyperlink>
          </w:p>
        </w:tc>
      </w:tr>
      <w:tr>
        <w:trPr>
          <w:trHeight w:val="196"/>
        </w:trPr>
        <w:tc>
          <w:tcPr>
            <w:tcW w:w="1060" w:type="dxa"/>
            <w:vAlign w:val="bottom"/>
          </w:tcPr>
          <w:p>
            <w:pPr>
              <w:spacing w:after="0"/>
              <w:rPr>
                <w:sz w:val="17"/>
                <w:szCs w:val="17"/>
                <w:color w:val="auto"/>
              </w:rPr>
            </w:pPr>
          </w:p>
        </w:tc>
        <w:tc>
          <w:tcPr>
            <w:tcW w:w="7800" w:type="dxa"/>
            <w:vAlign w:val="bottom"/>
            <w:gridSpan w:val="13"/>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to Exhibit 2.2 of Horizon Lines, Inc.’s Form 8-K dated November 13, 2014).</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2.4</w:t>
            </w:r>
          </w:p>
        </w:tc>
        <w:tc>
          <w:tcPr>
            <w:tcW w:w="7800" w:type="dxa"/>
            <w:vAlign w:val="bottom"/>
            <w:gridSpan w:val="13"/>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Amendment No. 1 to the Contribution, Assumption and Purchase Agreement, dated as of May 29, 2015, by</w:t>
              </w:r>
            </w:hyperlink>
          </w:p>
        </w:tc>
      </w:tr>
      <w:tr>
        <w:trPr>
          <w:trHeight w:val="196"/>
        </w:trPr>
        <w:tc>
          <w:tcPr>
            <w:tcW w:w="106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and among The Pasha Group, SR Holding LLC, Horizon Lines, Inc. and Sunrise Operations LLC</w:t>
              </w:r>
            </w:hyperlink>
          </w:p>
        </w:tc>
        <w:tc>
          <w:tcPr>
            <w:tcW w:w="72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4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(incorporated by reference to Exhibit 2.2 of Matson’s Form 10-Q for the quarter ended June 30, 2015).</w:t>
              </w:r>
            </w:hyperlink>
          </w:p>
        </w:tc>
        <w:tc>
          <w:tcPr>
            <w:tcW w:w="400" w:type="dxa"/>
            <w:vAlign w:val="bottom"/>
            <w:gridSpan w:val="6"/>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2.5</w:t>
            </w:r>
          </w:p>
        </w:tc>
        <w:tc>
          <w:tcPr>
            <w:tcW w:w="7800" w:type="dxa"/>
            <w:vAlign w:val="bottom"/>
            <w:tcBorders>
              <w:bottom w:val="single" w:sz="8" w:color="0000EE"/>
            </w:tcBorders>
            <w:gridSpan w:val="13"/>
          </w:tcPr>
          <w:p>
            <w:pPr>
              <w:spacing w:after="0"/>
              <w:rPr>
                <w:rFonts w:ascii="Arial" w:cs="Arial" w:eastAsia="Arial" w:hAnsi="Arial"/>
                <w:sz w:val="18"/>
                <w:szCs w:val="18"/>
                <w:color w:val="0000EE"/>
                <w:w w:val="89"/>
              </w:rPr>
            </w:pPr>
            <w:hyperlink r:id="rId110">
              <w:r>
                <w:rPr>
                  <w:rFonts w:ascii="Arial" w:cs="Arial" w:eastAsia="Arial" w:hAnsi="Arial"/>
                  <w:sz w:val="18"/>
                  <w:szCs w:val="18"/>
                  <w:color w:val="0000EE"/>
                  <w:w w:val="89"/>
                </w:rPr>
                <w:t>Membership Interest Purchase Agreement, dated as of July 18, 2016, by and between Matson Logistics, Inc.</w:t>
              </w:r>
            </w:hyperlink>
          </w:p>
        </w:tc>
      </w:tr>
      <w:tr>
        <w:trPr>
          <w:trHeight w:val="196"/>
        </w:trPr>
        <w:tc>
          <w:tcPr>
            <w:tcW w:w="1060" w:type="dxa"/>
            <w:vAlign w:val="bottom"/>
          </w:tcPr>
          <w:p>
            <w:pPr>
              <w:spacing w:after="0"/>
              <w:rPr>
                <w:sz w:val="17"/>
                <w:szCs w:val="17"/>
                <w:color w:val="auto"/>
              </w:rPr>
            </w:pPr>
          </w:p>
        </w:tc>
        <w:tc>
          <w:tcPr>
            <w:tcW w:w="7800" w:type="dxa"/>
            <w:vAlign w:val="bottom"/>
            <w:gridSpan w:val="13"/>
          </w:tcPr>
          <w:p>
            <w:pPr>
              <w:spacing w:after="0" w:line="196" w:lineRule="exact"/>
              <w:rPr>
                <w:rFonts w:ascii="Arial" w:cs="Arial" w:eastAsia="Arial" w:hAnsi="Arial"/>
                <w:sz w:val="18"/>
                <w:szCs w:val="18"/>
                <w:color w:val="0000EE"/>
                <w:w w:val="95"/>
              </w:rPr>
            </w:pPr>
            <w:hyperlink r:id="rId110">
              <w:r>
                <w:rPr>
                  <w:rFonts w:ascii="Arial" w:cs="Arial" w:eastAsia="Arial" w:hAnsi="Arial"/>
                  <w:sz w:val="18"/>
                  <w:szCs w:val="18"/>
                  <w:color w:val="0000EE"/>
                  <w:w w:val="95"/>
                </w:rPr>
                <w:t>and Span Holdings, LLC (incorporated by reference to Exhibit 2.1 of Matson’s Form 8-K dated July 19,</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0">
              <w:r>
                <w:rPr>
                  <w:rFonts w:ascii="Arial" w:cs="Arial" w:eastAsia="Arial" w:hAnsi="Arial"/>
                  <w:sz w:val="18"/>
                  <w:szCs w:val="18"/>
                  <w:color w:val="0000EE"/>
                  <w:w w:val="86"/>
                </w:rPr>
                <w:t>2016).</w:t>
              </w:r>
            </w:hyperlink>
          </w:p>
        </w:tc>
        <w:tc>
          <w:tcPr>
            <w:tcW w:w="29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229" w:lineRule="exact"/>
        <w:rPr>
          <w:sz w:val="20"/>
          <w:szCs w:val="20"/>
          <w:color w:val="auto"/>
        </w:rPr>
      </w:pPr>
    </w:p>
    <w:p>
      <w:pPr>
        <w:ind w:left="1120" w:hanging="1064"/>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3.1</w:t>
            </w:r>
          </w:p>
        </w:tc>
        <w:tc>
          <w:tcPr>
            <w:tcW w:w="7820" w:type="dxa"/>
            <w:vAlign w:val="bottom"/>
            <w:tcBorders>
              <w:bottom w:val="single" w:sz="8" w:color="0000EE"/>
            </w:tcBorders>
            <w:gridSpan w:val="6"/>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Amended and Restated Articles of Incorporation of Matson, Inc. (incorporated by reference to Exhibit 3.1 of</w:t>
              </w:r>
            </w:hyperlink>
          </w:p>
        </w:tc>
      </w:tr>
      <w:tr>
        <w:trPr>
          <w:trHeight w:val="196"/>
        </w:trPr>
        <w:tc>
          <w:tcPr>
            <w:tcW w:w="1060" w:type="dxa"/>
            <w:vAlign w:val="bottom"/>
          </w:tcPr>
          <w:p>
            <w:pPr>
              <w:spacing w:after="0"/>
              <w:rPr>
                <w:sz w:val="17"/>
                <w:szCs w:val="17"/>
                <w:color w:val="auto"/>
              </w:rPr>
            </w:pPr>
          </w:p>
        </w:tc>
        <w:tc>
          <w:tcPr>
            <w:tcW w:w="42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Matson’s Form 10-Q for the quarter ended June 30, 2012).</w:t>
              </w:r>
            </w:hyperlink>
          </w:p>
        </w:tc>
        <w:tc>
          <w:tcPr>
            <w:tcW w:w="3600" w:type="dxa"/>
            <w:vAlign w:val="bottom"/>
            <w:gridSpan w:val="4"/>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3.2</w:t>
            </w:r>
          </w:p>
        </w:tc>
        <w:tc>
          <w:tcPr>
            <w:tcW w:w="7820" w:type="dxa"/>
            <w:vAlign w:val="bottom"/>
            <w:gridSpan w:val="6"/>
          </w:tcPr>
          <w:p>
            <w:pPr>
              <w:spacing w:after="0"/>
              <w:rPr>
                <w:rFonts w:ascii="Arial" w:cs="Arial" w:eastAsia="Arial" w:hAnsi="Arial"/>
                <w:sz w:val="18"/>
                <w:szCs w:val="18"/>
                <w:color w:val="0000EE"/>
                <w:w w:val="94"/>
              </w:rPr>
            </w:pPr>
            <w:hyperlink r:id="rId112">
              <w:r>
                <w:rPr>
                  <w:rFonts w:ascii="Arial" w:cs="Arial" w:eastAsia="Arial" w:hAnsi="Arial"/>
                  <w:sz w:val="18"/>
                  <w:szCs w:val="18"/>
                  <w:color w:val="0000EE"/>
                  <w:w w:val="94"/>
                </w:rPr>
                <w:t>Articles of Amendment to Change Corporate Name (incorporated by reference to Exhibit 4.2 of Matson’s</w:t>
              </w:r>
            </w:hyperlink>
          </w:p>
        </w:tc>
      </w:tr>
      <w:tr>
        <w:trPr>
          <w:trHeight w:val="196"/>
        </w:trPr>
        <w:tc>
          <w:tcPr>
            <w:tcW w:w="1060" w:type="dxa"/>
            <w:vAlign w:val="bottom"/>
          </w:tcPr>
          <w:p>
            <w:pPr>
              <w:spacing w:after="0"/>
              <w:rPr>
                <w:sz w:val="17"/>
                <w:szCs w:val="17"/>
                <w:color w:val="auto"/>
              </w:rPr>
            </w:pPr>
          </w:p>
        </w:tc>
        <w:tc>
          <w:tcPr>
            <w:tcW w:w="76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Form S-8 dated October 26, 2012).</w:t>
              </w:r>
            </w:hyperlink>
          </w:p>
        </w:tc>
        <w:tc>
          <w:tcPr>
            <w:tcW w:w="2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12"/>
        </w:trPr>
        <w:tc>
          <w:tcPr>
            <w:tcW w:w="1060" w:type="dxa"/>
            <w:vAlign w:val="bottom"/>
          </w:tcPr>
          <w:p>
            <w:pPr>
              <w:jc w:val="right"/>
              <w:ind w:right="750"/>
              <w:spacing w:after="0"/>
              <w:rPr>
                <w:sz w:val="20"/>
                <w:szCs w:val="20"/>
                <w:color w:val="auto"/>
              </w:rPr>
            </w:pPr>
            <w:r>
              <w:rPr>
                <w:rFonts w:ascii="Arial" w:cs="Arial" w:eastAsia="Arial" w:hAnsi="Arial"/>
                <w:sz w:val="18"/>
                <w:szCs w:val="18"/>
                <w:color w:val="auto"/>
                <w:w w:val="79"/>
              </w:rPr>
              <w:t>3.3</w:t>
            </w:r>
          </w:p>
        </w:tc>
        <w:tc>
          <w:tcPr>
            <w:tcW w:w="7820" w:type="dxa"/>
            <w:vAlign w:val="bottom"/>
            <w:gridSpan w:val="6"/>
          </w:tcPr>
          <w:p>
            <w:pPr>
              <w:spacing w:after="0"/>
              <w:rPr>
                <w:rFonts w:ascii="Arial" w:cs="Arial" w:eastAsia="Arial" w:hAnsi="Arial"/>
                <w:sz w:val="18"/>
                <w:szCs w:val="18"/>
                <w:color w:val="0000EE"/>
                <w:w w:val="94"/>
              </w:rPr>
            </w:pPr>
            <w:hyperlink r:id="rId113">
              <w:r>
                <w:rPr>
                  <w:rFonts w:ascii="Arial" w:cs="Arial" w:eastAsia="Arial" w:hAnsi="Arial"/>
                  <w:sz w:val="18"/>
                  <w:szCs w:val="18"/>
                  <w:color w:val="0000EE"/>
                  <w:w w:val="94"/>
                </w:rPr>
                <w:t>Amended and Restated Bylaws of Matson, Inc. (as amended as of November 6, 2013) (incorporated by</w:t>
              </w:r>
            </w:hyperlink>
          </w:p>
        </w:tc>
      </w:tr>
      <w:tr>
        <w:trPr>
          <w:trHeight w:val="196"/>
        </w:trPr>
        <w:tc>
          <w:tcPr>
            <w:tcW w:w="10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reference to Exhibit 3.1 of Matson’s Form 10-Q for the quarter ended September 30, 2013).</w:t>
              </w:r>
            </w:hyperlink>
          </w:p>
        </w:tc>
        <w:tc>
          <w:tcPr>
            <w:tcW w:w="820" w:type="dxa"/>
            <w:vAlign w:val="bottom"/>
            <w:tcBorders>
              <w:top w:val="single" w:sz="8" w:color="0000EE"/>
            </w:tcBorders>
          </w:tcPr>
          <w:p>
            <w:pPr>
              <w:spacing w:after="0"/>
              <w:rPr>
                <w:sz w:val="17"/>
                <w:szCs w:val="17"/>
                <w:color w:val="auto"/>
              </w:rPr>
            </w:pPr>
          </w:p>
        </w:tc>
        <w:tc>
          <w:tcPr>
            <w:tcW w:w="400" w:type="dxa"/>
            <w:vAlign w:val="bottom"/>
            <w:gridSpan w:val="2"/>
          </w:tcPr>
          <w:p>
            <w:pPr>
              <w:spacing w:after="0"/>
              <w:rPr>
                <w:sz w:val="17"/>
                <w:szCs w:val="17"/>
                <w:color w:val="auto"/>
              </w:rPr>
            </w:pPr>
          </w:p>
        </w:tc>
      </w:tr>
    </w:tbl>
    <w:p>
      <w:pPr>
        <w:spacing w:after="0" w:line="229" w:lineRule="exact"/>
        <w:rPr>
          <w:sz w:val="20"/>
          <w:szCs w:val="20"/>
          <w:color w:val="auto"/>
        </w:rPr>
      </w:pPr>
    </w:p>
    <w:p>
      <w:pPr>
        <w:ind w:left="1120" w:right="179" w:hanging="1064"/>
        <w:spacing w:after="0" w:line="277" w:lineRule="auto"/>
        <w:tabs>
          <w:tab w:leader="none" w:pos="1120" w:val="left"/>
        </w:tabs>
        <w:numPr>
          <w:ilvl w:val="0"/>
          <w:numId w:val="71"/>
        </w:numPr>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Description of Registered Securities (incorporated by reference to Exhibit 4 of Matson’s Form 10-K for the</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year ended December 31, 2019).</w:t>
        </w:r>
      </w:hyperlink>
    </w:p>
    <w:p>
      <w:pPr>
        <w:sectPr>
          <w:pgSz w:w="11900" w:h="16838" w:orient="portrait"/>
          <w:cols w:equalWidth="0" w:num="1">
            <w:col w:w="9019"/>
          </w:cols>
          <w:pgMar w:left="1440" w:top="517" w:right="1440" w:bottom="1440" w:gutter="0" w:footer="0" w:header="0"/>
        </w:sectPr>
      </w:pPr>
    </w:p>
    <w:p>
      <w:pPr>
        <w:spacing w:after="0" w:line="386"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w:t>
            </w:r>
          </w:p>
        </w:tc>
        <w:tc>
          <w:tcPr>
            <w:tcW w:w="7840" w:type="dxa"/>
            <w:vAlign w:val="bottom"/>
            <w:gridSpan w:val="34"/>
          </w:tcPr>
          <w:p>
            <w:pPr>
              <w:spacing w:after="0"/>
              <w:rPr>
                <w:sz w:val="20"/>
                <w:szCs w:val="20"/>
                <w:color w:val="auto"/>
              </w:rPr>
            </w:pPr>
            <w:r>
              <w:rPr>
                <w:rFonts w:ascii="Arial" w:cs="Arial" w:eastAsia="Arial" w:hAnsi="Arial"/>
                <w:sz w:val="18"/>
                <w:szCs w:val="18"/>
                <w:color w:val="auto"/>
              </w:rPr>
              <w:t>Material contracts.</w:t>
            </w:r>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7360" w:type="dxa"/>
            <w:vAlign w:val="bottom"/>
            <w:tcBorders>
              <w:bottom w:val="single" w:sz="8" w:color="0000EE"/>
            </w:tcBorders>
            <w:gridSpan w:val="16"/>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Second Amended and Restated Credit Agreement among Matson, Inc., Bank of America, N.A., as the</w:t>
              </w:r>
            </w:hyperlink>
          </w:p>
        </w:tc>
        <w:tc>
          <w:tcPr>
            <w:tcW w:w="480" w:type="dxa"/>
            <w:vAlign w:val="bottom"/>
            <w:gridSpan w:val="1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5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Agent, and the lenders thereto, dated as of March 31, 2021 (incorporated by reference to Exhibit 10.1 of</w:t>
              </w:r>
            </w:hyperlink>
          </w:p>
        </w:tc>
        <w:tc>
          <w:tcPr>
            <w:tcW w:w="340" w:type="dxa"/>
            <w:vAlign w:val="bottom"/>
            <w:gridSpan w:val="1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9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Matson’s Form 8-K dated April 5, 2021).</w:t>
              </w:r>
            </w:hyperlink>
          </w:p>
        </w:tc>
        <w:tc>
          <w:tcPr>
            <w:tcW w:w="4860" w:type="dxa"/>
            <w:vAlign w:val="bottom"/>
            <w:gridSpan w:val="30"/>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7240" w:type="dxa"/>
            <w:vAlign w:val="bottom"/>
            <w:tcBorders>
              <w:bottom w:val="single" w:sz="8" w:color="0000EE"/>
            </w:tcBorders>
            <w:gridSpan w:val="13"/>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Amendment to Third Amended and Restated Note Purchase Agreement among Matson, Inc. and the</w:t>
              </w:r>
            </w:hyperlink>
          </w:p>
        </w:tc>
        <w:tc>
          <w:tcPr>
            <w:tcW w:w="600" w:type="dxa"/>
            <w:vAlign w:val="bottom"/>
            <w:gridSpan w:val="2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74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purchasers named therein, dated as of June 29, 2017 (incorporated by reference to Exhibit 10.4 of Matson’s</w:t>
              </w:r>
            </w:hyperlink>
          </w:p>
        </w:tc>
        <w:tc>
          <w:tcPr>
            <w:tcW w:w="10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4"/>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Form 8-K dated June 30, 2017).</w:t>
              </w:r>
            </w:hyperlink>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7820" w:type="dxa"/>
            <w:vAlign w:val="bottom"/>
            <w:tcBorders>
              <w:bottom w:val="single" w:sz="8" w:color="0000EE"/>
            </w:tcBorders>
            <w:gridSpan w:val="33"/>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Amendment to Note Purchase Agreement among Matson, Inc. and the purchasers named therein, dated as of</w:t>
              </w:r>
            </w:hyperlink>
          </w:p>
        </w:tc>
        <w:tc>
          <w:tcPr>
            <w:tcW w:w="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4"/>
          </w:tcPr>
          <w:p>
            <w:pPr>
              <w:spacing w:after="0" w:line="196" w:lineRule="exact"/>
              <w:rPr>
                <w:rFonts w:ascii="Arial" w:cs="Arial" w:eastAsia="Arial" w:hAnsi="Arial"/>
                <w:sz w:val="18"/>
                <w:szCs w:val="18"/>
                <w:color w:val="0000EE"/>
                <w:w w:val="96"/>
              </w:rPr>
            </w:pPr>
            <w:hyperlink r:id="rId118">
              <w:r>
                <w:rPr>
                  <w:rFonts w:ascii="Arial" w:cs="Arial" w:eastAsia="Arial" w:hAnsi="Arial"/>
                  <w:sz w:val="18"/>
                  <w:szCs w:val="18"/>
                  <w:color w:val="0000EE"/>
                  <w:w w:val="96"/>
                </w:rPr>
                <w:t>June 29, 2017 (incorporated by reference to Exhibit 10.5 of Matson’s Form 8-K dated June 30, 2017).</w:t>
              </w:r>
            </w:hyperlink>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7660" w:type="dxa"/>
            <w:vAlign w:val="bottom"/>
            <w:tcBorders>
              <w:bottom w:val="single" w:sz="8" w:color="0000EE"/>
            </w:tcBorders>
            <w:gridSpan w:val="27"/>
          </w:tcPr>
          <w:p>
            <w:pPr>
              <w:spacing w:after="0"/>
              <w:rPr>
                <w:rFonts w:ascii="Arial" w:cs="Arial" w:eastAsia="Arial" w:hAnsi="Arial"/>
                <w:sz w:val="18"/>
                <w:szCs w:val="18"/>
                <w:color w:val="0000EE"/>
                <w:w w:val="89"/>
              </w:rPr>
            </w:pPr>
            <w:hyperlink r:id="rId119">
              <w:r>
                <w:rPr>
                  <w:rFonts w:ascii="Arial" w:cs="Arial" w:eastAsia="Arial" w:hAnsi="Arial"/>
                  <w:sz w:val="18"/>
                  <w:szCs w:val="18"/>
                  <w:color w:val="0000EE"/>
                  <w:w w:val="89"/>
                </w:rPr>
                <w:t>Note Purchase Agreement among Matson, Inc. and the purchasers party thereto, dated as of December 21,</w:t>
              </w:r>
            </w:hyperlink>
          </w:p>
        </w:tc>
        <w:tc>
          <w:tcPr>
            <w:tcW w:w="18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1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2016 (incorporated by reference to Exhibit 10.1 of Matson’s Form 8-K dated December 22, 2016).</w:t>
              </w:r>
            </w:hyperlink>
          </w:p>
        </w:tc>
        <w:tc>
          <w:tcPr>
            <w:tcW w:w="740" w:type="dxa"/>
            <w:vAlign w:val="bottom"/>
            <w:gridSpan w:val="24"/>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10.5</w:t>
            </w:r>
          </w:p>
        </w:tc>
        <w:tc>
          <w:tcPr>
            <w:tcW w:w="7400" w:type="dxa"/>
            <w:vAlign w:val="bottom"/>
            <w:tcBorders>
              <w:bottom w:val="single" w:sz="8" w:color="0000EE"/>
            </w:tcBorders>
            <w:gridSpan w:val="18"/>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Third Amended and Restated Note Purchase and Private Shelf Agreement among Matson, Inc. and the</w:t>
              </w:r>
            </w:hyperlink>
          </w:p>
        </w:tc>
        <w:tc>
          <w:tcPr>
            <w:tcW w:w="440" w:type="dxa"/>
            <w:vAlign w:val="bottom"/>
            <w:gridSpan w:val="1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3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purchasers party thereto, dated as of September 14, 2016 (incorporated by reference to Exhibit 10.1 of</w:t>
              </w:r>
            </w:hyperlink>
          </w:p>
        </w:tc>
        <w:tc>
          <w:tcPr>
            <w:tcW w:w="480" w:type="dxa"/>
            <w:vAlign w:val="bottom"/>
            <w:gridSpan w:val="1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Matson’s Form 8-K dated September 14, 2016).</w:t>
              </w:r>
            </w:hyperlink>
          </w:p>
        </w:tc>
        <w:tc>
          <w:tcPr>
            <w:tcW w:w="4380" w:type="dxa"/>
            <w:vAlign w:val="bottom"/>
            <w:gridSpan w:val="28"/>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10.6</w:t>
            </w:r>
          </w:p>
        </w:tc>
        <w:tc>
          <w:tcPr>
            <w:tcW w:w="7620" w:type="dxa"/>
            <w:vAlign w:val="bottom"/>
            <w:tcBorders>
              <w:bottom w:val="single" w:sz="8" w:color="0000EE"/>
            </w:tcBorders>
            <w:gridSpan w:val="25"/>
          </w:tcPr>
          <w:p>
            <w:pPr>
              <w:spacing w:after="0"/>
              <w:rPr>
                <w:rFonts w:ascii="Arial" w:cs="Arial" w:eastAsia="Arial" w:hAnsi="Arial"/>
                <w:sz w:val="18"/>
                <w:szCs w:val="18"/>
                <w:color w:val="0000EE"/>
                <w:w w:val="89"/>
              </w:rPr>
            </w:pPr>
            <w:hyperlink r:id="rId121">
              <w:r>
                <w:rPr>
                  <w:rFonts w:ascii="Arial" w:cs="Arial" w:eastAsia="Arial" w:hAnsi="Arial"/>
                  <w:sz w:val="18"/>
                  <w:szCs w:val="18"/>
                  <w:color w:val="0000EE"/>
                  <w:w w:val="89"/>
                </w:rPr>
                <w:t>Amendment to Third Amended and Restated Note Purchase and Private Shelf Agreement among Matson,</w:t>
              </w:r>
            </w:hyperlink>
          </w:p>
        </w:tc>
        <w:tc>
          <w:tcPr>
            <w:tcW w:w="22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4"/>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Inc. and the purchasers named therein, dated as of March 31, 2020 (incorporated by reference to Exhibit</w:t>
              </w:r>
            </w:hyperlink>
          </w:p>
        </w:tc>
      </w:tr>
      <w:tr>
        <w:trPr>
          <w:trHeight w:val="196"/>
        </w:trPr>
        <w:tc>
          <w:tcPr>
            <w:tcW w:w="1060" w:type="dxa"/>
            <w:vAlign w:val="bottom"/>
          </w:tcPr>
          <w:p>
            <w:pPr>
              <w:spacing w:after="0"/>
              <w:rPr>
                <w:sz w:val="17"/>
                <w:szCs w:val="17"/>
                <w:color w:val="auto"/>
              </w:rPr>
            </w:pPr>
          </w:p>
        </w:tc>
        <w:tc>
          <w:tcPr>
            <w:tcW w:w="7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10.</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of Matson’s Form 8-K dated April 6, 2020).</w:t>
              </w:r>
            </w:hyperlink>
          </w:p>
        </w:tc>
        <w:tc>
          <w:tcPr>
            <w:tcW w:w="340" w:type="dxa"/>
            <w:vAlign w:val="bottom"/>
            <w:gridSpan w:val="1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10.7</w:t>
            </w:r>
          </w:p>
        </w:tc>
        <w:tc>
          <w:tcPr>
            <w:tcW w:w="7340" w:type="dxa"/>
            <w:vAlign w:val="bottom"/>
            <w:tcBorders>
              <w:bottom w:val="single" w:sz="8" w:color="0000EE"/>
            </w:tcBorders>
            <w:gridSpan w:val="15"/>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Amendment to December 21, 2016 Note Purchase Agreement among Matson, Inc. and the purchasers</w:t>
              </w:r>
            </w:hyperlink>
          </w:p>
        </w:tc>
        <w:tc>
          <w:tcPr>
            <w:tcW w:w="500" w:type="dxa"/>
            <w:vAlign w:val="bottom"/>
            <w:gridSpan w:val="1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named therein, dated as of March 31, 2020 (incorporated by reference to Exhibit 10.5 of Matson’s Form 8-K</w:t>
              </w:r>
            </w:hyperlink>
          </w:p>
        </w:tc>
        <w:tc>
          <w:tcPr>
            <w:tcW w:w="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4"/>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dated April 6, 2020).</w:t>
              </w:r>
            </w:hyperlink>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10.8</w:t>
            </w:r>
          </w:p>
        </w:tc>
        <w:tc>
          <w:tcPr>
            <w:tcW w:w="7480" w:type="dxa"/>
            <w:vAlign w:val="bottom"/>
            <w:tcBorders>
              <w:bottom w:val="single" w:sz="8" w:color="0000EE"/>
            </w:tcBorders>
            <w:gridSpan w:val="20"/>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Amended and Restated Limited Liability Company Agreement of SSA Terminals, LLC by and between</w:t>
              </w:r>
            </w:hyperlink>
          </w:p>
        </w:tc>
        <w:tc>
          <w:tcPr>
            <w:tcW w:w="360" w:type="dxa"/>
            <w:vAlign w:val="bottom"/>
            <w:gridSpan w:val="1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4"/>
          </w:tcPr>
          <w:p>
            <w:pPr>
              <w:spacing w:after="0" w:line="196"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SSA Ventures, Inc. and Matson Ventures, Inc., dated as of April 24, 2002 (certain portions of this exhibit</w:t>
              </w:r>
            </w:hyperlink>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4"/>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have been omitted pursuant to a confidential treatment request submitted to the Commission) (incorporated</w:t>
              </w:r>
            </w:hyperlink>
          </w:p>
        </w:tc>
      </w:tr>
      <w:tr>
        <w:trPr>
          <w:trHeight w:val="196"/>
        </w:trPr>
        <w:tc>
          <w:tcPr>
            <w:tcW w:w="1060" w:type="dxa"/>
            <w:vAlign w:val="bottom"/>
          </w:tcPr>
          <w:p>
            <w:pPr>
              <w:spacing w:after="0"/>
              <w:rPr>
                <w:sz w:val="17"/>
                <w:szCs w:val="17"/>
                <w:color w:val="auto"/>
              </w:rPr>
            </w:pPr>
          </w:p>
        </w:tc>
        <w:tc>
          <w:tcPr>
            <w:tcW w:w="77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by reference to Exhibit 10.1 of Matson’s Form 10-Q for the quarter ended June 30, 2012).</w:t>
              </w:r>
            </w:hyperlink>
          </w:p>
        </w:tc>
        <w:tc>
          <w:tcPr>
            <w:tcW w:w="120" w:type="dxa"/>
            <w:vAlign w:val="bottom"/>
            <w:gridSpan w:val="5"/>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10.9</w:t>
            </w:r>
          </w:p>
        </w:tc>
        <w:tc>
          <w:tcPr>
            <w:tcW w:w="7840" w:type="dxa"/>
            <w:vAlign w:val="bottom"/>
            <w:gridSpan w:val="34"/>
          </w:tcPr>
          <w:p>
            <w:pPr>
              <w:spacing w:after="0"/>
              <w:rPr>
                <w:rFonts w:ascii="Arial" w:cs="Arial" w:eastAsia="Arial" w:hAnsi="Arial"/>
                <w:sz w:val="18"/>
                <w:szCs w:val="18"/>
                <w:color w:val="0000EE"/>
                <w:w w:val="98"/>
              </w:rPr>
            </w:pPr>
            <w:hyperlink r:id="rId124">
              <w:r>
                <w:rPr>
                  <w:rFonts w:ascii="Arial" w:cs="Arial" w:eastAsia="Arial" w:hAnsi="Arial"/>
                  <w:sz w:val="18"/>
                  <w:szCs w:val="18"/>
                  <w:color w:val="0000EE"/>
                  <w:w w:val="98"/>
                </w:rPr>
                <w:t>Parent Company Agreement, dated as of April 24, 2002, by and among SSA Pacific Terminals, Inc.,</w:t>
              </w:r>
            </w:hyperlink>
          </w:p>
        </w:tc>
      </w:tr>
      <w:tr>
        <w:trPr>
          <w:trHeight w:val="196"/>
        </w:trPr>
        <w:tc>
          <w:tcPr>
            <w:tcW w:w="1060" w:type="dxa"/>
            <w:vAlign w:val="bottom"/>
          </w:tcPr>
          <w:p>
            <w:pPr>
              <w:spacing w:after="0"/>
              <w:rPr>
                <w:sz w:val="17"/>
                <w:szCs w:val="17"/>
                <w:color w:val="auto"/>
              </w:rPr>
            </w:pPr>
          </w:p>
        </w:tc>
        <w:tc>
          <w:tcPr>
            <w:tcW w:w="722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formerly known as Stevedoring Services of America, Inc., SSA Ventures, Inc., Matson Navigation</w:t>
              </w:r>
            </w:hyperlink>
          </w:p>
        </w:tc>
        <w:tc>
          <w:tcPr>
            <w:tcW w:w="620" w:type="dxa"/>
            <w:vAlign w:val="bottom"/>
            <w:gridSpan w:val="2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4"/>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Company, Inc. and Matson Ventures, Inc. (incorporated by reference to Exhibit 10.2 of Matson’s Form 10-Q</w:t>
              </w:r>
            </w:hyperlink>
          </w:p>
        </w:tc>
      </w:tr>
      <w:tr>
        <w:trPr>
          <w:trHeight w:val="196"/>
        </w:trPr>
        <w:tc>
          <w:tcPr>
            <w:tcW w:w="1060" w:type="dxa"/>
            <w:vAlign w:val="bottom"/>
          </w:tcPr>
          <w:p>
            <w:pPr>
              <w:spacing w:after="0"/>
              <w:rPr>
                <w:sz w:val="17"/>
                <w:szCs w:val="17"/>
                <w:color w:val="auto"/>
              </w:rPr>
            </w:pPr>
          </w:p>
        </w:tc>
        <w:tc>
          <w:tcPr>
            <w:tcW w:w="78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for the quarter ended June 30, 2012).</w:t>
              </w:r>
            </w:hyperlink>
          </w:p>
        </w:tc>
        <w:tc>
          <w:tcPr>
            <w:tcW w:w="40" w:type="dxa"/>
            <w:vAlign w:val="bottom"/>
            <w:gridSpan w:val="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10.10</w:t>
            </w:r>
          </w:p>
        </w:tc>
        <w:tc>
          <w:tcPr>
            <w:tcW w:w="7840" w:type="dxa"/>
            <w:vAlign w:val="bottom"/>
            <w:gridSpan w:val="34"/>
          </w:tcPr>
          <w:p>
            <w:pPr>
              <w:spacing w:after="0"/>
              <w:rPr>
                <w:rFonts w:ascii="Arial" w:cs="Arial" w:eastAsia="Arial" w:hAnsi="Arial"/>
                <w:sz w:val="18"/>
                <w:szCs w:val="18"/>
                <w:color w:val="0000EE"/>
                <w:w w:val="95"/>
              </w:rPr>
            </w:pPr>
            <w:hyperlink r:id="rId125">
              <w:r>
                <w:rPr>
                  <w:rFonts w:ascii="Arial" w:cs="Arial" w:eastAsia="Arial" w:hAnsi="Arial"/>
                  <w:sz w:val="18"/>
                  <w:szCs w:val="18"/>
                  <w:color w:val="0000EE"/>
                  <w:w w:val="95"/>
                </w:rPr>
                <w:t>Security Agreement between Matson Navigation Company, Inc. and the United States of America, with</w:t>
              </w:r>
            </w:hyperlink>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0" w:type="dxa"/>
            <w:vAlign w:val="bottom"/>
            <w:tcBorders>
              <w:left w:val="single" w:sz="8" w:color="0000EE"/>
            </w:tcBorders>
            <w:gridSpan w:val="4"/>
            <w:shd w:val="clear" w:color="auto" w:fill="0000EE"/>
          </w:tcPr>
          <w:p>
            <w:pPr>
              <w:spacing w:after="0" w:line="20" w:lineRule="exact"/>
              <w:rPr>
                <w:sz w:val="1"/>
                <w:szCs w:val="1"/>
                <w:color w:val="auto"/>
              </w:rPr>
            </w:pPr>
          </w:p>
        </w:tc>
        <w:tc>
          <w:tcPr>
            <w:tcW w:w="4020" w:type="dxa"/>
            <w:vAlign w:val="bottom"/>
            <w:gridSpan w:val="6"/>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4"/>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 xml:space="preserve">respect to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55 million of Title XI ship financing bonds, dated July 29, 2004 (incorporated by reference to</w:t>
              </w:r>
            </w:hyperlink>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0" w:type="dxa"/>
            <w:vAlign w:val="bottom"/>
            <w:tcBorders>
              <w:left w:val="single" w:sz="8" w:color="0000EE"/>
            </w:tcBorders>
            <w:gridSpan w:val="4"/>
            <w:shd w:val="clear" w:color="auto" w:fill="0000EE"/>
          </w:tcPr>
          <w:p>
            <w:pPr>
              <w:spacing w:after="0" w:line="20" w:lineRule="exact"/>
              <w:rPr>
                <w:sz w:val="1"/>
                <w:szCs w:val="1"/>
                <w:color w:val="auto"/>
              </w:rPr>
            </w:pPr>
          </w:p>
        </w:tc>
        <w:tc>
          <w:tcPr>
            <w:tcW w:w="4020" w:type="dxa"/>
            <w:vAlign w:val="bottom"/>
            <w:gridSpan w:val="6"/>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68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Exhibit 10.a.(xxvi) of Alexander &amp; Baldwin, Inc.’s Form 10-Q for the quarter ended September 30, 2004).</w:t>
              </w:r>
            </w:hyperlink>
          </w:p>
        </w:tc>
        <w:tc>
          <w:tcPr>
            <w:tcW w:w="160" w:type="dxa"/>
            <w:vAlign w:val="bottom"/>
            <w:gridSpan w:val="6"/>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10.11</w:t>
            </w:r>
          </w:p>
        </w:tc>
        <w:tc>
          <w:tcPr>
            <w:tcW w:w="7840" w:type="dxa"/>
            <w:vAlign w:val="bottom"/>
            <w:tcBorders>
              <w:bottom w:val="single" w:sz="8" w:color="0000EE"/>
            </w:tcBorders>
            <w:gridSpan w:val="34"/>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Amendment No. 1 dated September 21, 2007, to Security Agreement between Matson Navigation Company,</w:t>
              </w:r>
            </w:hyperlink>
          </w:p>
        </w:tc>
      </w:tr>
      <w:tr>
        <w:trPr>
          <w:trHeight w:val="196"/>
        </w:trPr>
        <w:tc>
          <w:tcPr>
            <w:tcW w:w="1060" w:type="dxa"/>
            <w:vAlign w:val="bottom"/>
          </w:tcPr>
          <w:p>
            <w:pPr>
              <w:spacing w:after="0"/>
              <w:rPr>
                <w:sz w:val="17"/>
                <w:szCs w:val="17"/>
                <w:color w:val="auto"/>
              </w:rPr>
            </w:pPr>
          </w:p>
        </w:tc>
        <w:tc>
          <w:tcPr>
            <w:tcW w:w="758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 xml:space="preserve">Inc. and the United States of America, with respect to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55 million of Title XI ship financing bonds, dated</w:t>
              </w:r>
            </w:hyperlink>
          </w:p>
        </w:tc>
        <w:tc>
          <w:tcPr>
            <w:tcW w:w="260" w:type="dxa"/>
            <w:vAlign w:val="bottom"/>
            <w:gridSpan w:val="10"/>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6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July 29, 2004 (incorporated by reference to Exhibit 10.a.(xxx) of Alexander &amp; Baldwin, Inc.’s Form 10-Q</w:t>
              </w:r>
            </w:hyperlink>
          </w:p>
        </w:tc>
        <w:tc>
          <w:tcPr>
            <w:tcW w:w="20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1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for the quarter ended September 30, 2007).</w:t>
              </w:r>
            </w:hyperlink>
          </w:p>
        </w:tc>
        <w:tc>
          <w:tcPr>
            <w:tcW w:w="4740" w:type="dxa"/>
            <w:vAlign w:val="bottom"/>
            <w:gridSpan w:val="29"/>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10.12*</w:t>
            </w:r>
          </w:p>
        </w:tc>
        <w:tc>
          <w:tcPr>
            <w:tcW w:w="7120" w:type="dxa"/>
            <w:vAlign w:val="bottom"/>
            <w:tcBorders>
              <w:bottom w:val="single" w:sz="8" w:color="0000EE"/>
            </w:tcBorders>
            <w:gridSpan w:val="11"/>
          </w:tcPr>
          <w:p>
            <w:pPr>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Matson, Inc. 2007 Incentive Compensation Plan, amended and restated, effective January 29, 2015</w:t>
              </w:r>
            </w:hyperlink>
          </w:p>
        </w:tc>
        <w:tc>
          <w:tcPr>
            <w:tcW w:w="720" w:type="dxa"/>
            <w:vAlign w:val="bottom"/>
            <w:gridSpan w:val="2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4"/>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(incorporated by reference to Exhibit 10.13 of Matson’s Form 10-K for the year ended December 31, 2014).</w:t>
              </w:r>
            </w:hyperlink>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10.13*</w:t>
            </w:r>
          </w:p>
        </w:tc>
        <w:tc>
          <w:tcPr>
            <w:tcW w:w="73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Form of Amended and Restated Restricted Stock Unit Award Agreement for Non-Employee Directors</w:t>
              </w:r>
            </w:hyperlink>
          </w:p>
        </w:tc>
        <w:tc>
          <w:tcPr>
            <w:tcW w:w="400" w:type="dxa"/>
            <w:vAlign w:val="bottom"/>
            <w:tcBorders>
              <w:top w:val="single" w:sz="8" w:color="0000EE"/>
            </w:tcBorders>
            <w:gridSpan w:val="14"/>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40" w:type="dxa"/>
            <w:vAlign w:val="bottom"/>
            <w:gridSpan w:val="34"/>
          </w:tcPr>
          <w:p>
            <w:pPr>
              <w:spacing w:after="0" w:line="196" w:lineRule="exact"/>
              <w:rPr>
                <w:rFonts w:ascii="Arial" w:cs="Arial" w:eastAsia="Arial" w:hAnsi="Arial"/>
                <w:sz w:val="18"/>
                <w:szCs w:val="18"/>
                <w:color w:val="0000EE"/>
                <w:w w:val="94"/>
              </w:rPr>
            </w:pPr>
            <w:hyperlink r:id="rId128">
              <w:r>
                <w:rPr>
                  <w:rFonts w:ascii="Arial" w:cs="Arial" w:eastAsia="Arial" w:hAnsi="Arial"/>
                  <w:sz w:val="18"/>
                  <w:szCs w:val="18"/>
                  <w:color w:val="0000EE"/>
                  <w:w w:val="94"/>
                </w:rPr>
                <w:t>(Deferral Election) (incorporated by reference to Exhibit 10.21 of Matson’s Form 10-K for the year ended</w:t>
              </w:r>
            </w:hyperlink>
          </w:p>
        </w:tc>
      </w:tr>
      <w:tr>
        <w:trPr>
          <w:trHeight w:val="196"/>
        </w:trPr>
        <w:tc>
          <w:tcPr>
            <w:tcW w:w="1060" w:type="dxa"/>
            <w:vAlign w:val="bottom"/>
          </w:tcPr>
          <w:p>
            <w:pPr>
              <w:spacing w:after="0"/>
              <w:rPr>
                <w:sz w:val="17"/>
                <w:szCs w:val="17"/>
                <w:color w:val="auto"/>
              </w:rPr>
            </w:pPr>
          </w:p>
        </w:tc>
        <w:tc>
          <w:tcPr>
            <w:tcW w:w="76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December 31, 2013).</w:t>
              </w:r>
            </w:hyperlink>
          </w:p>
        </w:tc>
        <w:tc>
          <w:tcPr>
            <w:tcW w:w="220" w:type="dxa"/>
            <w:vAlign w:val="bottom"/>
            <w:gridSpan w:val="9"/>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10.14*</w:t>
            </w:r>
          </w:p>
        </w:tc>
        <w:tc>
          <w:tcPr>
            <w:tcW w:w="7660" w:type="dxa"/>
            <w:vAlign w:val="bottom"/>
            <w:tcBorders>
              <w:bottom w:val="single" w:sz="8" w:color="0000EE"/>
            </w:tcBorders>
            <w:gridSpan w:val="22"/>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Form of Anti-Dilution Adjustment Amendment to Restricted Stock Unit Award Agreements (incorporated</w:t>
              </w:r>
            </w:hyperlink>
          </w:p>
        </w:tc>
        <w:tc>
          <w:tcPr>
            <w:tcW w:w="160" w:type="dxa"/>
            <w:vAlign w:val="bottom"/>
            <w:gridSpan w:val="6"/>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by reference to Exhibit 99.10 of Matson’s Form S-8 dated October 26, 2012).</w:t>
              </w:r>
            </w:hyperlink>
          </w:p>
        </w:tc>
        <w:tc>
          <w:tcPr>
            <w:tcW w:w="2240" w:type="dxa"/>
            <w:vAlign w:val="bottom"/>
            <w:gridSpan w:val="19"/>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10.15*</w:t>
            </w:r>
          </w:p>
        </w:tc>
        <w:tc>
          <w:tcPr>
            <w:tcW w:w="7780" w:type="dxa"/>
            <w:vAlign w:val="bottom"/>
            <w:tcBorders>
              <w:bottom w:val="single" w:sz="8" w:color="0000EE"/>
            </w:tcBorders>
            <w:gridSpan w:val="27"/>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Matson, Inc. Deferred Compensation Plan for Outside Directors (incorporated by reference to Exhibit 10.34</w:t>
              </w:r>
            </w:hyperlink>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6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of Matson’s Form 10-K for the year ended December 31, 2012).</w:t>
              </w:r>
            </w:hyperlink>
          </w:p>
        </w:tc>
        <w:tc>
          <w:tcPr>
            <w:tcW w:w="3200" w:type="dxa"/>
            <w:vAlign w:val="bottom"/>
            <w:gridSpan w:val="21"/>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10.16</w:t>
            </w:r>
          </w:p>
        </w:tc>
        <w:tc>
          <w:tcPr>
            <w:tcW w:w="7820" w:type="dxa"/>
            <w:vAlign w:val="bottom"/>
            <w:gridSpan w:val="28"/>
          </w:tcPr>
          <w:p>
            <w:pPr>
              <w:spacing w:after="0"/>
              <w:rPr>
                <w:rFonts w:ascii="Arial" w:cs="Arial" w:eastAsia="Arial" w:hAnsi="Arial"/>
                <w:sz w:val="18"/>
                <w:szCs w:val="18"/>
                <w:color w:val="0000EE"/>
                <w:w w:val="94"/>
              </w:rPr>
            </w:pPr>
            <w:hyperlink r:id="rId132">
              <w:r>
                <w:rPr>
                  <w:rFonts w:ascii="Arial" w:cs="Arial" w:eastAsia="Arial" w:hAnsi="Arial"/>
                  <w:sz w:val="18"/>
                  <w:szCs w:val="18"/>
                  <w:color w:val="0000EE"/>
                  <w:w w:val="94"/>
                </w:rPr>
                <w:t>Consolidated Agreement, Contract No. MA-14454 dated as of April 27, 2020 among Matson Navigation</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6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Company, Inc., the United States of America, represented by the Maritime Administrator of the Maritime</w:t>
              </w:r>
            </w:hyperlink>
          </w:p>
        </w:tc>
        <w:tc>
          <w:tcPr>
            <w:tcW w:w="22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6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Administration and, with respect to certain provisions, Matson, Inc. (incorporated by reference to Exhibit</w:t>
              </w:r>
            </w:hyperlink>
          </w:p>
        </w:tc>
        <w:tc>
          <w:tcPr>
            <w:tcW w:w="22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6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w:t>
              </w:r>
              <w:r>
                <w:rPr>
                  <w:rFonts w:ascii="Arial" w:cs="Arial" w:eastAsia="Arial" w:hAnsi="Arial"/>
                  <w:sz w:val="18"/>
                  <w:szCs w:val="18"/>
                  <w:color w:val="0000EE"/>
                  <w:w w:val="92"/>
                </w:rPr>
                <w:t xml:space="preserve"> of Matson’s Form 8-K dated April 30, 2020).</w:t>
              </w:r>
            </w:hyperlink>
          </w:p>
        </w:tc>
        <w:tc>
          <w:tcPr>
            <w:tcW w:w="4200" w:type="dxa"/>
            <w:vAlign w:val="bottom"/>
            <w:gridSpan w:val="22"/>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10.17</w:t>
            </w:r>
          </w:p>
        </w:tc>
        <w:tc>
          <w:tcPr>
            <w:tcW w:w="7740" w:type="dxa"/>
            <w:vAlign w:val="bottom"/>
            <w:tcBorders>
              <w:bottom w:val="single" w:sz="8" w:color="0000EE"/>
            </w:tcBorders>
            <w:gridSpan w:val="26"/>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Note Purchase Agreement dated as of April 27, 2020 among Matson Navigation Company, Inc., the United</w:t>
              </w:r>
            </w:hyperlink>
          </w:p>
        </w:tc>
        <w:tc>
          <w:tcPr>
            <w:tcW w:w="8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8"/>
          </w:tcPr>
          <w:p>
            <w:pPr>
              <w:spacing w:after="0" w:line="196" w:lineRule="exact"/>
              <w:rPr>
                <w:rFonts w:ascii="Arial" w:cs="Arial" w:eastAsia="Arial" w:hAnsi="Arial"/>
                <w:sz w:val="18"/>
                <w:szCs w:val="18"/>
                <w:color w:val="0000EE"/>
                <w:w w:val="98"/>
              </w:rPr>
            </w:pPr>
            <w:hyperlink r:id="rId133">
              <w:r>
                <w:rPr>
                  <w:rFonts w:ascii="Arial" w:cs="Arial" w:eastAsia="Arial" w:hAnsi="Arial"/>
                  <w:sz w:val="18"/>
                  <w:szCs w:val="18"/>
                  <w:color w:val="0000EE"/>
                  <w:w w:val="98"/>
                </w:rPr>
                <w:t>States of America, represented by the Maritime Administrator of the Maritime Administration and the</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8"/>
          </w:tcPr>
          <w:p>
            <w:pPr>
              <w:spacing w:after="0" w:line="196" w:lineRule="exact"/>
              <w:rPr>
                <w:rFonts w:ascii="Arial" w:cs="Arial" w:eastAsia="Arial" w:hAnsi="Arial"/>
                <w:sz w:val="18"/>
                <w:szCs w:val="18"/>
                <w:color w:val="0000EE"/>
                <w:w w:val="94"/>
              </w:rPr>
            </w:pPr>
            <w:hyperlink r:id="rId133">
              <w:r>
                <w:rPr>
                  <w:rFonts w:ascii="Arial" w:cs="Arial" w:eastAsia="Arial" w:hAnsi="Arial"/>
                  <w:sz w:val="18"/>
                  <w:szCs w:val="18"/>
                  <w:color w:val="0000EE"/>
                  <w:w w:val="94"/>
                </w:rPr>
                <w:t>Federal Financing Bank (incorporated by reference to Exhibit 10.2 of Matson’s Form 8-K dated April 30,</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3">
              <w:r>
                <w:rPr>
                  <w:rFonts w:ascii="Arial" w:cs="Arial" w:eastAsia="Arial" w:hAnsi="Arial"/>
                  <w:sz w:val="18"/>
                  <w:szCs w:val="18"/>
                  <w:color w:val="0000EE"/>
                  <w:w w:val="86"/>
                </w:rPr>
                <w:t>2020).</w:t>
              </w:r>
            </w:hyperlink>
          </w:p>
        </w:tc>
        <w:tc>
          <w:tcPr>
            <w:tcW w:w="66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10.18</w:t>
            </w:r>
          </w:p>
        </w:tc>
        <w:tc>
          <w:tcPr>
            <w:tcW w:w="7820" w:type="dxa"/>
            <w:vAlign w:val="bottom"/>
            <w:tcBorders>
              <w:bottom w:val="single" w:sz="8" w:color="0000EE"/>
            </w:tcBorders>
            <w:gridSpan w:val="28"/>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Affiliate Guaranty dated as of April 27, 2020 executed by Matson, Inc. (incorporated by reference to Exhibit</w:t>
              </w:r>
            </w:hyperlink>
          </w:p>
        </w:tc>
      </w:tr>
      <w:tr>
        <w:trPr>
          <w:trHeight w:val="196"/>
        </w:trPr>
        <w:tc>
          <w:tcPr>
            <w:tcW w:w="1060" w:type="dxa"/>
            <w:vAlign w:val="bottom"/>
          </w:tcPr>
          <w:p>
            <w:pPr>
              <w:spacing w:after="0"/>
              <w:rPr>
                <w:sz w:val="17"/>
                <w:szCs w:val="17"/>
                <w:color w:val="auto"/>
              </w:rPr>
            </w:pPr>
          </w:p>
        </w:tc>
        <w:tc>
          <w:tcPr>
            <w:tcW w:w="36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3</w:t>
              </w:r>
              <w:r>
                <w:rPr>
                  <w:rFonts w:ascii="Arial" w:cs="Arial" w:eastAsia="Arial" w:hAnsi="Arial"/>
                  <w:sz w:val="18"/>
                  <w:szCs w:val="18"/>
                  <w:color w:val="0000EE"/>
                  <w:w w:val="92"/>
                </w:rPr>
                <w:t xml:space="preserve"> of Matson’s Form 8-K dated April 30, 2020).</w:t>
              </w:r>
            </w:hyperlink>
          </w:p>
        </w:tc>
        <w:tc>
          <w:tcPr>
            <w:tcW w:w="4200" w:type="dxa"/>
            <w:vAlign w:val="bottom"/>
            <w:gridSpan w:val="22"/>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10.19</w:t>
            </w:r>
          </w:p>
        </w:tc>
        <w:tc>
          <w:tcPr>
            <w:tcW w:w="7580" w:type="dxa"/>
            <w:vAlign w:val="bottom"/>
            <w:tcBorders>
              <w:bottom w:val="single" w:sz="8" w:color="0000EE"/>
            </w:tcBorders>
            <w:gridSpan w:val="19"/>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Amendment No. 1 dated June 22, 2020, to Consolidated Agreement, Contract No. MA-14454 dated as of</w:t>
              </w:r>
            </w:hyperlink>
          </w:p>
        </w:tc>
        <w:tc>
          <w:tcPr>
            <w:tcW w:w="24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7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April 27, 2020 among Matson Navigation Company, Inc., the United States of America, represented by the</w:t>
              </w:r>
            </w:hyperlink>
          </w:p>
        </w:tc>
        <w:tc>
          <w:tcPr>
            <w:tcW w:w="10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r:id="rId135">
              <w:r>
                <w:rPr>
                  <w:rFonts w:ascii="Arial" w:cs="Arial" w:eastAsia="Arial" w:hAnsi="Arial"/>
                  <w:sz w:val="18"/>
                  <w:szCs w:val="18"/>
                  <w:color w:val="0000EE"/>
                  <w:w w:val="93"/>
                </w:rPr>
                <w:t>Maritime Administrator of the Maritime Administration and, with respect to certain provisions, Matson, Inc.</w:t>
              </w:r>
            </w:hyperlink>
          </w:p>
        </w:tc>
      </w:tr>
      <w:tr>
        <w:trPr>
          <w:trHeight w:val="196"/>
        </w:trPr>
        <w:tc>
          <w:tcPr>
            <w:tcW w:w="1060" w:type="dxa"/>
            <w:vAlign w:val="bottom"/>
          </w:tcPr>
          <w:p>
            <w:pPr>
              <w:spacing w:after="0"/>
              <w:rPr>
                <w:sz w:val="17"/>
                <w:szCs w:val="17"/>
                <w:color w:val="auto"/>
              </w:rPr>
            </w:pPr>
          </w:p>
        </w:tc>
        <w:tc>
          <w:tcPr>
            <w:tcW w:w="62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(incorporated by reference to Exhibit 10.1 of Matson’s Form 8-K dated June 25, 2020).</w:t>
              </w:r>
            </w:hyperlink>
          </w:p>
        </w:tc>
        <w:tc>
          <w:tcPr>
            <w:tcW w:w="1540" w:type="dxa"/>
            <w:vAlign w:val="bottom"/>
            <w:gridSpan w:val="1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10.20</w:t>
            </w:r>
          </w:p>
        </w:tc>
        <w:tc>
          <w:tcPr>
            <w:tcW w:w="7680" w:type="dxa"/>
            <w:vAlign w:val="bottom"/>
            <w:tcBorders>
              <w:bottom w:val="single" w:sz="8" w:color="0000EE"/>
            </w:tcBorders>
            <w:gridSpan w:val="23"/>
          </w:tcPr>
          <w:p>
            <w:pPr>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Note Purchase Agreement dated as of June 22, 2020 among Matson Navigation Company, Inc., the United</w:t>
              </w:r>
            </w:hyperlink>
          </w:p>
        </w:tc>
        <w:tc>
          <w:tcPr>
            <w:tcW w:w="14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8"/>
          </w:tcPr>
          <w:p>
            <w:pPr>
              <w:spacing w:after="0" w:line="196" w:lineRule="exact"/>
              <w:rPr>
                <w:rFonts w:ascii="Arial" w:cs="Arial" w:eastAsia="Arial" w:hAnsi="Arial"/>
                <w:sz w:val="18"/>
                <w:szCs w:val="18"/>
                <w:color w:val="0000EE"/>
                <w:w w:val="98"/>
              </w:rPr>
            </w:pPr>
            <w:hyperlink r:id="rId136">
              <w:r>
                <w:rPr>
                  <w:rFonts w:ascii="Arial" w:cs="Arial" w:eastAsia="Arial" w:hAnsi="Arial"/>
                  <w:sz w:val="18"/>
                  <w:szCs w:val="18"/>
                  <w:color w:val="0000EE"/>
                  <w:w w:val="98"/>
                </w:rPr>
                <w:t>States of America, represented by the Maritime Administrator of the Maritime Administration and the</w:t>
              </w:r>
            </w:hyperlink>
          </w:p>
        </w:tc>
      </w:tr>
      <w:tr>
        <w:trPr>
          <w:trHeight w:val="20"/>
        </w:trPr>
        <w:tc>
          <w:tcPr>
            <w:tcW w:w="106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8"/>
          </w:tcPr>
          <w:p>
            <w:pPr>
              <w:spacing w:after="0" w:line="196" w:lineRule="exact"/>
              <w:rPr>
                <w:rFonts w:ascii="Arial" w:cs="Arial" w:eastAsia="Arial" w:hAnsi="Arial"/>
                <w:sz w:val="18"/>
                <w:szCs w:val="18"/>
                <w:color w:val="0000EE"/>
                <w:w w:val="94"/>
              </w:rPr>
            </w:pPr>
            <w:hyperlink r:id="rId136">
              <w:r>
                <w:rPr>
                  <w:rFonts w:ascii="Arial" w:cs="Arial" w:eastAsia="Arial" w:hAnsi="Arial"/>
                  <w:sz w:val="18"/>
                  <w:szCs w:val="18"/>
                  <w:color w:val="0000EE"/>
                  <w:w w:val="94"/>
                </w:rPr>
                <w:t>Federal Financing Bank (incorporated by reference to Exhibit 10.2 of Matson’s Form 8-K dated June 25,</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6">
              <w:r>
                <w:rPr>
                  <w:rFonts w:ascii="Arial" w:cs="Arial" w:eastAsia="Arial" w:hAnsi="Arial"/>
                  <w:sz w:val="18"/>
                  <w:szCs w:val="18"/>
                  <w:color w:val="0000EE"/>
                  <w:w w:val="86"/>
                </w:rPr>
                <w:t>2020).</w:t>
              </w:r>
            </w:hyperlink>
          </w:p>
        </w:tc>
        <w:tc>
          <w:tcPr>
            <w:tcW w:w="66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10.21</w:t>
            </w:r>
          </w:p>
        </w:tc>
        <w:tc>
          <w:tcPr>
            <w:tcW w:w="7720" w:type="dxa"/>
            <w:vAlign w:val="bottom"/>
            <w:tcBorders>
              <w:bottom w:val="single" w:sz="8" w:color="0000EE"/>
            </w:tcBorders>
            <w:gridSpan w:val="25"/>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Amendment dated June 22, 2020 to Affiliate Guaranty dated as of April 27, 2020 executed by Matson, Inc.</w:t>
              </w:r>
            </w:hyperlink>
          </w:p>
        </w:tc>
        <w:tc>
          <w:tcPr>
            <w:tcW w:w="10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3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and consented to by MARAD (incorporated by reference to Exhibit 10.3 of Matson’s Form 8-K dated</w:t>
              </w:r>
            </w:hyperlink>
          </w:p>
        </w:tc>
        <w:tc>
          <w:tcPr>
            <w:tcW w:w="48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37">
              <w:r>
                <w:rPr>
                  <w:rFonts w:ascii="Arial" w:cs="Arial" w:eastAsia="Arial" w:hAnsi="Arial"/>
                  <w:sz w:val="18"/>
                  <w:szCs w:val="18"/>
                  <w:color w:val="0000EE"/>
                  <w:w w:val="87"/>
                </w:rPr>
                <w:t>June 25, 2020).</w:t>
              </w:r>
            </w:hyperlink>
          </w:p>
        </w:tc>
        <w:tc>
          <w:tcPr>
            <w:tcW w:w="6700" w:type="dxa"/>
            <w:vAlign w:val="bottom"/>
            <w:gridSpan w:val="26"/>
          </w:tcPr>
          <w:p>
            <w:pPr>
              <w:spacing w:after="0"/>
              <w:rPr>
                <w:sz w:val="17"/>
                <w:szCs w:val="17"/>
                <w:color w:val="auto"/>
              </w:rPr>
            </w:pPr>
          </w:p>
        </w:tc>
      </w:tr>
      <w:tr>
        <w:trPr>
          <w:trHeight w:val="344"/>
        </w:trPr>
        <w:tc>
          <w:tcPr>
            <w:tcW w:w="1060" w:type="dxa"/>
            <w:vAlign w:val="bottom"/>
          </w:tcPr>
          <w:p>
            <w:pPr>
              <w:spacing w:after="0"/>
              <w:rPr>
                <w:sz w:val="20"/>
                <w:szCs w:val="20"/>
                <w:color w:val="auto"/>
              </w:rPr>
            </w:pPr>
            <w:r>
              <w:rPr>
                <w:rFonts w:ascii="Arial" w:cs="Arial" w:eastAsia="Arial" w:hAnsi="Arial"/>
                <w:sz w:val="18"/>
                <w:szCs w:val="18"/>
                <w:color w:val="auto"/>
              </w:rPr>
              <w:t>10.22*</w:t>
            </w:r>
          </w:p>
        </w:tc>
        <w:tc>
          <w:tcPr>
            <w:tcW w:w="7260" w:type="dxa"/>
            <w:vAlign w:val="bottom"/>
            <w:tcBorders>
              <w:bottom w:val="single" w:sz="8" w:color="0000EE"/>
            </w:tcBorders>
            <w:gridSpan w:val="16"/>
          </w:tcPr>
          <w:p>
            <w:pPr>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Matson, Inc. Excess Benefits Plan, amended and restated effective August 27, 2014 (incorporated by</w:t>
              </w:r>
            </w:hyperlink>
          </w:p>
        </w:tc>
        <w:tc>
          <w:tcPr>
            <w:tcW w:w="560" w:type="dxa"/>
            <w:vAlign w:val="bottom"/>
            <w:gridSpan w:val="1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8"/>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reference to Exhibit 10.1 of Matson’s Form 8-K dated August 28, 2014).</w:t>
              </w:r>
            </w:hyperlink>
          </w:p>
        </w:tc>
      </w:tr>
      <w:tr>
        <w:trPr>
          <w:trHeight w:val="20"/>
        </w:trPr>
        <w:tc>
          <w:tcPr>
            <w:tcW w:w="106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10.23*</w:t>
            </w:r>
          </w:p>
        </w:tc>
        <w:tc>
          <w:tcPr>
            <w:tcW w:w="7820" w:type="dxa"/>
            <w:vAlign w:val="bottom"/>
            <w:gridSpan w:val="28"/>
          </w:tcPr>
          <w:p>
            <w:pPr>
              <w:spacing w:after="0"/>
              <w:rPr>
                <w:rFonts w:ascii="Arial" w:cs="Arial" w:eastAsia="Arial" w:hAnsi="Arial"/>
                <w:sz w:val="18"/>
                <w:szCs w:val="18"/>
                <w:color w:val="0000EE"/>
                <w:w w:val="99"/>
              </w:rPr>
            </w:pPr>
            <w:hyperlink r:id="rId139">
              <w:r>
                <w:rPr>
                  <w:rFonts w:ascii="Arial" w:cs="Arial" w:eastAsia="Arial" w:hAnsi="Arial"/>
                  <w:sz w:val="18"/>
                  <w:szCs w:val="18"/>
                  <w:color w:val="0000EE"/>
                  <w:w w:val="99"/>
                </w:rPr>
                <w:t>Form of Letter Agreement entered into with certain executive officers (incorporated by reference to</w:t>
              </w:r>
            </w:hyperlink>
          </w:p>
        </w:tc>
      </w:tr>
      <w:tr>
        <w:trPr>
          <w:trHeight w:val="196"/>
        </w:trPr>
        <w:tc>
          <w:tcPr>
            <w:tcW w:w="1060" w:type="dxa"/>
            <w:vAlign w:val="bottom"/>
          </w:tcPr>
          <w:p>
            <w:pPr>
              <w:spacing w:after="0"/>
              <w:rPr>
                <w:sz w:val="17"/>
                <w:szCs w:val="17"/>
                <w:color w:val="auto"/>
              </w:rPr>
            </w:pPr>
          </w:p>
        </w:tc>
        <w:tc>
          <w:tcPr>
            <w:tcW w:w="7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Exhibit 10.45 of Matson’s Form 10-K for the year ended December 31, 2012).</w:t>
              </w:r>
            </w:hyperlink>
          </w:p>
        </w:tc>
        <w:tc>
          <w:tcPr>
            <w:tcW w:w="660" w:type="dxa"/>
            <w:vAlign w:val="bottom"/>
            <w:gridSpan w:val="1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10.24*</w:t>
            </w:r>
          </w:p>
        </w:tc>
        <w:tc>
          <w:tcPr>
            <w:tcW w:w="7820" w:type="dxa"/>
            <w:vAlign w:val="bottom"/>
            <w:gridSpan w:val="28"/>
          </w:tcPr>
          <w:p>
            <w:pPr>
              <w:spacing w:after="0"/>
              <w:rPr>
                <w:rFonts w:ascii="Arial" w:cs="Arial" w:eastAsia="Arial" w:hAnsi="Arial"/>
                <w:sz w:val="18"/>
                <w:szCs w:val="18"/>
                <w:color w:val="0000EE"/>
                <w:w w:val="93"/>
              </w:rPr>
            </w:pPr>
            <w:hyperlink r:id="rId140">
              <w:r>
                <w:rPr>
                  <w:rFonts w:ascii="Arial" w:cs="Arial" w:eastAsia="Arial" w:hAnsi="Arial"/>
                  <w:sz w:val="18"/>
                  <w:szCs w:val="18"/>
                  <w:color w:val="0000EE"/>
                  <w:w w:val="93"/>
                </w:rPr>
                <w:t>Schedule identifying executive officers who have entered into Form of Letter Agreement (incorporated by</w:t>
              </w:r>
            </w:hyperlink>
          </w:p>
        </w:tc>
      </w:tr>
      <w:tr>
        <w:trPr>
          <w:trHeight w:val="196"/>
        </w:trPr>
        <w:tc>
          <w:tcPr>
            <w:tcW w:w="1060" w:type="dxa"/>
            <w:vAlign w:val="bottom"/>
          </w:tcPr>
          <w:p>
            <w:pPr>
              <w:spacing w:after="0"/>
              <w:rPr>
                <w:sz w:val="17"/>
                <w:szCs w:val="17"/>
                <w:color w:val="auto"/>
              </w:rPr>
            </w:pPr>
          </w:p>
        </w:tc>
        <w:tc>
          <w:tcPr>
            <w:tcW w:w="7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reference to Exhibit 10.42 of Matson’s Form 10-K for the year ended December 31, 2014).</w:t>
              </w:r>
            </w:hyperlink>
          </w:p>
        </w:tc>
        <w:tc>
          <w:tcPr>
            <w:tcW w:w="180" w:type="dxa"/>
            <w:vAlign w:val="bottom"/>
            <w:gridSpan w:val="7"/>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10.25*</w:t>
            </w:r>
          </w:p>
        </w:tc>
        <w:tc>
          <w:tcPr>
            <w:tcW w:w="7700" w:type="dxa"/>
            <w:vAlign w:val="bottom"/>
            <w:tcBorders>
              <w:bottom w:val="single" w:sz="8" w:color="0000EE"/>
            </w:tcBorders>
            <w:gridSpan w:val="24"/>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Form of Letter Agreement entered into with executive officer (incorporated by reference to Exhibit 10.1 of</w:t>
              </w:r>
            </w:hyperlink>
          </w:p>
        </w:tc>
        <w:tc>
          <w:tcPr>
            <w:tcW w:w="120" w:type="dxa"/>
            <w:vAlign w:val="bottom"/>
            <w:gridSpan w:val="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8"/>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Matson’s Form 8-K dated October 24, 2014).</w:t>
              </w:r>
            </w:hyperlink>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10.26*,**</w:t>
            </w:r>
          </w:p>
        </w:tc>
        <w:tc>
          <w:tcPr>
            <w:tcW w:w="3260" w:type="dxa"/>
            <w:vAlign w:val="bottom"/>
            <w:tcBorders>
              <w:top w:val="single" w:sz="8" w:color="0000EE"/>
            </w:tcBorders>
            <w:gridSpan w:val="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Letter Agreement Counter Parties.</w:t>
              </w:r>
            </w:hyperlink>
          </w:p>
        </w:tc>
        <w:tc>
          <w:tcPr>
            <w:tcW w:w="4560" w:type="dxa"/>
            <w:vAlign w:val="bottom"/>
            <w:gridSpan w:val="23"/>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10.27*</w:t>
            </w:r>
          </w:p>
        </w:tc>
        <w:tc>
          <w:tcPr>
            <w:tcW w:w="7700" w:type="dxa"/>
            <w:vAlign w:val="bottom"/>
            <w:tcBorders>
              <w:bottom w:val="single" w:sz="8" w:color="0000EE"/>
            </w:tcBorders>
            <w:gridSpan w:val="24"/>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Amended and Restated Matson, Inc. Executive Severance Plan (incorporated by reference to Exhibit 10.28</w:t>
              </w:r>
            </w:hyperlink>
          </w:p>
        </w:tc>
        <w:tc>
          <w:tcPr>
            <w:tcW w:w="120" w:type="dxa"/>
            <w:vAlign w:val="bottom"/>
            <w:gridSpan w:val="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6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of Matson’s Form 10-K for the year ended December 31, 2020).</w:t>
              </w:r>
            </w:hyperlink>
          </w:p>
        </w:tc>
        <w:tc>
          <w:tcPr>
            <w:tcW w:w="3200" w:type="dxa"/>
            <w:vAlign w:val="bottom"/>
            <w:gridSpan w:val="21"/>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10.28*</w:t>
            </w:r>
          </w:p>
        </w:tc>
        <w:tc>
          <w:tcPr>
            <w:tcW w:w="7820" w:type="dxa"/>
            <w:vAlign w:val="bottom"/>
            <w:tcBorders>
              <w:bottom w:val="single" w:sz="8" w:color="0000EE"/>
            </w:tcBorders>
            <w:gridSpan w:val="28"/>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Matson, Inc. Deferred Compensation Plan (incorporated by reference to Exhibit 10.51 of Matson’s Form 10-</w:t>
              </w:r>
            </w:hyperlink>
          </w:p>
        </w:tc>
      </w:tr>
      <w:tr>
        <w:trPr>
          <w:trHeight w:val="196"/>
        </w:trPr>
        <w:tc>
          <w:tcPr>
            <w:tcW w:w="1060" w:type="dxa"/>
            <w:vAlign w:val="bottom"/>
          </w:tcPr>
          <w:p>
            <w:pPr>
              <w:spacing w:after="0"/>
              <w:rPr>
                <w:sz w:val="17"/>
                <w:szCs w:val="17"/>
                <w:color w:val="auto"/>
              </w:rPr>
            </w:pPr>
          </w:p>
        </w:tc>
        <w:tc>
          <w:tcPr>
            <w:tcW w:w="7820" w:type="dxa"/>
            <w:vAlign w:val="bottom"/>
            <w:gridSpan w:val="28"/>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K for the year ended December 31, 2012).</w:t>
              </w:r>
            </w:hyperlink>
          </w:p>
        </w:tc>
      </w:tr>
      <w:tr>
        <w:trPr>
          <w:trHeight w:val="20"/>
        </w:trPr>
        <w:tc>
          <w:tcPr>
            <w:tcW w:w="106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10.29*</w:t>
            </w:r>
          </w:p>
        </w:tc>
        <w:tc>
          <w:tcPr>
            <w:tcW w:w="7820" w:type="dxa"/>
            <w:vAlign w:val="bottom"/>
            <w:gridSpan w:val="28"/>
          </w:tcPr>
          <w:p>
            <w:pPr>
              <w:spacing w:after="0"/>
              <w:rPr>
                <w:rFonts w:ascii="Arial" w:cs="Arial" w:eastAsia="Arial" w:hAnsi="Arial"/>
                <w:sz w:val="18"/>
                <w:szCs w:val="18"/>
                <w:color w:val="0000EE"/>
              </w:rPr>
            </w:pPr>
            <w:hyperlink r:id="rId144">
              <w:r>
                <w:rPr>
                  <w:rFonts w:ascii="Arial" w:cs="Arial" w:eastAsia="Arial" w:hAnsi="Arial"/>
                  <w:sz w:val="18"/>
                  <w:szCs w:val="18"/>
                  <w:color w:val="0000EE"/>
                </w:rPr>
                <w:t>Amendment No. 1 to the Matson, Inc. Deferred Compensation Plan (incorporated by reference to</w:t>
              </w:r>
            </w:hyperlink>
          </w:p>
        </w:tc>
      </w:tr>
      <w:tr>
        <w:trPr>
          <w:trHeight w:val="196"/>
        </w:trPr>
        <w:tc>
          <w:tcPr>
            <w:tcW w:w="1060" w:type="dxa"/>
            <w:vAlign w:val="bottom"/>
          </w:tcPr>
          <w:p>
            <w:pPr>
              <w:spacing w:after="0"/>
              <w:rPr>
                <w:sz w:val="17"/>
                <w:szCs w:val="17"/>
                <w:color w:val="auto"/>
              </w:rPr>
            </w:pPr>
          </w:p>
        </w:tc>
        <w:tc>
          <w:tcPr>
            <w:tcW w:w="70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Exhibit 10.30 of Matson’s Form 10-K for the year ended December 31, 2020).</w:t>
              </w:r>
            </w:hyperlink>
          </w:p>
        </w:tc>
        <w:tc>
          <w:tcPr>
            <w:tcW w:w="820" w:type="dxa"/>
            <w:vAlign w:val="bottom"/>
            <w:gridSpan w:val="14"/>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640" w:type="dxa"/>
            <w:vAlign w:val="bottom"/>
            <w:gridSpan w:val="10"/>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0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10.30</w:t>
            </w:r>
          </w:p>
        </w:tc>
        <w:tc>
          <w:tcPr>
            <w:tcW w:w="7740" w:type="dxa"/>
            <w:vAlign w:val="bottom"/>
            <w:tcBorders>
              <w:bottom w:val="single" w:sz="8" w:color="0000EE"/>
            </w:tcBorders>
            <w:gridSpan w:val="26"/>
          </w:tcPr>
          <w:p>
            <w:pPr>
              <w:spacing w:after="0"/>
              <w:rPr>
                <w:rFonts w:ascii="Arial" w:cs="Arial" w:eastAsia="Arial" w:hAnsi="Arial"/>
                <w:sz w:val="18"/>
                <w:szCs w:val="18"/>
                <w:color w:val="0000EE"/>
                <w:w w:val="91"/>
              </w:rPr>
            </w:pPr>
            <w:hyperlink r:id="rId145">
              <w:r>
                <w:rPr>
                  <w:rFonts w:ascii="Arial" w:cs="Arial" w:eastAsia="Arial" w:hAnsi="Arial"/>
                  <w:sz w:val="18"/>
                  <w:szCs w:val="18"/>
                  <w:color w:val="0000EE"/>
                  <w:w w:val="91"/>
                </w:rPr>
                <w:t>Shipbuilding Contract, by and between Aker Philadelphia Shipyard, Inc. and Matson Navigation Company,</w:t>
              </w:r>
            </w:hyperlink>
          </w:p>
        </w:tc>
        <w:tc>
          <w:tcPr>
            <w:tcW w:w="8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8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Inc., dated as of November 6, 2013 (certain portions of this exhibit have been omitted pursuant</w:t>
              </w:r>
            </w:hyperlink>
          </w:p>
        </w:tc>
        <w:tc>
          <w:tcPr>
            <w:tcW w:w="980" w:type="dxa"/>
            <w:vAlign w:val="bottom"/>
            <w:gridSpan w:val="1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6820" w:type="dxa"/>
            <w:vAlign w:val="bottom"/>
            <w:tcBorders>
              <w:bottom w:val="single" w:sz="8" w:color="0000EE"/>
            </w:tcBorders>
            <w:gridSpan w:val="11"/>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to a confidential treatment request submitted to the Commission) (incorporated by reference to</w:t>
              </w:r>
            </w:hyperlink>
          </w:p>
        </w:tc>
        <w:tc>
          <w:tcPr>
            <w:tcW w:w="1000" w:type="dxa"/>
            <w:vAlign w:val="bottom"/>
            <w:gridSpan w:val="19"/>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Exhibit 10.57 of Matson’s Form 10-K for the year ended December 31, 2013).</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10.31</w:t>
            </w:r>
          </w:p>
        </w:tc>
        <w:tc>
          <w:tcPr>
            <w:tcW w:w="7640" w:type="dxa"/>
            <w:vAlign w:val="bottom"/>
            <w:tcBorders>
              <w:bottom w:val="single" w:sz="8" w:color="0000EE"/>
            </w:tcBorders>
            <w:gridSpan w:val="25"/>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Guaranty Agreement by Aker Philadelphia Shipyard ASA, in favor of Matson Navigation Company, Inc.,</w:t>
              </w:r>
            </w:hyperlink>
          </w:p>
        </w:tc>
        <w:tc>
          <w:tcPr>
            <w:tcW w:w="18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dated as of November 6, 2013 (incorporated by reference to Exhibit 10.58 of Matson’s Form 10-K for the</w:t>
              </w:r>
            </w:hyperlink>
          </w:p>
        </w:tc>
      </w:tr>
      <w:tr>
        <w:trPr>
          <w:trHeight w:val="196"/>
        </w:trPr>
        <w:tc>
          <w:tcPr>
            <w:tcW w:w="106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47">
              <w:r>
                <w:rPr>
                  <w:rFonts w:ascii="Arial" w:cs="Arial" w:eastAsia="Arial" w:hAnsi="Arial"/>
                  <w:sz w:val="18"/>
                  <w:szCs w:val="18"/>
                  <w:color w:val="0000EE"/>
                  <w:w w:val="88"/>
                </w:rPr>
                <w:t>year ended December 31, 2013).</w:t>
              </w:r>
            </w:hyperlink>
          </w:p>
        </w:tc>
        <w:tc>
          <w:tcPr>
            <w:tcW w:w="5240" w:type="dxa"/>
            <w:vAlign w:val="bottom"/>
            <w:tcBorders>
              <w:top w:val="single" w:sz="8" w:color="0000EE"/>
            </w:tcBorders>
            <w:gridSpan w:val="20"/>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10.32</w:t>
            </w:r>
          </w:p>
        </w:tc>
        <w:tc>
          <w:tcPr>
            <w:tcW w:w="7820" w:type="dxa"/>
            <w:vAlign w:val="bottom"/>
            <w:gridSpan w:val="30"/>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Contract for Construction of Two Vessels, dated as of August 25, 2016, by and between Matson Navigation</w:t>
              </w:r>
            </w:hyperlink>
          </w:p>
        </w:tc>
      </w:tr>
      <w:tr>
        <w:trPr>
          <w:trHeight w:val="196"/>
        </w:trPr>
        <w:tc>
          <w:tcPr>
            <w:tcW w:w="106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Company, Inc. and National Steel and Shipbuilding Company (certain portions of this exhibit have been</w:t>
              </w:r>
            </w:hyperlink>
          </w:p>
        </w:tc>
        <w:tc>
          <w:tcPr>
            <w:tcW w:w="240" w:type="dxa"/>
            <w:vAlign w:val="bottom"/>
            <w:tcBorders>
              <w:top w:val="single" w:sz="8" w:color="0000EE"/>
            </w:tcBorders>
            <w:gridSpan w:val="6"/>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omitted pursuant to a confidential treatment request submitted to the Commission) (incorporated by</w:t>
              </w:r>
            </w:hyperlink>
          </w:p>
        </w:tc>
        <w:tc>
          <w:tcPr>
            <w:tcW w:w="640" w:type="dxa"/>
            <w:vAlign w:val="bottom"/>
            <w:gridSpan w:val="1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7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reference to Exhibit 10.1 of Matson’s Form 10-Q for the quarter ended September 30, 2016).</w:t>
              </w:r>
            </w:hyperlink>
          </w:p>
        </w:tc>
        <w:tc>
          <w:tcPr>
            <w:tcW w:w="1060" w:type="dxa"/>
            <w:vAlign w:val="bottom"/>
            <w:gridSpan w:val="20"/>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10.33</w:t>
            </w:r>
          </w:p>
        </w:tc>
        <w:tc>
          <w:tcPr>
            <w:tcW w:w="7820" w:type="dxa"/>
            <w:vAlign w:val="bottom"/>
            <w:gridSpan w:val="30"/>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Purchaser’s Corporate Guaranty Agreement, by Matson, Inc., dated as of August 25, 2016 (incorporated by</w:t>
              </w:r>
            </w:hyperlink>
          </w:p>
        </w:tc>
      </w:tr>
      <w:tr>
        <w:trPr>
          <w:trHeight w:val="196"/>
        </w:trPr>
        <w:tc>
          <w:tcPr>
            <w:tcW w:w="1060" w:type="dxa"/>
            <w:vAlign w:val="bottom"/>
          </w:tcPr>
          <w:p>
            <w:pPr>
              <w:spacing w:after="0"/>
              <w:rPr>
                <w:sz w:val="17"/>
                <w:szCs w:val="17"/>
                <w:color w:val="auto"/>
              </w:rPr>
            </w:pPr>
          </w:p>
        </w:tc>
        <w:tc>
          <w:tcPr>
            <w:tcW w:w="77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reference to Exhibit 10.2 of Matson’s Form 10-Q for the quarter ended September 30, 2016).</w:t>
              </w:r>
            </w:hyperlink>
          </w:p>
        </w:tc>
        <w:tc>
          <w:tcPr>
            <w:tcW w:w="100" w:type="dxa"/>
            <w:vAlign w:val="bottom"/>
            <w:gridSpan w:val="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10.34</w:t>
            </w:r>
          </w:p>
        </w:tc>
        <w:tc>
          <w:tcPr>
            <w:tcW w:w="7500" w:type="dxa"/>
            <w:vAlign w:val="bottom"/>
            <w:tcBorders>
              <w:bottom w:val="single" w:sz="8" w:color="0000EE"/>
            </w:tcBorders>
            <w:gridSpan w:val="22"/>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Contractor’s Corporate Guaranty Agreement, by General Dynamics Corporation, dated as of August 25,</w:t>
              </w:r>
            </w:hyperlink>
          </w:p>
        </w:tc>
        <w:tc>
          <w:tcPr>
            <w:tcW w:w="32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2016 (incorporated by reference to Exhibit 10.3 of Matson’s Form 10-Q for the quarter ended September 30,</w:t>
              </w:r>
            </w:hyperlink>
          </w:p>
        </w:tc>
      </w:tr>
      <w:tr>
        <w:trPr>
          <w:trHeight w:val="196"/>
        </w:trPr>
        <w:tc>
          <w:tcPr>
            <w:tcW w:w="106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50">
              <w:r>
                <w:rPr>
                  <w:rFonts w:ascii="Arial" w:cs="Arial" w:eastAsia="Arial" w:hAnsi="Arial"/>
                  <w:sz w:val="18"/>
                  <w:szCs w:val="18"/>
                  <w:color w:val="0000EE"/>
                  <w:w w:val="86"/>
                </w:rPr>
                <w:t>2016).</w:t>
              </w:r>
            </w:hyperlink>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10.35**</w:t>
            </w:r>
          </w:p>
        </w:tc>
        <w:tc>
          <w:tcPr>
            <w:tcW w:w="70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Form of Capital Construction Fund Agreement with Matson Navigation Company, as amended by</w:t>
              </w:r>
            </w:hyperlink>
          </w:p>
        </w:tc>
        <w:tc>
          <w:tcPr>
            <w:tcW w:w="740" w:type="dxa"/>
            <w:vAlign w:val="bottom"/>
            <w:gridSpan w:val="1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9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Addendums No. 2, No. 5, No. 18, No. 20, No. 31 and No. 33 thereto.</w:t>
              </w:r>
            </w:hyperlink>
          </w:p>
        </w:tc>
        <w:tc>
          <w:tcPr>
            <w:tcW w:w="2840" w:type="dxa"/>
            <w:vAlign w:val="bottom"/>
            <w:gridSpan w:val="24"/>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10.36</w:t>
            </w:r>
          </w:p>
        </w:tc>
        <w:tc>
          <w:tcPr>
            <w:tcW w:w="7820" w:type="dxa"/>
            <w:vAlign w:val="bottom"/>
            <w:gridSpan w:val="30"/>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Form of Voting Agreement, dated as of November 11, 2014, among Matson Navigation Company, Inc. and</w:t>
              </w:r>
            </w:hyperlink>
          </w:p>
        </w:tc>
      </w:tr>
      <w:tr>
        <w:trPr>
          <w:trHeight w:val="196"/>
        </w:trPr>
        <w:tc>
          <w:tcPr>
            <w:tcW w:w="106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certain holders of voting securities of Horizon Lines, Inc. (incorporated by reference to Exhibit 10.1 of</w:t>
              </w:r>
            </w:hyperlink>
          </w:p>
        </w:tc>
        <w:tc>
          <w:tcPr>
            <w:tcW w:w="300" w:type="dxa"/>
            <w:vAlign w:val="bottom"/>
            <w:tcBorders>
              <w:top w:val="single" w:sz="8" w:color="0000EE"/>
            </w:tcBorders>
            <w:gridSpan w:val="6"/>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Matson’s Form 8-K dated November 11, 2014).</w:t>
              </w:r>
            </w:hyperlink>
          </w:p>
        </w:tc>
        <w:tc>
          <w:tcPr>
            <w:tcW w:w="4380" w:type="dxa"/>
            <w:vAlign w:val="bottom"/>
            <w:gridSpan w:val="26"/>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10.37*</w:t>
            </w:r>
          </w:p>
        </w:tc>
        <w:tc>
          <w:tcPr>
            <w:tcW w:w="7820" w:type="dxa"/>
            <w:vAlign w:val="bottom"/>
            <w:gridSpan w:val="30"/>
          </w:tcPr>
          <w:p>
            <w:pPr>
              <w:spacing w:after="0"/>
              <w:rPr>
                <w:rFonts w:ascii="Arial" w:cs="Arial" w:eastAsia="Arial" w:hAnsi="Arial"/>
                <w:sz w:val="18"/>
                <w:szCs w:val="18"/>
                <w:color w:val="0000EE"/>
                <w:w w:val="96"/>
              </w:rPr>
            </w:pPr>
            <w:hyperlink r:id="rId152">
              <w:r>
                <w:rPr>
                  <w:rFonts w:ascii="Arial" w:cs="Arial" w:eastAsia="Arial" w:hAnsi="Arial"/>
                  <w:sz w:val="18"/>
                  <w:szCs w:val="18"/>
                  <w:color w:val="0000EE"/>
                  <w:w w:val="96"/>
                </w:rPr>
                <w:t>Amended and Restated Matson, Inc. 2016 Incentive Compensation Plan (incorporated by reference to</w:t>
              </w:r>
            </w:hyperlink>
          </w:p>
        </w:tc>
      </w:tr>
      <w:tr>
        <w:trPr>
          <w:trHeight w:val="196"/>
        </w:trPr>
        <w:tc>
          <w:tcPr>
            <w:tcW w:w="106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Exhibit 99.1 of Matson’s Form S-8 date July 30, 2021).</w:t>
              </w:r>
            </w:hyperlink>
          </w:p>
        </w:tc>
        <w:tc>
          <w:tcPr>
            <w:tcW w:w="3320" w:type="dxa"/>
            <w:vAlign w:val="bottom"/>
            <w:tcBorders>
              <w:top w:val="single" w:sz="8" w:color="0000EE"/>
            </w:tcBorders>
            <w:gridSpan w:val="14"/>
          </w:tcPr>
          <w:p>
            <w:pPr>
              <w:spacing w:after="0"/>
              <w:rPr>
                <w:sz w:val="17"/>
                <w:szCs w:val="17"/>
                <w:color w:val="auto"/>
              </w:rPr>
            </w:pPr>
          </w:p>
        </w:tc>
        <w:tc>
          <w:tcPr>
            <w:tcW w:w="500" w:type="dxa"/>
            <w:vAlign w:val="bottom"/>
            <w:gridSpan w:val="11"/>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10.38*</w:t>
            </w:r>
          </w:p>
        </w:tc>
        <w:tc>
          <w:tcPr>
            <w:tcW w:w="7260" w:type="dxa"/>
            <w:vAlign w:val="bottom"/>
            <w:tcBorders>
              <w:bottom w:val="single" w:sz="8" w:color="0000EE"/>
            </w:tcBorders>
            <w:gridSpan w:val="18"/>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Amended and Restated Matson, Inc. Cash Incentive Plan, effective January 1, 2016 (incorporated by</w:t>
              </w:r>
            </w:hyperlink>
          </w:p>
        </w:tc>
        <w:tc>
          <w:tcPr>
            <w:tcW w:w="560" w:type="dxa"/>
            <w:vAlign w:val="bottom"/>
            <w:gridSpan w:val="1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reference to Exhibit 10.63 of Matson’s Form 10-K for the year ended December 31, 2016).</w:t>
              </w:r>
            </w:hyperlink>
          </w:p>
        </w:tc>
      </w:tr>
      <w:tr>
        <w:trPr>
          <w:trHeight w:val="20"/>
        </w:trPr>
        <w:tc>
          <w:tcPr>
            <w:tcW w:w="106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020" w:type="dxa"/>
            <w:vAlign w:val="bottom"/>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10.39*</w:t>
            </w:r>
          </w:p>
        </w:tc>
        <w:tc>
          <w:tcPr>
            <w:tcW w:w="7460" w:type="dxa"/>
            <w:vAlign w:val="bottom"/>
            <w:tcBorders>
              <w:bottom w:val="single" w:sz="8" w:color="0000EE"/>
            </w:tcBorders>
            <w:gridSpan w:val="21"/>
          </w:tcPr>
          <w:p>
            <w:pPr>
              <w:spacing w:after="0"/>
              <w:rPr>
                <w:rFonts w:ascii="Arial" w:cs="Arial" w:eastAsia="Arial" w:hAnsi="Arial"/>
                <w:sz w:val="18"/>
                <w:szCs w:val="18"/>
                <w:color w:val="0000EE"/>
                <w:w w:val="92"/>
              </w:rPr>
            </w:pPr>
            <w:hyperlink r:id="rId154">
              <w:r>
                <w:rPr>
                  <w:rFonts w:ascii="Arial" w:cs="Arial" w:eastAsia="Arial" w:hAnsi="Arial"/>
                  <w:sz w:val="18"/>
                  <w:szCs w:val="18"/>
                  <w:color w:val="0000EE"/>
                  <w:w w:val="92"/>
                </w:rPr>
                <w:t>Form of 2016 Plan Restricted Stock Unit Award Agreement for Non-Employee Directors (No Deferral)</w:t>
              </w:r>
            </w:hyperlink>
          </w:p>
        </w:tc>
        <w:tc>
          <w:tcPr>
            <w:tcW w:w="36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(incorporated by reference to Exhibit 10.64 of Matson’s Form 10-K for the year ended December 31, 2016).</w:t>
              </w:r>
            </w:hyperlink>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10.40*</w:t>
            </w:r>
          </w:p>
        </w:tc>
        <w:tc>
          <w:tcPr>
            <w:tcW w:w="71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Form of 2016 Plan Restricted Stock Unit Award Agreement for Non-Employee Directors (Deferral</w:t>
              </w:r>
            </w:hyperlink>
          </w:p>
        </w:tc>
        <w:tc>
          <w:tcPr>
            <w:tcW w:w="640" w:type="dxa"/>
            <w:vAlign w:val="bottom"/>
            <w:tcBorders>
              <w:top w:val="single" w:sz="8" w:color="0000EE"/>
            </w:tcBorders>
            <w:gridSpan w:val="14"/>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Election) (incorporated by reference to Exhibit 10.65 of Matson’s Form 10-K for the year ended</w:t>
              </w:r>
            </w:hyperlink>
          </w:p>
        </w:tc>
      </w:tr>
      <w:tr>
        <w:trPr>
          <w:trHeight w:val="196"/>
        </w:trPr>
        <w:tc>
          <w:tcPr>
            <w:tcW w:w="1060" w:type="dxa"/>
            <w:vAlign w:val="bottom"/>
          </w:tcPr>
          <w:p>
            <w:pPr>
              <w:spacing w:after="0"/>
              <w:rPr>
                <w:sz w:val="17"/>
                <w:szCs w:val="17"/>
                <w:color w:val="auto"/>
              </w:rPr>
            </w:pPr>
          </w:p>
        </w:tc>
        <w:tc>
          <w:tcPr>
            <w:tcW w:w="69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December 31, 2016).</w:t>
              </w:r>
            </w:hyperlink>
          </w:p>
        </w:tc>
        <w:tc>
          <w:tcPr>
            <w:tcW w:w="900" w:type="dxa"/>
            <w:vAlign w:val="bottom"/>
            <w:gridSpan w:val="18"/>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1060" w:type="dxa"/>
            <w:vAlign w:val="bottom"/>
          </w:tcPr>
          <w:p>
            <w:pPr>
              <w:spacing w:after="0"/>
              <w:rPr>
                <w:sz w:val="20"/>
                <w:szCs w:val="20"/>
                <w:color w:val="auto"/>
              </w:rPr>
            </w:pPr>
            <w:r>
              <w:rPr>
                <w:rFonts w:ascii="Arial" w:cs="Arial" w:eastAsia="Arial" w:hAnsi="Arial"/>
                <w:sz w:val="18"/>
                <w:szCs w:val="18"/>
                <w:color w:val="auto"/>
              </w:rPr>
              <w:t>10.41*</w:t>
            </w:r>
          </w:p>
        </w:tc>
        <w:tc>
          <w:tcPr>
            <w:tcW w:w="7820" w:type="dxa"/>
            <w:vAlign w:val="bottom"/>
            <w:gridSpan w:val="30"/>
          </w:tcPr>
          <w:p>
            <w:pPr>
              <w:spacing w:after="0"/>
              <w:rPr>
                <w:rFonts w:ascii="Arial" w:cs="Arial" w:eastAsia="Arial" w:hAnsi="Arial"/>
                <w:sz w:val="18"/>
                <w:szCs w:val="18"/>
                <w:color w:val="0000EE"/>
              </w:rPr>
            </w:pPr>
            <w:hyperlink r:id="rId156">
              <w:r>
                <w:rPr>
                  <w:rFonts w:ascii="Arial" w:cs="Arial" w:eastAsia="Arial" w:hAnsi="Arial"/>
                  <w:sz w:val="18"/>
                  <w:szCs w:val="18"/>
                  <w:color w:val="0000EE"/>
                </w:rPr>
                <w:t>Form of 2016 Plan Time-Based Restricted Stock Unit Agreement for Non-Executive Employees</w:t>
              </w:r>
            </w:hyperlink>
          </w:p>
        </w:tc>
      </w:tr>
      <w:tr>
        <w:trPr>
          <w:trHeight w:val="20"/>
        </w:trPr>
        <w:tc>
          <w:tcPr>
            <w:tcW w:w="1060" w:type="dxa"/>
            <w:vAlign w:val="bottom"/>
          </w:tcPr>
          <w:p>
            <w:pPr>
              <w:spacing w:after="0" w:line="20" w:lineRule="exact"/>
              <w:rPr>
                <w:sz w:val="1"/>
                <w:szCs w:val="1"/>
                <w:color w:val="auto"/>
              </w:rPr>
            </w:pPr>
          </w:p>
        </w:tc>
        <w:tc>
          <w:tcPr>
            <w:tcW w:w="6760" w:type="dxa"/>
            <w:vAlign w:val="bottom"/>
            <w:tcBorders>
              <w:right w:val="single" w:sz="8" w:color="0000EE"/>
            </w:tcBorders>
            <w:gridSpan w:val="10"/>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(incorporated by reference to Exhibit 10.60 of Matson’s Form 10-K for the year ended December 31, 2017).</w:t>
              </w:r>
            </w:hyperlink>
          </w:p>
        </w:tc>
      </w:tr>
      <w:tr>
        <w:trPr>
          <w:trHeight w:val="20"/>
        </w:trPr>
        <w:tc>
          <w:tcPr>
            <w:tcW w:w="1060" w:type="dxa"/>
            <w:vAlign w:val="bottom"/>
          </w:tcPr>
          <w:p>
            <w:pPr>
              <w:spacing w:after="0" w:line="20" w:lineRule="exact"/>
              <w:rPr>
                <w:sz w:val="1"/>
                <w:szCs w:val="1"/>
                <w:color w:val="auto"/>
              </w:rPr>
            </w:pPr>
          </w:p>
        </w:tc>
        <w:tc>
          <w:tcPr>
            <w:tcW w:w="6760" w:type="dxa"/>
            <w:vAlign w:val="bottom"/>
            <w:tcBorders>
              <w:right w:val="single" w:sz="8" w:color="0000EE"/>
            </w:tcBorders>
            <w:gridSpan w:val="10"/>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10.42*</w:t>
            </w:r>
          </w:p>
        </w:tc>
        <w:tc>
          <w:tcPr>
            <w:tcW w:w="7820" w:type="dxa"/>
            <w:vAlign w:val="bottom"/>
            <w:tcBorders>
              <w:bottom w:val="single" w:sz="8" w:color="0000EE"/>
            </w:tcBorders>
            <w:gridSpan w:val="30"/>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Form of 2016 Plan Time-Based Restricted Stock Unit Agreement for Executive Employees (incorporated by</w:t>
              </w:r>
            </w:hyperlink>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reference to Exhibit 10.61 of Matson’s Form 10-K for the year ended December 31, 2017).</w:t>
              </w:r>
            </w:hyperlink>
          </w:p>
        </w:tc>
      </w:tr>
      <w:tr>
        <w:trPr>
          <w:trHeight w:val="20"/>
        </w:trPr>
        <w:tc>
          <w:tcPr>
            <w:tcW w:w="1060" w:type="dxa"/>
            <w:vAlign w:val="bottom"/>
          </w:tcPr>
          <w:p>
            <w:pPr>
              <w:spacing w:after="0" w:line="20" w:lineRule="exact"/>
              <w:rPr>
                <w:sz w:val="1"/>
                <w:szCs w:val="1"/>
                <w:color w:val="auto"/>
              </w:rPr>
            </w:pPr>
          </w:p>
        </w:tc>
        <w:tc>
          <w:tcPr>
            <w:tcW w:w="6540" w:type="dxa"/>
            <w:vAlign w:val="bottom"/>
            <w:gridSpan w:val="8"/>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10.43*</w:t>
            </w:r>
          </w:p>
        </w:tc>
        <w:tc>
          <w:tcPr>
            <w:tcW w:w="7620" w:type="dxa"/>
            <w:vAlign w:val="bottom"/>
            <w:tcBorders>
              <w:bottom w:val="single" w:sz="8" w:color="0000EE"/>
            </w:tcBorders>
            <w:gridSpan w:val="24"/>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Form of 2016 Plan Performance Share Award Agreement for Non-Executive Employees (incorporated by</w:t>
              </w:r>
            </w:hyperlink>
          </w:p>
        </w:tc>
        <w:tc>
          <w:tcPr>
            <w:tcW w:w="20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reference to Exhibit 10.62 of Matson’s Form 10-K for the year ended December 31, 2017).</w:t>
              </w:r>
            </w:hyperlink>
          </w:p>
        </w:tc>
      </w:tr>
      <w:tr>
        <w:trPr>
          <w:trHeight w:val="20"/>
        </w:trPr>
        <w:tc>
          <w:tcPr>
            <w:tcW w:w="1060" w:type="dxa"/>
            <w:vAlign w:val="bottom"/>
          </w:tcPr>
          <w:p>
            <w:pPr>
              <w:spacing w:after="0" w:line="20" w:lineRule="exact"/>
              <w:rPr>
                <w:sz w:val="1"/>
                <w:szCs w:val="1"/>
                <w:color w:val="auto"/>
              </w:rPr>
            </w:pPr>
          </w:p>
        </w:tc>
        <w:tc>
          <w:tcPr>
            <w:tcW w:w="6540" w:type="dxa"/>
            <w:vAlign w:val="bottom"/>
            <w:gridSpan w:val="8"/>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580" w:type="dxa"/>
            <w:vAlign w:val="bottom"/>
            <w:gridSpan w:val="13"/>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10.44*</w:t>
            </w:r>
          </w:p>
        </w:tc>
        <w:tc>
          <w:tcPr>
            <w:tcW w:w="7820" w:type="dxa"/>
            <w:vAlign w:val="bottom"/>
            <w:gridSpan w:val="30"/>
          </w:tcPr>
          <w:p>
            <w:pPr>
              <w:spacing w:after="0"/>
              <w:rPr>
                <w:rFonts w:ascii="Arial" w:cs="Arial" w:eastAsia="Arial" w:hAnsi="Arial"/>
                <w:sz w:val="18"/>
                <w:szCs w:val="18"/>
                <w:color w:val="0000EE"/>
                <w:w w:val="97"/>
              </w:rPr>
            </w:pPr>
            <w:hyperlink r:id="rId159">
              <w:r>
                <w:rPr>
                  <w:rFonts w:ascii="Arial" w:cs="Arial" w:eastAsia="Arial" w:hAnsi="Arial"/>
                  <w:sz w:val="18"/>
                  <w:szCs w:val="18"/>
                  <w:color w:val="0000EE"/>
                  <w:w w:val="97"/>
                </w:rPr>
                <w:t>Form of 2016 Plan Performance Share Award Agreement for Executive Employees (incorporated by</w:t>
              </w:r>
            </w:hyperlink>
          </w:p>
        </w:tc>
      </w:tr>
      <w:tr>
        <w:trPr>
          <w:trHeight w:val="196"/>
        </w:trPr>
        <w:tc>
          <w:tcPr>
            <w:tcW w:w="1060" w:type="dxa"/>
            <w:vAlign w:val="bottom"/>
          </w:tcPr>
          <w:p>
            <w:pPr>
              <w:spacing w:after="0"/>
              <w:rPr>
                <w:sz w:val="17"/>
                <w:szCs w:val="17"/>
                <w:color w:val="auto"/>
              </w:rPr>
            </w:pPr>
          </w:p>
        </w:tc>
        <w:tc>
          <w:tcPr>
            <w:tcW w:w="72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reference to Exhibit 10.63 of Matson’s Form 10-K for the year ended December 31, 2017).</w:t>
              </w:r>
            </w:hyperlink>
          </w:p>
        </w:tc>
        <w:tc>
          <w:tcPr>
            <w:tcW w:w="580" w:type="dxa"/>
            <w:vAlign w:val="bottom"/>
            <w:gridSpan w:val="1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6540" w:type="dxa"/>
            <w:vAlign w:val="bottom"/>
            <w:gridSpan w:val="8"/>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gridSpan w:val="20"/>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10.45*</w:t>
            </w:r>
          </w:p>
        </w:tc>
        <w:tc>
          <w:tcPr>
            <w:tcW w:w="7620" w:type="dxa"/>
            <w:vAlign w:val="bottom"/>
            <w:tcBorders>
              <w:bottom w:val="single" w:sz="8" w:color="0000EE"/>
            </w:tcBorders>
            <w:gridSpan w:val="24"/>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Form of 2016 Plan Performance Share Award Agreement for Executive Employees (ROIC) (incorporated</w:t>
              </w:r>
            </w:hyperlink>
          </w:p>
        </w:tc>
        <w:tc>
          <w:tcPr>
            <w:tcW w:w="20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0"/>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by reference to Exhibit 10.47 of Matson’s Form 10-K for the year ended December 31, 2020).</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10.46*</w:t>
            </w:r>
          </w:p>
        </w:tc>
        <w:tc>
          <w:tcPr>
            <w:tcW w:w="7740" w:type="dxa"/>
            <w:vAlign w:val="bottom"/>
            <w:tcBorders>
              <w:bottom w:val="single" w:sz="8" w:color="0000EE"/>
            </w:tcBorders>
            <w:gridSpan w:val="18"/>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Form of 2016 Plan Performance Share Award Agreement for Executive Employees (TSR) (incorporated by</w:t>
              </w:r>
            </w:hyperlink>
          </w:p>
        </w:tc>
        <w:tc>
          <w:tcPr>
            <w:tcW w:w="8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reference to Exhibit 10.48 of Matson’s Form 10-K for the year ended December 31, 2020).</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10.47*</w:t>
            </w:r>
          </w:p>
        </w:tc>
        <w:tc>
          <w:tcPr>
            <w:tcW w:w="7620" w:type="dxa"/>
            <w:vAlign w:val="bottom"/>
            <w:tcBorders>
              <w:bottom w:val="single" w:sz="8" w:color="0000EE"/>
            </w:tcBorders>
            <w:gridSpan w:val="14"/>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Form of 2016 Plan Performance Share Award Agreement for Non-Executive Employees (incorporated by</w:t>
              </w:r>
            </w:hyperlink>
          </w:p>
        </w:tc>
        <w:tc>
          <w:tcPr>
            <w:tcW w:w="20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reference to Exhibit 10.49 of Matson’s Form 10-K for the year ended December 31, 2020).</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10.48*</w:t>
            </w:r>
          </w:p>
        </w:tc>
        <w:tc>
          <w:tcPr>
            <w:tcW w:w="7820" w:type="dxa"/>
            <w:vAlign w:val="bottom"/>
            <w:tcBorders>
              <w:bottom w:val="single" w:sz="8" w:color="0000EE"/>
            </w:tcBorders>
            <w:gridSpan w:val="20"/>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Form of 2016 Plan Time-Based Restricted Stock Unit Agreement for Executive Employees (incorporated by</w:t>
              </w:r>
            </w:hyperlink>
          </w:p>
        </w:tc>
      </w:tr>
      <w:tr>
        <w:trPr>
          <w:trHeight w:val="196"/>
        </w:trPr>
        <w:tc>
          <w:tcPr>
            <w:tcW w:w="1060" w:type="dxa"/>
            <w:vAlign w:val="bottom"/>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reference to Exhibit 10.50 of Matson’s Form 10-K for the year ended December 31, 2020).</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10.49*</w:t>
            </w:r>
          </w:p>
        </w:tc>
        <w:tc>
          <w:tcPr>
            <w:tcW w:w="7820" w:type="dxa"/>
            <w:vAlign w:val="bottom"/>
            <w:gridSpan w:val="20"/>
          </w:tcPr>
          <w:p>
            <w:pPr>
              <w:spacing w:after="0"/>
              <w:rPr>
                <w:rFonts w:ascii="Arial" w:cs="Arial" w:eastAsia="Arial" w:hAnsi="Arial"/>
                <w:sz w:val="18"/>
                <w:szCs w:val="18"/>
                <w:color w:val="0000EE"/>
              </w:rPr>
            </w:pPr>
            <w:hyperlink r:id="rId165">
              <w:r>
                <w:rPr>
                  <w:rFonts w:ascii="Arial" w:cs="Arial" w:eastAsia="Arial" w:hAnsi="Arial"/>
                  <w:sz w:val="18"/>
                  <w:szCs w:val="18"/>
                  <w:color w:val="0000EE"/>
                </w:rPr>
                <w:t>Form of 2016 Plan Time-Based Restricted Stock Unit Agreement for Non-Executive Employees</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(incorporated by reference to Exhibit 10.51 of Matson’s Form 10-K for the year ended December 31, 2020).</w:t>
              </w:r>
            </w:hyperlink>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10.50*</w:t>
            </w:r>
          </w:p>
        </w:tc>
        <w:tc>
          <w:tcPr>
            <w:tcW w:w="74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r:id="rId166">
              <w:r>
                <w:rPr>
                  <w:rFonts w:ascii="Arial" w:cs="Arial" w:eastAsia="Arial" w:hAnsi="Arial"/>
                  <w:sz w:val="18"/>
                  <w:szCs w:val="18"/>
                  <w:color w:val="0000EE"/>
                  <w:w w:val="92"/>
                </w:rPr>
                <w:t>Form of 2016 Plan Restricted Stock Unit Award Agreement for Non-Employee Directors (No Deferral)</w:t>
              </w:r>
            </w:hyperlink>
          </w:p>
        </w:tc>
        <w:tc>
          <w:tcPr>
            <w:tcW w:w="320" w:type="dxa"/>
            <w:vAlign w:val="bottom"/>
            <w:tcBorders>
              <w:top w:val="single" w:sz="8" w:color="0000EE"/>
            </w:tcBorders>
            <w:gridSpan w:val="6"/>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(incorporated by reference to Exhibit 10.52 of Matson’s Form 10-K for the year ended December 31, 2020).</w:t>
              </w:r>
            </w:hyperlink>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10.51*</w:t>
            </w:r>
          </w:p>
        </w:tc>
        <w:tc>
          <w:tcPr>
            <w:tcW w:w="71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r:id="rId167">
              <w:r>
                <w:rPr>
                  <w:rFonts w:ascii="Arial" w:cs="Arial" w:eastAsia="Arial" w:hAnsi="Arial"/>
                  <w:sz w:val="18"/>
                  <w:szCs w:val="18"/>
                  <w:color w:val="0000EE"/>
                  <w:w w:val="92"/>
                </w:rPr>
                <w:t>Form of 2016 Plan Restricted Stock Unit Award Agreement for Non-Employee Directors (Deferral</w:t>
              </w:r>
            </w:hyperlink>
          </w:p>
        </w:tc>
        <w:tc>
          <w:tcPr>
            <w:tcW w:w="640" w:type="dxa"/>
            <w:vAlign w:val="bottom"/>
            <w:tcBorders>
              <w:top w:val="single" w:sz="8" w:color="0000EE"/>
            </w:tcBorders>
            <w:gridSpan w:val="9"/>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Election) (incorporated by reference to Exhibit 10.53 of Matson’s Form 10-K for the year ended December</w:t>
              </w:r>
            </w:hyperlink>
          </w:p>
        </w:tc>
      </w:tr>
      <w:tr>
        <w:trPr>
          <w:trHeight w:val="196"/>
        </w:trPr>
        <w:tc>
          <w:tcPr>
            <w:tcW w:w="10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67">
              <w:r>
                <w:rPr>
                  <w:rFonts w:ascii="Arial" w:cs="Arial" w:eastAsia="Arial" w:hAnsi="Arial"/>
                  <w:sz w:val="18"/>
                  <w:szCs w:val="18"/>
                  <w:color w:val="0000EE"/>
                  <w:w w:val="88"/>
                </w:rPr>
                <w:t>31, 2020).</w:t>
              </w:r>
            </w:hyperlink>
          </w:p>
        </w:tc>
        <w:tc>
          <w:tcPr>
            <w:tcW w:w="29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10.52</w:t>
            </w:r>
          </w:p>
        </w:tc>
        <w:tc>
          <w:tcPr>
            <w:tcW w:w="7820" w:type="dxa"/>
            <w:vAlign w:val="bottom"/>
            <w:gridSpan w:val="20"/>
          </w:tcPr>
          <w:p>
            <w:pPr>
              <w:spacing w:after="0"/>
              <w:rPr>
                <w:rFonts w:ascii="Arial" w:cs="Arial" w:eastAsia="Arial" w:hAnsi="Arial"/>
                <w:sz w:val="18"/>
                <w:szCs w:val="18"/>
                <w:color w:val="0000EE"/>
                <w:w w:val="95"/>
              </w:rPr>
            </w:pPr>
            <w:hyperlink r:id="rId168">
              <w:r>
                <w:rPr>
                  <w:rFonts w:ascii="Arial" w:cs="Arial" w:eastAsia="Arial" w:hAnsi="Arial"/>
                  <w:sz w:val="18"/>
                  <w:szCs w:val="18"/>
                  <w:color w:val="0000EE"/>
                  <w:w w:val="95"/>
                </w:rPr>
                <w:t>Amendment to Third Amended and Restated Note Purchase and Private Shelf Agreement, dated as of</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0"/>
          </w:tcPr>
          <w:p>
            <w:pPr>
              <w:spacing w:after="0" w:line="196" w:lineRule="exact"/>
              <w:rPr>
                <w:rFonts w:ascii="Arial" w:cs="Arial" w:eastAsia="Arial" w:hAnsi="Arial"/>
                <w:sz w:val="18"/>
                <w:szCs w:val="18"/>
                <w:color w:val="0000EE"/>
                <w:w w:val="96"/>
              </w:rPr>
            </w:pPr>
            <w:hyperlink r:id="rId168">
              <w:r>
                <w:rPr>
                  <w:rFonts w:ascii="Arial" w:cs="Arial" w:eastAsia="Arial" w:hAnsi="Arial"/>
                  <w:sz w:val="18"/>
                  <w:szCs w:val="18"/>
                  <w:color w:val="0000EE"/>
                  <w:w w:val="96"/>
                </w:rPr>
                <w:t>March 31, 2021 (incorporated by reference to Exhibit 10.2 of Matson’s Form 8-K dated April 5, 2021).</w:t>
              </w:r>
            </w:hyperlink>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10.53</w:t>
            </w:r>
          </w:p>
        </w:tc>
        <w:tc>
          <w:tcPr>
            <w:tcW w:w="7420" w:type="dxa"/>
            <w:vAlign w:val="bottom"/>
            <w:tcBorders>
              <w:top w:val="single" w:sz="8" w:color="0000EE"/>
            </w:tcBorders>
            <w:gridSpan w:val="12"/>
          </w:tcPr>
          <w:p>
            <w:pPr>
              <w:spacing w:after="0"/>
              <w:rPr>
                <w:rFonts w:ascii="Arial" w:cs="Arial" w:eastAsia="Arial" w:hAnsi="Arial"/>
                <w:sz w:val="18"/>
                <w:szCs w:val="18"/>
                <w:color w:val="0000EE"/>
                <w:w w:val="95"/>
              </w:rPr>
            </w:pPr>
            <w:hyperlink r:id="rId169">
              <w:r>
                <w:rPr>
                  <w:rFonts w:ascii="Arial" w:cs="Arial" w:eastAsia="Arial" w:hAnsi="Arial"/>
                  <w:sz w:val="18"/>
                  <w:szCs w:val="18"/>
                  <w:color w:val="0000EE"/>
                  <w:w w:val="95"/>
                </w:rPr>
                <w:t>Amendment to Note Purchase Agreement dated December 21, 2016, dated as of March 31, 2021</w:t>
              </w:r>
            </w:hyperlink>
          </w:p>
        </w:tc>
        <w:tc>
          <w:tcPr>
            <w:tcW w:w="40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(incorporated by reference to Exhibit 10.3 of Matson’s Form 8-K dated April 5, 2021).</w:t>
              </w:r>
            </w:hyperlink>
          </w:p>
        </w:tc>
        <w:tc>
          <w:tcPr>
            <w:tcW w:w="720" w:type="dxa"/>
            <w:vAlign w:val="bottom"/>
            <w:tcBorders>
              <w:top w:val="single" w:sz="8" w:color="0000EE"/>
            </w:tcBorders>
            <w:gridSpan w:val="3"/>
          </w:tcPr>
          <w:p>
            <w:pPr>
              <w:spacing w:after="0"/>
              <w:rPr>
                <w:sz w:val="17"/>
                <w:szCs w:val="17"/>
                <w:color w:val="auto"/>
              </w:rPr>
            </w:pPr>
          </w:p>
        </w:tc>
        <w:tc>
          <w:tcPr>
            <w:tcW w:w="860" w:type="dxa"/>
            <w:vAlign w:val="bottom"/>
            <w:gridSpan w:val="11"/>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21**</w:t>
            </w:r>
          </w:p>
        </w:tc>
        <w:tc>
          <w:tcPr>
            <w:tcW w:w="7820" w:type="dxa"/>
            <w:vAlign w:val="bottom"/>
            <w:gridSpan w:val="20"/>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Matson, Inc. Subsidiaries as of December 31, 2021.</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98"/>
        </w:trPr>
        <w:tc>
          <w:tcPr>
            <w:tcW w:w="1060" w:type="dxa"/>
            <w:vAlign w:val="bottom"/>
          </w:tcPr>
          <w:p>
            <w:pPr>
              <w:spacing w:after="0"/>
              <w:rPr>
                <w:sz w:val="20"/>
                <w:szCs w:val="20"/>
                <w:color w:val="auto"/>
              </w:rPr>
            </w:pPr>
            <w:r>
              <w:rPr>
                <w:rFonts w:ascii="Arial" w:cs="Arial" w:eastAsia="Arial" w:hAnsi="Arial"/>
                <w:sz w:val="18"/>
                <w:szCs w:val="18"/>
                <w:color w:val="auto"/>
              </w:rPr>
              <w:t>23**</w:t>
            </w:r>
          </w:p>
        </w:tc>
        <w:tc>
          <w:tcPr>
            <w:tcW w:w="7820" w:type="dxa"/>
            <w:vAlign w:val="bottom"/>
            <w:gridSpan w:val="20"/>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Consent of Deloitte &amp; Touche, LLP dated February 25, 2022.</w:t>
              </w:r>
            </w:hyperlink>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98"/>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7820" w:type="dxa"/>
            <w:vAlign w:val="bottom"/>
            <w:gridSpan w:val="20"/>
          </w:tcPr>
          <w:p>
            <w:pPr>
              <w:spacing w:after="0"/>
              <w:rPr>
                <w:rFonts w:ascii="Arial" w:cs="Arial" w:eastAsia="Arial" w:hAnsi="Arial"/>
                <w:sz w:val="18"/>
                <w:szCs w:val="18"/>
                <w:color w:val="0000EE"/>
                <w:w w:val="93"/>
              </w:rPr>
            </w:pPr>
            <w:hyperlink w:anchor="page120">
              <w:r>
                <w:rPr>
                  <w:rFonts w:ascii="Arial" w:cs="Arial" w:eastAsia="Arial" w:hAnsi="Arial"/>
                  <w:sz w:val="18"/>
                  <w:szCs w:val="18"/>
                  <w:color w:val="0000EE"/>
                  <w:w w:val="93"/>
                </w:rPr>
                <w:t>Certification of Chief Executive Officer, as Adopted Pursuant to Section 302 of the Sarbanes-Oxley Act of</w:t>
              </w:r>
            </w:hyperlink>
          </w:p>
        </w:tc>
      </w:tr>
      <w:tr>
        <w:trPr>
          <w:trHeight w:val="196"/>
        </w:trPr>
        <w:tc>
          <w:tcPr>
            <w:tcW w:w="10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20">
              <w:r>
                <w:rPr>
                  <w:rFonts w:ascii="Arial" w:cs="Arial" w:eastAsia="Arial" w:hAnsi="Arial"/>
                  <w:sz w:val="18"/>
                  <w:szCs w:val="18"/>
                  <w:color w:val="0000EE"/>
                  <w:w w:val="84"/>
                </w:rPr>
                <w:t>2002.</w:t>
              </w:r>
            </w:hyperlink>
          </w:p>
        </w:tc>
        <w:tc>
          <w:tcPr>
            <w:tcW w:w="340" w:type="dxa"/>
            <w:vAlign w:val="bottom"/>
            <w:tcBorders>
              <w:top w:val="single" w:sz="8" w:color="0000EE"/>
            </w:tcBorders>
          </w:tcPr>
          <w:p>
            <w:pPr>
              <w:spacing w:after="0"/>
              <w:rPr>
                <w:sz w:val="17"/>
                <w:szCs w:val="17"/>
                <w:color w:val="auto"/>
              </w:rPr>
            </w:pPr>
          </w:p>
        </w:tc>
        <w:tc>
          <w:tcPr>
            <w:tcW w:w="29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98"/>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7820" w:type="dxa"/>
            <w:vAlign w:val="bottom"/>
            <w:gridSpan w:val="20"/>
          </w:tcPr>
          <w:p>
            <w:pPr>
              <w:spacing w:after="0"/>
              <w:rPr>
                <w:rFonts w:ascii="Arial" w:cs="Arial" w:eastAsia="Arial" w:hAnsi="Arial"/>
                <w:sz w:val="18"/>
                <w:szCs w:val="18"/>
                <w:color w:val="0000EE"/>
                <w:w w:val="93"/>
              </w:rPr>
            </w:pPr>
            <w:hyperlink w:anchor="page121">
              <w:r>
                <w:rPr>
                  <w:rFonts w:ascii="Arial" w:cs="Arial" w:eastAsia="Arial" w:hAnsi="Arial"/>
                  <w:sz w:val="18"/>
                  <w:szCs w:val="18"/>
                  <w:color w:val="0000EE"/>
                  <w:w w:val="93"/>
                </w:rPr>
                <w:t>Certification of Chief Financial Officer, as Adopted Pursuant to Section 302 of the Sarbanes-Oxley Act of</w:t>
              </w:r>
            </w:hyperlink>
          </w:p>
        </w:tc>
      </w:tr>
      <w:tr>
        <w:trPr>
          <w:trHeight w:val="196"/>
        </w:trPr>
        <w:tc>
          <w:tcPr>
            <w:tcW w:w="10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21">
              <w:r>
                <w:rPr>
                  <w:rFonts w:ascii="Arial" w:cs="Arial" w:eastAsia="Arial" w:hAnsi="Arial"/>
                  <w:sz w:val="18"/>
                  <w:szCs w:val="18"/>
                  <w:color w:val="0000EE"/>
                  <w:w w:val="84"/>
                </w:rPr>
                <w:t>2002.</w:t>
              </w:r>
            </w:hyperlink>
          </w:p>
        </w:tc>
        <w:tc>
          <w:tcPr>
            <w:tcW w:w="340" w:type="dxa"/>
            <w:vAlign w:val="bottom"/>
            <w:tcBorders>
              <w:top w:val="single" w:sz="8" w:color="0000EE"/>
            </w:tcBorders>
          </w:tcPr>
          <w:p>
            <w:pPr>
              <w:spacing w:after="0"/>
              <w:rPr>
                <w:sz w:val="17"/>
                <w:szCs w:val="17"/>
                <w:color w:val="auto"/>
              </w:rPr>
            </w:pPr>
          </w:p>
        </w:tc>
        <w:tc>
          <w:tcPr>
            <w:tcW w:w="29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5"/>
        </w:trPr>
        <w:tc>
          <w:tcPr>
            <w:tcW w:w="1060" w:type="dxa"/>
            <w:vAlign w:val="bottom"/>
          </w:tcPr>
          <w:p>
            <w:pPr>
              <w:spacing w:after="0"/>
              <w:rPr>
                <w:sz w:val="20"/>
                <w:szCs w:val="20"/>
                <w:color w:val="auto"/>
              </w:rPr>
            </w:pPr>
            <w:r>
              <w:rPr>
                <w:rFonts w:ascii="Arial" w:cs="Arial" w:eastAsia="Arial" w:hAnsi="Arial"/>
                <w:sz w:val="18"/>
                <w:szCs w:val="18"/>
                <w:color w:val="auto"/>
              </w:rPr>
              <w:t>32***</w:t>
            </w:r>
          </w:p>
        </w:tc>
        <w:tc>
          <w:tcPr>
            <w:tcW w:w="7820" w:type="dxa"/>
            <w:vAlign w:val="bottom"/>
            <w:gridSpan w:val="20"/>
          </w:tcPr>
          <w:p>
            <w:pPr>
              <w:spacing w:after="0"/>
              <w:rPr>
                <w:rFonts w:ascii="Arial" w:cs="Arial" w:eastAsia="Arial" w:hAnsi="Arial"/>
                <w:sz w:val="18"/>
                <w:szCs w:val="18"/>
                <w:color w:val="0000EE"/>
                <w:w w:val="92"/>
              </w:rPr>
            </w:pPr>
            <w:hyperlink w:anchor="page122">
              <w:r>
                <w:rPr>
                  <w:rFonts w:ascii="Arial" w:cs="Arial" w:eastAsia="Arial" w:hAnsi="Arial"/>
                  <w:sz w:val="18"/>
                  <w:szCs w:val="18"/>
                  <w:color w:val="0000EE"/>
                  <w:w w:val="92"/>
                </w:rPr>
                <w:t>Certification of Chief Executive Officer and Chief Financial Officer Pursuant to 18 U.S.C. Section 1350, as</w:t>
              </w:r>
            </w:hyperlink>
          </w:p>
        </w:tc>
      </w:tr>
      <w:tr>
        <w:trPr>
          <w:trHeight w:val="196"/>
        </w:trPr>
        <w:tc>
          <w:tcPr>
            <w:tcW w:w="1060" w:type="dxa"/>
            <w:vAlign w:val="bottom"/>
          </w:tcPr>
          <w:p>
            <w:pPr>
              <w:spacing w:after="0"/>
              <w:rPr>
                <w:sz w:val="17"/>
                <w:szCs w:val="17"/>
                <w:color w:val="auto"/>
              </w:rPr>
            </w:pPr>
          </w:p>
        </w:tc>
        <w:tc>
          <w:tcPr>
            <w:tcW w:w="77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Adopted Pursuant to Section 906 of the Sarbanes-Oxley Act of 2002.</w:t>
              </w:r>
            </w:hyperlink>
          </w:p>
        </w:tc>
        <w:tc>
          <w:tcPr>
            <w:tcW w:w="80" w:type="dxa"/>
            <w:vAlign w:val="bottom"/>
            <w:gridSpan w:val="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980" w:type="dxa"/>
            <w:vAlign w:val="bottom"/>
            <w:gridSpan w:val="5"/>
            <w:shd w:val="clear" w:color="auto" w:fill="0000EE"/>
          </w:tcPr>
          <w:p>
            <w:pPr>
              <w:spacing w:after="0" w:line="20" w:lineRule="exact"/>
              <w:rPr>
                <w:sz w:val="1"/>
                <w:szCs w:val="1"/>
                <w:color w:val="auto"/>
              </w:rPr>
            </w:pPr>
          </w:p>
        </w:tc>
        <w:tc>
          <w:tcPr>
            <w:tcW w:w="2840" w:type="dxa"/>
            <w:vAlign w:val="bottom"/>
            <w:gridSpan w:val="15"/>
          </w:tcPr>
          <w:p>
            <w:pPr>
              <w:spacing w:after="0" w:line="20" w:lineRule="exact"/>
              <w:rPr>
                <w:sz w:val="1"/>
                <w:szCs w:val="1"/>
                <w:color w:val="auto"/>
              </w:rPr>
            </w:pPr>
          </w:p>
        </w:tc>
      </w:tr>
      <w:tr>
        <w:trPr>
          <w:trHeight w:val="384"/>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7820" w:type="dxa"/>
            <w:vAlign w:val="bottom"/>
            <w:gridSpan w:val="20"/>
          </w:tcPr>
          <w:p>
            <w:pPr>
              <w:ind w:left="240"/>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w:t>
            </w:r>
          </w:p>
        </w:tc>
      </w:tr>
      <w:tr>
        <w:trPr>
          <w:trHeight w:val="216"/>
        </w:trPr>
        <w:tc>
          <w:tcPr>
            <w:tcW w:w="1060" w:type="dxa"/>
            <w:vAlign w:val="bottom"/>
          </w:tcPr>
          <w:p>
            <w:pPr>
              <w:spacing w:after="0"/>
              <w:rPr>
                <w:sz w:val="18"/>
                <w:szCs w:val="18"/>
                <w:color w:val="auto"/>
              </w:rPr>
            </w:pPr>
          </w:p>
        </w:tc>
        <w:tc>
          <w:tcPr>
            <w:tcW w:w="7820" w:type="dxa"/>
            <w:vAlign w:val="bottom"/>
            <w:gridSpan w:val="20"/>
          </w:tcPr>
          <w:p>
            <w:pPr>
              <w:ind w:left="240"/>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7820" w:type="dxa"/>
            <w:vAlign w:val="bottom"/>
            <w:gridSpan w:val="20"/>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7820" w:type="dxa"/>
            <w:vAlign w:val="bottom"/>
            <w:gridSpan w:val="20"/>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7820" w:type="dxa"/>
            <w:vAlign w:val="bottom"/>
            <w:gridSpan w:val="20"/>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7820" w:type="dxa"/>
            <w:vAlign w:val="bottom"/>
            <w:gridSpan w:val="20"/>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7820" w:type="dxa"/>
            <w:vAlign w:val="bottom"/>
            <w:gridSpan w:val="20"/>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7820" w:type="dxa"/>
            <w:vAlign w:val="bottom"/>
            <w:gridSpan w:val="20"/>
          </w:tcPr>
          <w:p>
            <w:pPr>
              <w:ind w:left="240"/>
              <w:spacing w:after="0"/>
              <w:rPr>
                <w:sz w:val="20"/>
                <w:szCs w:val="20"/>
                <w:color w:val="auto"/>
              </w:rPr>
            </w:pPr>
            <w:r>
              <w:rPr>
                <w:rFonts w:ascii="Arial" w:cs="Arial" w:eastAsia="Arial" w:hAnsi="Arial"/>
                <w:sz w:val="18"/>
                <w:szCs w:val="18"/>
                <w:color w:val="auto"/>
                <w:w w:val="91"/>
              </w:rPr>
              <w:t>Cover Page Interactive Data File – the cover page interactive data file does not appear in the Interactive</w:t>
            </w:r>
          </w:p>
        </w:tc>
      </w:tr>
      <w:tr>
        <w:trPr>
          <w:trHeight w:val="230"/>
        </w:trPr>
        <w:tc>
          <w:tcPr>
            <w:tcW w:w="1060" w:type="dxa"/>
            <w:vAlign w:val="bottom"/>
          </w:tcPr>
          <w:p>
            <w:pPr>
              <w:spacing w:after="0"/>
              <w:rPr>
                <w:sz w:val="20"/>
                <w:szCs w:val="20"/>
                <w:color w:val="auto"/>
              </w:rPr>
            </w:pPr>
          </w:p>
        </w:tc>
        <w:tc>
          <w:tcPr>
            <w:tcW w:w="7820" w:type="dxa"/>
            <w:vAlign w:val="bottom"/>
            <w:gridSpan w:val="20"/>
          </w:tcPr>
          <w:p>
            <w:pPr>
              <w:ind w:left="240"/>
              <w:spacing w:after="0"/>
              <w:rPr>
                <w:sz w:val="20"/>
                <w:szCs w:val="20"/>
                <w:color w:val="auto"/>
              </w:rPr>
            </w:pPr>
            <w:r>
              <w:rPr>
                <w:rFonts w:ascii="Arial" w:cs="Arial" w:eastAsia="Arial" w:hAnsi="Arial"/>
                <w:sz w:val="18"/>
                <w:szCs w:val="18"/>
                <w:color w:val="auto"/>
              </w:rPr>
              <w:t>Data File because its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wp:posOffset>
            </wp:positionV>
            <wp:extent cx="14141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28" w:lineRule="exact"/>
        <w:rPr>
          <w:sz w:val="20"/>
          <w:szCs w:val="20"/>
          <w:color w:val="auto"/>
        </w:rPr>
      </w:pPr>
    </w:p>
    <w:p>
      <w:pPr>
        <w:ind w:left="680" w:hanging="630"/>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16. FORM 10-K SUMMARY</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MATSON, INC.</w:t>
            </w:r>
          </w:p>
        </w:tc>
      </w:tr>
      <w:tr>
        <w:trPr>
          <w:trHeight w:val="224"/>
        </w:trPr>
        <w:tc>
          <w:tcPr>
            <w:tcW w:w="44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418"/>
        </w:trPr>
        <w:tc>
          <w:tcPr>
            <w:tcW w:w="4460" w:type="dxa"/>
            <w:vAlign w:val="bottom"/>
          </w:tcPr>
          <w:p>
            <w:pPr>
              <w:spacing w:after="0"/>
              <w:rPr>
                <w:sz w:val="20"/>
                <w:szCs w:val="20"/>
                <w:color w:val="auto"/>
              </w:rPr>
            </w:pPr>
            <w:r>
              <w:rPr>
                <w:rFonts w:ascii="Arial" w:cs="Arial" w:eastAsia="Arial" w:hAnsi="Arial"/>
                <w:sz w:val="18"/>
                <w:szCs w:val="18"/>
                <w:color w:val="auto"/>
              </w:rPr>
              <w:t>Date: February 25, 2022</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Matthew J. Cox</w:t>
            </w:r>
          </w:p>
        </w:tc>
      </w:tr>
      <w:tr>
        <w:trPr>
          <w:trHeight w:val="195"/>
        </w:trPr>
        <w:tc>
          <w:tcPr>
            <w:tcW w:w="4460" w:type="dxa"/>
            <w:vAlign w:val="bottom"/>
          </w:tcPr>
          <w:p>
            <w:pPr>
              <w:spacing w:after="0"/>
              <w:rPr>
                <w:sz w:val="16"/>
                <w:szCs w:val="16"/>
                <w:color w:val="auto"/>
              </w:rPr>
            </w:pPr>
          </w:p>
        </w:tc>
        <w:tc>
          <w:tcPr>
            <w:tcW w:w="44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J. Cox</w:t>
            </w:r>
          </w:p>
        </w:tc>
      </w:tr>
      <w:tr>
        <w:trPr>
          <w:trHeight w:val="216"/>
        </w:trPr>
        <w:tc>
          <w:tcPr>
            <w:tcW w:w="4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0"/>
              </w:rPr>
              <w:t>Chairman and</w:t>
            </w:r>
          </w:p>
        </w:tc>
      </w:tr>
      <w:tr>
        <w:trPr>
          <w:trHeight w:val="230"/>
        </w:trPr>
        <w:tc>
          <w:tcPr>
            <w:tcW w:w="4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bl>
    <w:p>
      <w:pPr>
        <w:spacing w:after="0" w:line="20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4"/>
                <w:szCs w:val="14"/>
                <w:color w:val="auto"/>
              </w:rPr>
            </w:pPr>
          </w:p>
        </w:tc>
        <w:tc>
          <w:tcPr>
            <w:tcW w:w="452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Cox</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Chairman and Chief Executive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Matthew J. Cox</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Meredith J. Ching</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Meredith J. Ching</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Fargo</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Thomas B. Fargo</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 Fukunaga</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Mark H. Fukunaga</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Stanley M. Kuriyama</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Stanley M. Kuriyama</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Constance H. Lau</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Constance H. Lau</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Jenai S. Wall</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Jenai S. Wall</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M. Wine</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Joel M. Wine</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L. Stuck</w:t>
            </w:r>
          </w:p>
        </w:tc>
        <w:tc>
          <w:tcPr>
            <w:tcW w:w="4860" w:type="dxa"/>
            <w:vAlign w:val="bottom"/>
            <w:gridSpan w:val="3"/>
          </w:tcPr>
          <w:p>
            <w:pPr>
              <w:ind w:left="160"/>
              <w:spacing w:after="0"/>
              <w:rPr>
                <w:sz w:val="20"/>
                <w:szCs w:val="20"/>
                <w:color w:val="auto"/>
              </w:rPr>
            </w:pPr>
            <w:r>
              <w:rPr>
                <w:rFonts w:ascii="Arial" w:cs="Arial" w:eastAsia="Arial" w:hAnsi="Arial"/>
                <w:sz w:val="18"/>
                <w:szCs w:val="18"/>
                <w:color w:val="auto"/>
              </w:rPr>
              <w:t>Vice President and Controller (principal accounting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220" w:type="dxa"/>
            <w:vAlign w:val="bottom"/>
          </w:tcPr>
          <w:p>
            <w:pPr>
              <w:spacing w:after="0"/>
              <w:rPr>
                <w:sz w:val="20"/>
                <w:szCs w:val="20"/>
                <w:color w:val="auto"/>
              </w:rPr>
            </w:pPr>
            <w:r>
              <w:rPr>
                <w:rFonts w:ascii="Arial" w:cs="Arial" w:eastAsia="Arial" w:hAnsi="Arial"/>
                <w:sz w:val="18"/>
                <w:szCs w:val="18"/>
                <w:color w:val="auto"/>
              </w:rPr>
              <w:t>Kevin L. Stuck</w:t>
            </w:r>
          </w:p>
        </w:tc>
        <w:tc>
          <w:tcPr>
            <w:tcW w:w="1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20" w:type="dxa"/>
            <w:vAlign w:val="bottom"/>
          </w:tcPr>
          <w:p>
            <w:pPr>
              <w:spacing w:after="0"/>
              <w:rPr>
                <w:sz w:val="24"/>
                <w:szCs w:val="24"/>
                <w:color w:val="auto"/>
              </w:rPr>
            </w:pPr>
          </w:p>
        </w:tc>
        <w:tc>
          <w:tcPr>
            <w:tcW w:w="470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jc w:val="right"/>
        <w:ind w:right="219"/>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2"/>
          </w:tcPr>
          <w:p>
            <w:pPr>
              <w:ind w:left="360"/>
              <w:spacing w:after="0"/>
              <w:rPr>
                <w:sz w:val="20"/>
                <w:szCs w:val="20"/>
                <w:color w:val="auto"/>
              </w:rPr>
            </w:pPr>
            <w:r>
              <w:rPr>
                <w:rFonts w:ascii="Arial" w:cs="Arial" w:eastAsia="Arial" w:hAnsi="Arial"/>
                <w:sz w:val="18"/>
                <w:szCs w:val="18"/>
                <w:b w:val="1"/>
                <w:bCs w:val="1"/>
                <w:color w:val="auto"/>
                <w:w w:val="90"/>
              </w:rPr>
              <w:t>Letter Agreement Counter Parties</w:t>
            </w:r>
          </w:p>
        </w:tc>
        <w:tc>
          <w:tcPr>
            <w:tcW w:w="2980" w:type="dxa"/>
            <w:vAlign w:val="bottom"/>
          </w:tcPr>
          <w:p>
            <w:pPr>
              <w:spacing w:after="0"/>
              <w:rPr>
                <w:sz w:val="20"/>
                <w:szCs w:val="20"/>
                <w:color w:val="auto"/>
              </w:rPr>
            </w:pPr>
          </w:p>
        </w:tc>
      </w:tr>
      <w:tr>
        <w:trPr>
          <w:trHeight w:val="405"/>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4"/>
                <w:szCs w:val="24"/>
                <w:color w:val="auto"/>
              </w:rPr>
            </w:pPr>
          </w:p>
        </w:tc>
        <w:tc>
          <w:tcPr>
            <w:tcW w:w="3000" w:type="dxa"/>
            <w:vAlign w:val="bottom"/>
            <w:gridSpan w:val="2"/>
          </w:tcPr>
          <w:p>
            <w:pPr>
              <w:ind w:left="1220"/>
              <w:spacing w:after="0"/>
              <w:rPr>
                <w:sz w:val="20"/>
                <w:szCs w:val="20"/>
                <w:color w:val="auto"/>
              </w:rPr>
            </w:pPr>
            <w:r>
              <w:rPr>
                <w:rFonts w:ascii="Arial" w:cs="Arial" w:eastAsia="Arial" w:hAnsi="Arial"/>
                <w:sz w:val="18"/>
                <w:szCs w:val="18"/>
                <w:b w:val="1"/>
                <w:bCs w:val="1"/>
                <w:color w:val="auto"/>
              </w:rPr>
              <w:t>Title</w:t>
            </w:r>
          </w:p>
        </w:tc>
        <w:tc>
          <w:tcPr>
            <w:tcW w:w="2980" w:type="dxa"/>
            <w:vAlign w:val="bottom"/>
          </w:tcPr>
          <w:p>
            <w:pPr>
              <w:ind w:left="1020"/>
              <w:spacing w:after="0"/>
              <w:rPr>
                <w:sz w:val="20"/>
                <w:szCs w:val="20"/>
                <w:color w:val="auto"/>
              </w:rPr>
            </w:pPr>
            <w:r>
              <w:rPr>
                <w:rFonts w:ascii="Arial" w:cs="Arial" w:eastAsia="Arial" w:hAnsi="Arial"/>
                <w:sz w:val="18"/>
                <w:szCs w:val="18"/>
                <w:b w:val="1"/>
                <w:bCs w:val="1"/>
                <w:color w:val="auto"/>
              </w:rPr>
              <w:t>Date Signed</w:t>
            </w:r>
          </w:p>
        </w:tc>
      </w:tr>
      <w:tr>
        <w:trPr>
          <w:trHeight w:val="223"/>
        </w:trPr>
        <w:tc>
          <w:tcPr>
            <w:tcW w:w="20" w:type="dxa"/>
            <w:vAlign w:val="bottom"/>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Heilmann, P.</w:t>
            </w:r>
          </w:p>
        </w:tc>
        <w:tc>
          <w:tcPr>
            <w:tcW w:w="24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SVP, Chief Legal Officer</w:t>
            </w:r>
          </w:p>
        </w:tc>
        <w:tc>
          <w:tcPr>
            <w:tcW w:w="20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23, 2014</w:t>
            </w: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Lauer, J.</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SVP, Ocean Services</w:t>
            </w:r>
          </w:p>
        </w:tc>
        <w:tc>
          <w:tcPr>
            <w:tcW w:w="2980" w:type="dxa"/>
            <w:vAlign w:val="bottom"/>
          </w:tcPr>
          <w:p>
            <w:pPr>
              <w:spacing w:after="0"/>
              <w:rPr>
                <w:sz w:val="20"/>
                <w:szCs w:val="20"/>
                <w:color w:val="auto"/>
              </w:rPr>
            </w:pPr>
            <w:r>
              <w:rPr>
                <w:rFonts w:ascii="Arial" w:cs="Arial" w:eastAsia="Arial" w:hAnsi="Arial"/>
                <w:sz w:val="18"/>
                <w:szCs w:val="18"/>
                <w:color w:val="auto"/>
              </w:rPr>
              <w:t>April 6, 2015</w:t>
            </w: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Cerocke, G.</w:t>
            </w:r>
          </w:p>
        </w:tc>
        <w:tc>
          <w:tcPr>
            <w:tcW w:w="3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February 25, 2021</w:t>
            </w:r>
          </w:p>
        </w:tc>
      </w:tr>
      <w:tr>
        <w:trPr>
          <w:trHeight w:val="229"/>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Dreyfus, B.</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tcPr>
          <w:p>
            <w:pPr>
              <w:spacing w:after="0"/>
              <w:rPr>
                <w:sz w:val="20"/>
                <w:szCs w:val="20"/>
                <w:color w:val="auto"/>
              </w:rPr>
            </w:pPr>
            <w:r>
              <w:rPr>
                <w:rFonts w:ascii="Arial" w:cs="Arial" w:eastAsia="Arial" w:hAnsi="Arial"/>
                <w:sz w:val="18"/>
                <w:szCs w:val="18"/>
                <w:color w:val="auto"/>
              </w:rPr>
              <w:t>February 27, 2020</w:t>
            </w:r>
          </w:p>
        </w:tc>
      </w:tr>
      <w:tr>
        <w:trPr>
          <w:trHeight w:val="230"/>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Gao, Q.</w:t>
            </w:r>
          </w:p>
        </w:tc>
        <w:tc>
          <w:tcPr>
            <w:tcW w:w="3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February 25, 2021</w:t>
            </w:r>
          </w:p>
        </w:tc>
      </w:tr>
      <w:tr>
        <w:trPr>
          <w:trHeight w:val="229"/>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Kinney, R.</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tcPr>
          <w:p>
            <w:pPr>
              <w:spacing w:after="0"/>
              <w:rPr>
                <w:sz w:val="20"/>
                <w:szCs w:val="20"/>
                <w:color w:val="auto"/>
              </w:rPr>
            </w:pPr>
            <w:r>
              <w:rPr>
                <w:rFonts w:ascii="Arial" w:cs="Arial" w:eastAsia="Arial" w:hAnsi="Arial"/>
                <w:sz w:val="18"/>
                <w:szCs w:val="18"/>
                <w:color w:val="auto"/>
              </w:rPr>
              <w:t>February 27, 2020</w:t>
            </w: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Park, K.</w:t>
            </w:r>
          </w:p>
        </w:tc>
        <w:tc>
          <w:tcPr>
            <w:tcW w:w="3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February 24, 2022</w:t>
            </w: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Rascon, L.</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tcPr>
          <w:p>
            <w:pPr>
              <w:spacing w:after="0"/>
              <w:rPr>
                <w:sz w:val="20"/>
                <w:szCs w:val="20"/>
                <w:color w:val="auto"/>
              </w:rPr>
            </w:pPr>
            <w:r>
              <w:rPr>
                <w:rFonts w:ascii="Arial" w:cs="Arial" w:eastAsia="Arial" w:hAnsi="Arial"/>
                <w:sz w:val="18"/>
                <w:szCs w:val="18"/>
                <w:color w:val="auto"/>
              </w:rPr>
              <w:t>February 25, 2021</w:t>
            </w: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Scott, C.</w:t>
            </w:r>
          </w:p>
        </w:tc>
        <w:tc>
          <w:tcPr>
            <w:tcW w:w="3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February 25, 2021</w:t>
            </w: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Sullivan, J.</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Senior Vice President</w:t>
            </w:r>
          </w:p>
        </w:tc>
        <w:tc>
          <w:tcPr>
            <w:tcW w:w="2980" w:type="dxa"/>
            <w:vAlign w:val="bottom"/>
          </w:tcPr>
          <w:p>
            <w:pPr>
              <w:spacing w:after="0"/>
              <w:rPr>
                <w:sz w:val="20"/>
                <w:szCs w:val="20"/>
                <w:color w:val="auto"/>
              </w:rPr>
            </w:pPr>
            <w:r>
              <w:rPr>
                <w:rFonts w:ascii="Arial" w:cs="Arial" w:eastAsia="Arial" w:hAnsi="Arial"/>
                <w:sz w:val="18"/>
                <w:szCs w:val="18"/>
                <w:color w:val="auto"/>
              </w:rPr>
              <w:t>February 27, 2020</w:t>
            </w: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Stuck, K.</w:t>
            </w:r>
          </w:p>
        </w:tc>
        <w:tc>
          <w:tcPr>
            <w:tcW w:w="32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Vice President and Controller</w:t>
            </w: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May 11, 2018</w:t>
            </w:r>
          </w:p>
        </w:tc>
      </w:tr>
      <w:tr>
        <w:trPr>
          <w:trHeight w:val="803"/>
        </w:trPr>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21"/>
          <w:szCs w:val="21"/>
          <w:b w:val="1"/>
          <w:bCs w:val="1"/>
          <w:color w:val="auto"/>
        </w:rPr>
        <w:t>Exhibit 10.35</w:t>
      </w:r>
    </w:p>
    <w:p>
      <w:pPr>
        <w:spacing w:after="0" w:line="251" w:lineRule="exact"/>
        <w:rPr>
          <w:sz w:val="20"/>
          <w:szCs w:val="20"/>
          <w:color w:val="auto"/>
        </w:rPr>
      </w:pPr>
    </w:p>
    <w:p>
      <w:pPr>
        <w:ind w:left="7640"/>
        <w:spacing w:after="0"/>
        <w:rPr>
          <w:sz w:val="20"/>
          <w:szCs w:val="20"/>
          <w:color w:val="auto"/>
        </w:rPr>
      </w:pPr>
      <w:r>
        <w:rPr>
          <w:rFonts w:ascii="Arial" w:cs="Arial" w:eastAsia="Arial" w:hAnsi="Arial"/>
          <w:sz w:val="19"/>
          <w:szCs w:val="19"/>
          <w:color w:val="auto"/>
        </w:rPr>
        <w:t>Contract No. MA/CCF-316</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CAPITAL CONSTRUCTION FUND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WITH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MATSON NAVIGATION COMPANY</w:t>
      </w:r>
    </w:p>
    <w:p>
      <w:pPr>
        <w:spacing w:after="0" w:line="227" w:lineRule="exact"/>
        <w:rPr>
          <w:sz w:val="20"/>
          <w:szCs w:val="20"/>
          <w:color w:val="auto"/>
        </w:rPr>
      </w:pPr>
    </w:p>
    <w:p>
      <w:pPr>
        <w:ind w:right="80"/>
        <w:spacing w:after="0" w:line="265" w:lineRule="auto"/>
        <w:rPr>
          <w:sz w:val="20"/>
          <w:szCs w:val="20"/>
          <w:color w:val="auto"/>
        </w:rPr>
      </w:pPr>
      <w:r>
        <w:rPr>
          <w:rFonts w:ascii="Arial" w:cs="Arial" w:eastAsia="Arial" w:hAnsi="Arial"/>
          <w:sz w:val="20"/>
          <w:szCs w:val="20"/>
          <w:color w:val="auto"/>
        </w:rPr>
        <w:t>This CAPITAL CONSTRUCTION FUND AGREEMENT (“Agreement”), made on the date hereinafter set forth, by and between the UNITED STATES OF AMERICA, represented by the Assistant Secretary of Commerce for Maritime Affairs (“Assistant Secretary”), and Matson Navigation Company, a corporation organized and existing under the laws of the State of California (“Party”), a citizen of the United States of America.</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W H E R E A S</w:t>
      </w:r>
      <w:r>
        <w:rPr>
          <w:rFonts w:ascii="Arial" w:cs="Arial" w:eastAsia="Arial" w:hAnsi="Arial"/>
          <w:sz w:val="21"/>
          <w:szCs w:val="21"/>
          <w:color w:val="auto"/>
        </w:rPr>
        <w:t>:</w:t>
      </w:r>
    </w:p>
    <w:p>
      <w:pPr>
        <w:spacing w:after="0" w:line="245" w:lineRule="exact"/>
        <w:rPr>
          <w:sz w:val="20"/>
          <w:szCs w:val="20"/>
          <w:color w:val="auto"/>
        </w:rPr>
      </w:pPr>
    </w:p>
    <w:p>
      <w:pPr>
        <w:ind w:right="220" w:firstLine="8"/>
        <w:spacing w:after="0" w:line="264" w:lineRule="auto"/>
        <w:tabs>
          <w:tab w:leader="none" w:pos="648"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Party has applied for the establishment of a Capital Construction Fund (“Fund”) under section 607 of the Merchant Marine Act, 1936, as amended (“Act”);</w:t>
      </w:r>
    </w:p>
    <w:p>
      <w:pPr>
        <w:spacing w:after="0" w:line="197" w:lineRule="exact"/>
        <w:rPr>
          <w:rFonts w:ascii="Arial" w:cs="Arial" w:eastAsia="Arial" w:hAnsi="Arial"/>
          <w:sz w:val="21"/>
          <w:szCs w:val="21"/>
          <w:color w:val="auto"/>
        </w:rPr>
      </w:pPr>
    </w:p>
    <w:p>
      <w:pPr>
        <w:ind w:firstLine="8"/>
        <w:spacing w:after="0" w:line="264" w:lineRule="auto"/>
        <w:tabs>
          <w:tab w:leader="none" w:pos="648"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Party is the owner or lessee or has contracted for the construction of one or more eligible vessels as defined in section 607(k) of the Act, which vessels are listed in Schedule A hereof;</w:t>
      </w:r>
    </w:p>
    <w:p>
      <w:pPr>
        <w:spacing w:after="0" w:line="197" w:lineRule="exact"/>
        <w:rPr>
          <w:rFonts w:ascii="Arial" w:cs="Arial" w:eastAsia="Arial" w:hAnsi="Arial"/>
          <w:sz w:val="21"/>
          <w:szCs w:val="21"/>
          <w:color w:val="auto"/>
        </w:rPr>
      </w:pPr>
    </w:p>
    <w:p>
      <w:pPr>
        <w:ind w:right="60" w:firstLine="8"/>
        <w:spacing w:after="0" w:line="264" w:lineRule="auto"/>
        <w:tabs>
          <w:tab w:leader="none" w:pos="648"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Party has a program for the construction or acquisition of qualified agreement vessels as defined in section 607(k) of the Act, which program is described in Schedule B hereof;</w:t>
      </w:r>
    </w:p>
    <w:p>
      <w:pPr>
        <w:spacing w:after="0" w:line="197" w:lineRule="exact"/>
        <w:rPr>
          <w:rFonts w:ascii="Arial" w:cs="Arial" w:eastAsia="Arial" w:hAnsi="Arial"/>
          <w:sz w:val="21"/>
          <w:szCs w:val="21"/>
          <w:color w:val="auto"/>
        </w:rPr>
      </w:pPr>
    </w:p>
    <w:p>
      <w:pPr>
        <w:ind w:right="960" w:firstLine="8"/>
        <w:spacing w:after="0" w:line="264" w:lineRule="auto"/>
        <w:tabs>
          <w:tab w:leader="none" w:pos="648"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Assistant Secretary and the Party desire to enter into an Agreement for the purpose of providing replacement vessels,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888365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0" w:right="999" w:bottom="1440" w:gutter="0" w:footer="0" w:header="0"/>
        </w:sectPr>
      </w:pPr>
    </w:p>
    <w:bookmarkStart w:id="87" w:name="page88"/>
    <w:bookmarkEnd w:id="87"/>
    <w:p>
      <w:pPr>
        <w:ind w:right="380"/>
        <w:spacing w:after="0" w:line="289" w:lineRule="auto"/>
        <w:rPr>
          <w:sz w:val="20"/>
          <w:szCs w:val="20"/>
          <w:color w:val="auto"/>
        </w:rPr>
      </w:pPr>
      <w:r>
        <w:rPr>
          <w:rFonts w:ascii="Arial" w:cs="Arial" w:eastAsia="Arial" w:hAnsi="Arial"/>
          <w:sz w:val="20"/>
          <w:szCs w:val="20"/>
          <w:color w:val="auto"/>
        </w:rPr>
        <w:t>vessels, or reconstructed vessels, built in the United States and documented under the laws of the United States for operation in the United States foreign, Great Lakes, or noncontiguous domestic trade;</w:t>
      </w:r>
    </w:p>
    <w:p>
      <w:pPr>
        <w:spacing w:after="0" w:line="175"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Assistant Secretary has determined that the Party qualifies for an Agreement under the Act; and</w:t>
      </w:r>
    </w:p>
    <w:p>
      <w:pPr>
        <w:spacing w:after="0" w:line="256" w:lineRule="exact"/>
        <w:rPr>
          <w:rFonts w:ascii="Arial" w:cs="Arial" w:eastAsia="Arial" w:hAnsi="Arial"/>
          <w:sz w:val="20"/>
          <w:szCs w:val="20"/>
          <w:color w:val="auto"/>
        </w:rPr>
      </w:pPr>
    </w:p>
    <w:p>
      <w:pPr>
        <w:ind w:firstLine="8"/>
        <w:spacing w:after="0" w:line="283" w:lineRule="auto"/>
        <w:tabs>
          <w:tab w:leader="none" w:pos="648"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Assistant Secretary has authorized the award of an Agreement upon the terms and conditions set forth herein subject to the Act, as it may be amended from time to time, and such rules and regulations as shall be prescribed by the Secretary of Commerce or his delegate, either alone or jointly with the Secretary of the Treasury, as necessary to carry out the powers, duties, and functions vested in them by the Act (“rules and regulations”).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NOW, THEREFORE, in consideration of the premises the Assistant Secretary and the Party hereby agree as follows:</w:t>
      </w:r>
    </w:p>
    <w:p>
      <w:pPr>
        <w:spacing w:after="0" w:line="268"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Establishment of a Fund</w:t>
      </w:r>
    </w:p>
    <w:p>
      <w:pPr>
        <w:spacing w:after="0" w:line="245" w:lineRule="exact"/>
        <w:rPr>
          <w:sz w:val="20"/>
          <w:szCs w:val="20"/>
          <w:color w:val="auto"/>
        </w:rPr>
      </w:pPr>
    </w:p>
    <w:p>
      <w:pPr>
        <w:ind w:right="800" w:firstLine="8"/>
        <w:spacing w:after="0" w:line="289" w:lineRule="auto"/>
        <w:tabs>
          <w:tab w:leader="none" w:pos="648" w:val="left"/>
        </w:tabs>
        <w:numPr>
          <w:ilvl w:val="0"/>
          <w:numId w:val="76"/>
        </w:numPr>
        <w:rPr>
          <w:rFonts w:ascii="Arial" w:cs="Arial" w:eastAsia="Arial" w:hAnsi="Arial"/>
          <w:sz w:val="20"/>
          <w:szCs w:val="20"/>
          <w:color w:val="auto"/>
        </w:rPr>
      </w:pPr>
      <w:r>
        <w:rPr>
          <w:rFonts w:ascii="Arial" w:cs="Arial" w:eastAsia="Arial" w:hAnsi="Arial"/>
          <w:sz w:val="20"/>
          <w:szCs w:val="20"/>
          <w:color w:val="auto"/>
        </w:rPr>
        <w:t>A Fund is hereby established for the purposes set forth in Article 2 hereof, pursuant to such terms and conditions as shall be prescribed in this Agreement, the Act, or the rules and regulations.</w:t>
      </w:r>
    </w:p>
    <w:p>
      <w:pPr>
        <w:spacing w:after="0" w:line="175" w:lineRule="exact"/>
        <w:rPr>
          <w:rFonts w:ascii="Arial" w:cs="Arial" w:eastAsia="Arial" w:hAnsi="Arial"/>
          <w:sz w:val="20"/>
          <w:szCs w:val="20"/>
          <w:color w:val="auto"/>
        </w:rPr>
      </w:pPr>
    </w:p>
    <w:p>
      <w:pPr>
        <w:ind w:left="660" w:hanging="652"/>
        <w:spacing w:after="0"/>
        <w:tabs>
          <w:tab w:leader="none" w:pos="660"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Fund shall be established in the depositories listed in Schedule C hereof.</w:t>
      </w:r>
    </w:p>
    <w:p>
      <w:pPr>
        <w:spacing w:after="0" w:line="245"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Purpose of the Fund</w:t>
      </w:r>
    </w:p>
    <w:p>
      <w:pPr>
        <w:spacing w:after="0" w:line="245"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The Fund established hereunder shall be utilized to provide for replacement vessels, additional vessels, or reconstructed vessels, built in the United States and documented under the laws of the United States for operation in the United States foreign, Great Lakes, or noncontiguous domestic trade, and to provide for qualified withdrawals to achieve the program set forth in Schedule B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06" w:right="1039" w:bottom="1440" w:gutter="0" w:footer="0" w:header="0"/>
        </w:sectPr>
      </w:pPr>
    </w:p>
    <w:bookmarkStart w:id="88" w:name="page89"/>
    <w:bookmarkEnd w:id="88"/>
    <w:p>
      <w:pPr>
        <w:ind w:left="660" w:hanging="652"/>
        <w:spacing w:after="0"/>
        <w:tabs>
          <w:tab w:leader="none" w:pos="660"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Term of the Agreement</w:t>
      </w:r>
    </w:p>
    <w:p>
      <w:pPr>
        <w:spacing w:after="0" w:line="245" w:lineRule="exact"/>
        <w:rPr>
          <w:sz w:val="20"/>
          <w:szCs w:val="20"/>
          <w:color w:val="auto"/>
        </w:rPr>
      </w:pPr>
    </w:p>
    <w:p>
      <w:pPr>
        <w:ind w:right="820"/>
        <w:spacing w:after="0" w:line="264" w:lineRule="auto"/>
        <w:rPr>
          <w:sz w:val="20"/>
          <w:szCs w:val="20"/>
          <w:color w:val="auto"/>
        </w:rPr>
      </w:pPr>
      <w:r>
        <w:rPr>
          <w:rFonts w:ascii="Arial" w:cs="Arial" w:eastAsia="Arial" w:hAnsi="Arial"/>
          <w:sz w:val="21"/>
          <w:szCs w:val="21"/>
          <w:color w:val="auto"/>
        </w:rPr>
        <w:t>This Agreement shall be effective on the date of execution by the Assistant Secretary and shall continue until terminated under Article 4.</w:t>
      </w:r>
    </w:p>
    <w:p>
      <w:pPr>
        <w:spacing w:after="0" w:line="198"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Termination of Agreement</w:t>
      </w:r>
    </w:p>
    <w:p>
      <w:pPr>
        <w:spacing w:after="0" w:line="245"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This Agreement may be terminated at any time under any of the following circumstances:</w:t>
      </w:r>
    </w:p>
    <w:p>
      <w:pPr>
        <w:spacing w:after="0" w:line="245"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21"/>
          <w:szCs w:val="21"/>
          <w:color w:val="auto"/>
        </w:rPr>
      </w:pPr>
      <w:r>
        <w:rPr>
          <w:rFonts w:ascii="Arial" w:cs="Arial" w:eastAsia="Arial" w:hAnsi="Arial"/>
          <w:sz w:val="21"/>
          <w:szCs w:val="21"/>
          <w:color w:val="auto"/>
        </w:rPr>
        <w:t>Upon written mutual agreement by the parties;</w:t>
      </w:r>
    </w:p>
    <w:p>
      <w:pPr>
        <w:spacing w:after="0" w:line="244" w:lineRule="exact"/>
        <w:rPr>
          <w:rFonts w:ascii="Arial" w:cs="Arial" w:eastAsia="Arial" w:hAnsi="Arial"/>
          <w:sz w:val="21"/>
          <w:szCs w:val="21"/>
          <w:color w:val="auto"/>
        </w:rPr>
      </w:pPr>
    </w:p>
    <w:p>
      <w:pPr>
        <w:ind w:right="80" w:firstLine="8"/>
        <w:spacing w:after="0" w:line="264" w:lineRule="auto"/>
        <w:tabs>
          <w:tab w:leader="none" w:pos="648" w:val="left"/>
        </w:tabs>
        <w:numPr>
          <w:ilvl w:val="0"/>
          <w:numId w:val="81"/>
        </w:numPr>
        <w:rPr>
          <w:rFonts w:ascii="Arial" w:cs="Arial" w:eastAsia="Arial" w:hAnsi="Arial"/>
          <w:sz w:val="21"/>
          <w:szCs w:val="21"/>
          <w:color w:val="auto"/>
        </w:rPr>
      </w:pPr>
      <w:r>
        <w:rPr>
          <w:rFonts w:ascii="Arial" w:cs="Arial" w:eastAsia="Arial" w:hAnsi="Arial"/>
          <w:sz w:val="21"/>
          <w:szCs w:val="21"/>
          <w:color w:val="auto"/>
        </w:rPr>
        <w:t>Upon written notice by the Party that a change has been made in the rules and regulations which would have a substantial effect upon the rights or obligations of the Party.</w:t>
      </w:r>
    </w:p>
    <w:p>
      <w:pPr>
        <w:spacing w:after="0" w:line="198"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This Agreement shall terminate upon completion of the program as set forth in Schedule B hereof.</w:t>
      </w:r>
    </w:p>
    <w:p>
      <w:pPr>
        <w:spacing w:after="0" w:line="244" w:lineRule="exact"/>
        <w:rPr>
          <w:rFonts w:ascii="Arial" w:cs="Arial" w:eastAsia="Arial" w:hAnsi="Arial"/>
          <w:sz w:val="21"/>
          <w:szCs w:val="21"/>
          <w:color w:val="auto"/>
        </w:rPr>
      </w:pPr>
    </w:p>
    <w:p>
      <w:pPr>
        <w:jc w:val="both"/>
        <w:ind w:firstLine="8"/>
        <w:spacing w:after="0" w:line="252" w:lineRule="auto"/>
        <w:tabs>
          <w:tab w:leader="none" w:pos="648" w:val="left"/>
        </w:tabs>
        <w:numPr>
          <w:ilvl w:val="0"/>
          <w:numId w:val="82"/>
        </w:numPr>
        <w:rPr>
          <w:rFonts w:ascii="Arial" w:cs="Arial" w:eastAsia="Arial" w:hAnsi="Arial"/>
          <w:sz w:val="21"/>
          <w:szCs w:val="21"/>
          <w:color w:val="auto"/>
        </w:rPr>
      </w:pPr>
      <w:r>
        <w:rPr>
          <w:rFonts w:ascii="Arial" w:cs="Arial" w:eastAsia="Arial" w:hAnsi="Arial"/>
          <w:sz w:val="21"/>
          <w:szCs w:val="21"/>
          <w:color w:val="auto"/>
        </w:rPr>
        <w:t>Upon termination of this Agreement pursuant to paragraphs (A) and/or (B) hereof all amounts remaining in the Fund shall be treated as if withdrawn in a nonqualified withdrawal (as that term is defined in the Act and the rules and regulations) on the date of termination of this Agreement.</w:t>
      </w:r>
    </w:p>
    <w:p>
      <w:pPr>
        <w:spacing w:after="0" w:line="211"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Deposits to be made into the Fund</w:t>
      </w:r>
    </w:p>
    <w:p>
      <w:pPr>
        <w:spacing w:after="0" w:line="245" w:lineRule="exact"/>
        <w:rPr>
          <w:sz w:val="20"/>
          <w:szCs w:val="20"/>
          <w:color w:val="auto"/>
        </w:rPr>
      </w:pPr>
    </w:p>
    <w:p>
      <w:pPr>
        <w:ind w:right="340" w:firstLine="8"/>
        <w:spacing w:after="0" w:line="264" w:lineRule="auto"/>
        <w:tabs>
          <w:tab w:leader="none" w:pos="648" w:val="left"/>
        </w:tabs>
        <w:numPr>
          <w:ilvl w:val="0"/>
          <w:numId w:val="84"/>
        </w:numPr>
        <w:rPr>
          <w:rFonts w:ascii="Arial" w:cs="Arial" w:eastAsia="Arial" w:hAnsi="Arial"/>
          <w:sz w:val="21"/>
          <w:szCs w:val="21"/>
          <w:color w:val="auto"/>
        </w:rPr>
      </w:pPr>
      <w:r>
        <w:rPr>
          <w:rFonts w:ascii="Arial" w:cs="Arial" w:eastAsia="Arial" w:hAnsi="Arial"/>
          <w:sz w:val="21"/>
          <w:szCs w:val="21"/>
          <w:color w:val="auto"/>
        </w:rPr>
        <w:t>Subject to any restrictions contained in the Act, the rules and regulations, or this Agreement, the Party may deposit, for each taxable year to which this Agreement applies, amounts representing: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06" w:right="1059" w:bottom="1440" w:gutter="0" w:footer="0" w:header="0"/>
        </w:sectPr>
      </w:pPr>
    </w:p>
    <w:bookmarkStart w:id="89" w:name="page90"/>
    <w:bookmarkEnd w:id="89"/>
    <w:p>
      <w:pPr>
        <w:ind w:left="652" w:hanging="652"/>
        <w:spacing w:after="0"/>
        <w:tabs>
          <w:tab w:leader="none" w:pos="652" w:val="left"/>
        </w:tabs>
        <w:numPr>
          <w:ilvl w:val="0"/>
          <w:numId w:val="85"/>
        </w:numPr>
        <w:rPr>
          <w:rFonts w:ascii="Arial" w:cs="Arial" w:eastAsia="Arial" w:hAnsi="Arial"/>
          <w:sz w:val="21"/>
          <w:szCs w:val="21"/>
          <w:color w:val="auto"/>
        </w:rPr>
      </w:pPr>
      <w:r>
        <w:rPr>
          <w:rFonts w:ascii="Arial" w:cs="Arial" w:eastAsia="Arial" w:hAnsi="Arial"/>
          <w:sz w:val="21"/>
          <w:szCs w:val="21"/>
          <w:color w:val="auto"/>
        </w:rPr>
        <w:t>Taxable income attributable to the operation of the vessels listed in Schedule A or B hereof;</w:t>
      </w:r>
    </w:p>
    <w:p>
      <w:pPr>
        <w:spacing w:after="0" w:line="244" w:lineRule="exact"/>
        <w:rPr>
          <w:rFonts w:ascii="Arial" w:cs="Arial" w:eastAsia="Arial" w:hAnsi="Arial"/>
          <w:sz w:val="21"/>
          <w:szCs w:val="21"/>
          <w:color w:val="auto"/>
        </w:rPr>
      </w:pPr>
    </w:p>
    <w:p>
      <w:pPr>
        <w:ind w:left="-8" w:right="340" w:firstLine="8"/>
        <w:spacing w:after="0" w:line="264" w:lineRule="auto"/>
        <w:tabs>
          <w:tab w:leader="none" w:pos="64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depreciation allowable under section 167 of the Internal Revenue Code of 1954 on the vessels listed in Schedule A or B hereof;</w:t>
      </w:r>
    </w:p>
    <w:p>
      <w:pPr>
        <w:spacing w:after="0" w:line="197" w:lineRule="exact"/>
        <w:rPr>
          <w:rFonts w:ascii="Arial" w:cs="Arial" w:eastAsia="Arial" w:hAnsi="Arial"/>
          <w:sz w:val="21"/>
          <w:szCs w:val="21"/>
          <w:color w:val="auto"/>
        </w:rPr>
      </w:pPr>
    </w:p>
    <w:p>
      <w:pPr>
        <w:ind w:left="652" w:hanging="652"/>
        <w:spacing w:after="0"/>
        <w:tabs>
          <w:tab w:leader="none" w:pos="652"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net proceeds from the sale or other disposition of any of the vessels listed in Schedule A or B hereof;</w:t>
      </w:r>
    </w:p>
    <w:p>
      <w:pPr>
        <w:spacing w:after="0" w:line="267" w:lineRule="exact"/>
        <w:rPr>
          <w:rFonts w:ascii="Arial" w:cs="Arial" w:eastAsia="Arial" w:hAnsi="Arial"/>
          <w:sz w:val="19"/>
          <w:szCs w:val="19"/>
          <w:color w:val="auto"/>
        </w:rPr>
      </w:pPr>
    </w:p>
    <w:p>
      <w:pPr>
        <w:ind w:left="652" w:hanging="652"/>
        <w:spacing w:after="0"/>
        <w:tabs>
          <w:tab w:leader="none" w:pos="652"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net proceeds from insurance or indemnity attributable to the vessels listed in Schedule A or B hereof;</w:t>
      </w:r>
    </w:p>
    <w:p>
      <w:pPr>
        <w:spacing w:after="0" w:line="268" w:lineRule="exact"/>
        <w:rPr>
          <w:sz w:val="20"/>
          <w:szCs w:val="20"/>
          <w:color w:val="auto"/>
        </w:rPr>
      </w:pPr>
    </w:p>
    <w:p>
      <w:pPr>
        <w:ind w:left="652" w:hanging="652"/>
        <w:spacing w:after="0"/>
        <w:tabs>
          <w:tab w:leader="none" w:pos="652"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Party shall deposit for each taxable year to which this Agreement applies:</w:t>
      </w:r>
    </w:p>
    <w:p>
      <w:pPr>
        <w:spacing w:after="0" w:line="245" w:lineRule="exact"/>
        <w:rPr>
          <w:sz w:val="20"/>
          <w:szCs w:val="20"/>
          <w:color w:val="auto"/>
        </w:rPr>
      </w:pPr>
    </w:p>
    <w:p>
      <w:pPr>
        <w:ind w:left="-8" w:firstLine="8"/>
        <w:spacing w:after="0" w:line="289" w:lineRule="auto"/>
        <w:tabs>
          <w:tab w:leader="none" w:pos="6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All receipts from the investment or reinvestment of amounts held in the Fund, except that the Party shall not be permitted to deposit more than is necessary to complete its program set out in Schedule B hereof; and</w:t>
      </w:r>
    </w:p>
    <w:p>
      <w:pPr>
        <w:spacing w:after="0" w:line="175" w:lineRule="exact"/>
        <w:rPr>
          <w:rFonts w:ascii="Arial" w:cs="Arial" w:eastAsia="Arial" w:hAnsi="Arial"/>
          <w:sz w:val="20"/>
          <w:szCs w:val="20"/>
          <w:color w:val="auto"/>
        </w:rPr>
      </w:pPr>
    </w:p>
    <w:p>
      <w:pPr>
        <w:ind w:left="-8" w:right="80" w:firstLine="8"/>
        <w:spacing w:after="0" w:line="264" w:lineRule="auto"/>
        <w:tabs>
          <w:tab w:leader="none" w:pos="640"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net proceeds from the mortgage of any vessel listed in Schedule B hereof for which qualified withdrawals from the Fund have been made.</w:t>
      </w:r>
    </w:p>
    <w:p>
      <w:pPr>
        <w:spacing w:after="0" w:line="198" w:lineRule="exact"/>
        <w:rPr>
          <w:sz w:val="20"/>
          <w:szCs w:val="20"/>
          <w:color w:val="auto"/>
        </w:rPr>
      </w:pPr>
    </w:p>
    <w:p>
      <w:pPr>
        <w:ind w:left="-8" w:right="220" w:firstLine="8"/>
        <w:spacing w:after="0" w:line="249" w:lineRule="auto"/>
        <w:tabs>
          <w:tab w:leader="none" w:pos="640" w:val="left"/>
        </w:tabs>
        <w:numPr>
          <w:ilvl w:val="0"/>
          <w:numId w:val="88"/>
        </w:numPr>
        <w:rPr>
          <w:rFonts w:ascii="Arial" w:cs="Arial" w:eastAsia="Arial" w:hAnsi="Arial"/>
          <w:sz w:val="21"/>
          <w:szCs w:val="21"/>
          <w:color w:val="auto"/>
        </w:rPr>
      </w:pPr>
      <w:r>
        <w:rPr>
          <w:rFonts w:ascii="Arial" w:cs="Arial" w:eastAsia="Arial" w:hAnsi="Arial"/>
          <w:sz w:val="21"/>
          <w:szCs w:val="21"/>
          <w:color w:val="auto"/>
        </w:rPr>
        <w:t>Notwithstanding anything in paragraphs (A) or (B) hereof to the contrary, the Party shall make the minimum deposits set forth in Schedule D hereof at the time and in such amounts as may be set forth therein. The Party specifically agrees to deposit one hundred percent of allowable taxable income attributable to the operation of agreement vessels, in order to meet its obligations under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349885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52"/>
          </w:cols>
          <w:pgMar w:left="988" w:top="1206" w:right="1059" w:bottom="1440" w:gutter="0" w:footer="0" w:header="0"/>
        </w:sectPr>
      </w:pPr>
    </w:p>
    <w:bookmarkStart w:id="90" w:name="page91"/>
    <w:bookmarkEnd w:id="90"/>
    <w:p>
      <w:pPr>
        <w:ind w:right="20" w:firstLine="8"/>
        <w:spacing w:after="0" w:line="315" w:lineRule="auto"/>
        <w:tabs>
          <w:tab w:leader="none" w:pos="6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event that any leased vessel listed in Schedule A hereof is included in another capital construction fund agreement, the maximum amount of depreciation which the Party may deposit in respect to that vessel shall be calculated by using the allowable percentage of the depreciation ceiling listed for that vessel in Schedule A hereof.</w:t>
      </w:r>
    </w:p>
    <w:p>
      <w:pPr>
        <w:spacing w:after="0" w:line="157"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Withdrawals from the Fund</w:t>
      </w:r>
    </w:p>
    <w:p>
      <w:pPr>
        <w:spacing w:after="0" w:line="245" w:lineRule="exact"/>
        <w:rPr>
          <w:sz w:val="20"/>
          <w:szCs w:val="20"/>
          <w:color w:val="auto"/>
        </w:rPr>
      </w:pPr>
    </w:p>
    <w:p>
      <w:pPr>
        <w:ind w:right="700" w:firstLine="8"/>
        <w:spacing w:after="0" w:line="249" w:lineRule="auto"/>
        <w:tabs>
          <w:tab w:leader="none" w:pos="648"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Party may make such qualified withdrawals (as that term is defined in the Act and the rules and regulations) as shall be necessary to fulfill the obligations set forth in Schedule B hereof. Any such qualified withdrawal may be made without the consent of the Assistant Secretary, except as required by the rules and regulations.</w:t>
      </w:r>
    </w:p>
    <w:p>
      <w:pPr>
        <w:spacing w:after="0" w:line="212" w:lineRule="exact"/>
        <w:rPr>
          <w:rFonts w:ascii="Arial" w:cs="Arial" w:eastAsia="Arial" w:hAnsi="Arial"/>
          <w:sz w:val="21"/>
          <w:szCs w:val="21"/>
          <w:color w:val="auto"/>
        </w:rPr>
      </w:pPr>
    </w:p>
    <w:p>
      <w:pPr>
        <w:ind w:right="540" w:firstLine="8"/>
        <w:spacing w:after="0" w:line="264" w:lineRule="auto"/>
        <w:tabs>
          <w:tab w:leader="none" w:pos="648" w:val="left"/>
        </w:tabs>
        <w:numPr>
          <w:ilvl w:val="0"/>
          <w:numId w:val="91"/>
        </w:numPr>
        <w:rPr>
          <w:rFonts w:ascii="Arial" w:cs="Arial" w:eastAsia="Arial" w:hAnsi="Arial"/>
          <w:sz w:val="21"/>
          <w:szCs w:val="21"/>
          <w:color w:val="auto"/>
        </w:rPr>
      </w:pPr>
      <w:r>
        <w:rPr>
          <w:rFonts w:ascii="Arial" w:cs="Arial" w:eastAsia="Arial" w:hAnsi="Arial"/>
          <w:sz w:val="21"/>
          <w:szCs w:val="21"/>
          <w:color w:val="auto"/>
        </w:rPr>
        <w:t>Any other withdrawal from the Fund shall be made only upon the prior written consent of the Assistant Secretary, as required by the rules and regulations.</w:t>
      </w:r>
    </w:p>
    <w:p>
      <w:pPr>
        <w:spacing w:after="0" w:line="198"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Investment of the Fund</w:t>
      </w:r>
    </w:p>
    <w:p>
      <w:pPr>
        <w:spacing w:after="0" w:line="245" w:lineRule="exact"/>
        <w:rPr>
          <w:sz w:val="20"/>
          <w:szCs w:val="20"/>
          <w:color w:val="auto"/>
        </w:rPr>
      </w:pPr>
    </w:p>
    <w:p>
      <w:pPr>
        <w:ind w:right="240" w:firstLine="8"/>
        <w:spacing w:after="0" w:line="264" w:lineRule="auto"/>
        <w:tabs>
          <w:tab w:leader="none" w:pos="648" w:val="left"/>
        </w:tabs>
        <w:numPr>
          <w:ilvl w:val="0"/>
          <w:numId w:val="93"/>
        </w:numPr>
        <w:rPr>
          <w:rFonts w:ascii="Arial" w:cs="Arial" w:eastAsia="Arial" w:hAnsi="Arial"/>
          <w:sz w:val="21"/>
          <w:szCs w:val="21"/>
          <w:color w:val="auto"/>
        </w:rPr>
      </w:pPr>
      <w:r>
        <w:rPr>
          <w:rFonts w:ascii="Arial" w:cs="Arial" w:eastAsia="Arial" w:hAnsi="Arial"/>
          <w:sz w:val="21"/>
          <w:szCs w:val="21"/>
          <w:color w:val="auto"/>
        </w:rPr>
        <w:t>The Party, at its discretion, may invest assets held in the Fund in accordance with the Act and the rules and regulations.</w:t>
      </w:r>
    </w:p>
    <w:p>
      <w:pPr>
        <w:spacing w:after="0" w:line="197" w:lineRule="exact"/>
        <w:rPr>
          <w:rFonts w:ascii="Arial" w:cs="Arial" w:eastAsia="Arial" w:hAnsi="Arial"/>
          <w:sz w:val="21"/>
          <w:szCs w:val="21"/>
          <w:color w:val="auto"/>
        </w:rPr>
      </w:pPr>
    </w:p>
    <w:p>
      <w:pPr>
        <w:ind w:left="660" w:hanging="652"/>
        <w:spacing w:after="0"/>
        <w:tabs>
          <w:tab w:leader="none" w:pos="6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Party agrees, when investing assets held in the Fund, to make such investments as will insure that</w:t>
      </w:r>
    </w:p>
    <w:p>
      <w:pPr>
        <w:spacing w:after="0" w:line="42" w:lineRule="exact"/>
        <w:rPr>
          <w:rFonts w:ascii="Arial" w:cs="Arial" w:eastAsia="Arial" w:hAnsi="Arial"/>
          <w:sz w:val="19"/>
          <w:szCs w:val="19"/>
          <w:color w:val="auto"/>
        </w:rPr>
      </w:pPr>
    </w:p>
    <w:p>
      <w:pPr>
        <w:spacing w:after="0" w:line="246" w:lineRule="auto"/>
        <w:rPr>
          <w:rFonts w:ascii="Arial" w:cs="Arial" w:eastAsia="Arial" w:hAnsi="Arial"/>
          <w:sz w:val="19"/>
          <w:szCs w:val="19"/>
          <w:color w:val="auto"/>
        </w:rPr>
      </w:pPr>
      <w:r>
        <w:rPr>
          <w:rFonts w:ascii="Arial" w:cs="Arial" w:eastAsia="Arial" w:hAnsi="Arial"/>
          <w:sz w:val="21"/>
          <w:szCs w:val="21"/>
          <w:color w:val="auto"/>
        </w:rPr>
        <w:t>sufficient cash is available at the time qualified withdrawals are required in accordance with the program described in Schedule B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06" w:right="1179" w:bottom="1440" w:gutter="0" w:footer="0" w:header="0"/>
        </w:sectPr>
      </w:pPr>
    </w:p>
    <w:bookmarkStart w:id="91" w:name="page92"/>
    <w:bookmarkEnd w:id="91"/>
    <w:p>
      <w:pPr>
        <w:ind w:left="652" w:hanging="652"/>
        <w:spacing w:after="0"/>
        <w:tabs>
          <w:tab w:leader="none" w:pos="652"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Pledges, Assignments and Transfers</w:t>
      </w:r>
    </w:p>
    <w:p>
      <w:pPr>
        <w:spacing w:after="0" w:line="245" w:lineRule="exact"/>
        <w:rPr>
          <w:sz w:val="20"/>
          <w:szCs w:val="20"/>
          <w:color w:val="auto"/>
        </w:rPr>
      </w:pPr>
    </w:p>
    <w:p>
      <w:pPr>
        <w:ind w:left="-8" w:firstLine="8"/>
        <w:spacing w:after="0" w:line="265" w:lineRule="auto"/>
        <w:tabs>
          <w:tab w:leader="none" w:pos="6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Party agrees not to assign, pledge or otherwise encumber, either directly or indirectly or through any reorganization, merger, or consolidation, all or any part of this Agreement, the Fund, or any assets in the Fund without the prior written consent of the Assistant Secretary; provided, however, the Party may transfer the assets of the Fund, in whole or in part, to an investment trustee, as provided in the rules and regulations.</w:t>
      </w:r>
    </w:p>
    <w:p>
      <w:pPr>
        <w:spacing w:after="0" w:line="199" w:lineRule="exact"/>
        <w:rPr>
          <w:rFonts w:ascii="Arial" w:cs="Arial" w:eastAsia="Arial" w:hAnsi="Arial"/>
          <w:sz w:val="20"/>
          <w:szCs w:val="20"/>
          <w:color w:val="auto"/>
        </w:rPr>
      </w:pPr>
    </w:p>
    <w:p>
      <w:pPr>
        <w:ind w:left="652" w:hanging="652"/>
        <w:spacing w:after="0"/>
        <w:tabs>
          <w:tab w:leader="none" w:pos="652"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Party shall not obligate any assets in the Fund as a compensating balance.</w:t>
      </w:r>
    </w:p>
    <w:p>
      <w:pPr>
        <w:spacing w:after="0" w:line="244" w:lineRule="exact"/>
        <w:rPr>
          <w:rFonts w:ascii="Arial" w:cs="Arial" w:eastAsia="Arial" w:hAnsi="Arial"/>
          <w:sz w:val="21"/>
          <w:szCs w:val="21"/>
          <w:color w:val="auto"/>
        </w:rPr>
      </w:pPr>
    </w:p>
    <w:p>
      <w:pPr>
        <w:ind w:left="-8" w:right="320" w:firstLine="8"/>
        <w:spacing w:after="0" w:line="264" w:lineRule="auto"/>
        <w:tabs>
          <w:tab w:leader="none" w:pos="640"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Party may not sell, transfer, or otherwise dispose of any vessel, or part thereof, described in Schedule B hereof without the prior written consent of the Assistant Secretary.</w:t>
      </w:r>
    </w:p>
    <w:p>
      <w:pPr>
        <w:spacing w:after="0" w:line="198" w:lineRule="exact"/>
        <w:rPr>
          <w:sz w:val="20"/>
          <w:szCs w:val="20"/>
          <w:color w:val="auto"/>
        </w:rPr>
      </w:pPr>
    </w:p>
    <w:p>
      <w:pPr>
        <w:ind w:left="652" w:hanging="652"/>
        <w:spacing w:after="0"/>
        <w:tabs>
          <w:tab w:leader="none" w:pos="652"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Records and Reports</w:t>
      </w:r>
    </w:p>
    <w:p>
      <w:pPr>
        <w:spacing w:after="0" w:line="245" w:lineRule="exact"/>
        <w:rPr>
          <w:sz w:val="20"/>
          <w:szCs w:val="20"/>
          <w:color w:val="auto"/>
        </w:rPr>
      </w:pPr>
    </w:p>
    <w:p>
      <w:pPr>
        <w:ind w:left="-8" w:right="60" w:firstLine="8"/>
        <w:spacing w:after="0" w:line="249" w:lineRule="auto"/>
        <w:tabs>
          <w:tab w:leader="none" w:pos="640"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The Party and each affiliate, domestic agent, subsidiary or holding company connected with, or directly or indirectly controlling or controlled by the Party shall keep its books, records, and accounts relating to the maintenance, operation, and servicing of the vessel(s) and/or service(s) covered by this Agreement in such form as may be prescribed by the Assistant Secretary under the rules and regulations.</w:t>
      </w:r>
    </w:p>
    <w:p>
      <w:pPr>
        <w:spacing w:after="0" w:line="212" w:lineRule="exact"/>
        <w:rPr>
          <w:rFonts w:ascii="Arial" w:cs="Arial" w:eastAsia="Arial" w:hAnsi="Arial"/>
          <w:sz w:val="21"/>
          <w:szCs w:val="21"/>
          <w:color w:val="auto"/>
        </w:rPr>
      </w:pPr>
    </w:p>
    <w:p>
      <w:pPr>
        <w:ind w:left="-8" w:right="20" w:firstLine="8"/>
        <w:spacing w:after="0" w:line="271" w:lineRule="auto"/>
        <w:tabs>
          <w:tab w:leader="none" w:pos="6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Assistant Secretary agrees not to require the duplication of books, records and accounts required to be kept in some other form by the Interstate Commerce Commission or the Secretary of the Treasury, so long as the information required in paragraph (A) hereof is made available to the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349885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206" w:right="1019" w:bottom="1440" w:gutter="0" w:footer="0" w:header="0"/>
        </w:sectPr>
      </w:pPr>
    </w:p>
    <w:bookmarkStart w:id="92" w:name="page93"/>
    <w:bookmarkEnd w:id="92"/>
    <w:p>
      <w:pPr>
        <w:ind w:right="260" w:firstLine="8"/>
        <w:spacing w:after="0" w:line="315"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Party agrees to file, upon notice from the Assistant Secretary, balance sheets, profit and loss statements, and such other statements of financial operations, special reports, charters, ships’ logs, memoranda of facts and transactions, as in the opinion of the Assistant Secretary may affect the Party’s performance under this Agreement.</w:t>
      </w:r>
    </w:p>
    <w:p>
      <w:pPr>
        <w:spacing w:after="0" w:line="156" w:lineRule="exact"/>
        <w:rPr>
          <w:rFonts w:ascii="Arial" w:cs="Arial" w:eastAsia="Arial" w:hAnsi="Arial"/>
          <w:sz w:val="18"/>
          <w:szCs w:val="18"/>
          <w:color w:val="auto"/>
        </w:rPr>
      </w:pPr>
    </w:p>
    <w:p>
      <w:pPr>
        <w:ind w:firstLine="8"/>
        <w:spacing w:after="0" w:line="289" w:lineRule="auto"/>
        <w:tabs>
          <w:tab w:leader="none" w:pos="648"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Assistant Secretary may require by regulation that any of such statements, reports and memoranda shall be certified by independent certified public accountants acceptable to the Assistant Secretary.</w:t>
      </w:r>
    </w:p>
    <w:p>
      <w:pPr>
        <w:spacing w:after="0" w:line="175" w:lineRule="exact"/>
        <w:rPr>
          <w:rFonts w:ascii="Arial" w:cs="Arial" w:eastAsia="Arial" w:hAnsi="Arial"/>
          <w:sz w:val="20"/>
          <w:szCs w:val="20"/>
          <w:color w:val="auto"/>
        </w:rPr>
      </w:pPr>
    </w:p>
    <w:p>
      <w:pPr>
        <w:ind w:right="340" w:firstLine="8"/>
        <w:spacing w:after="0" w:line="264" w:lineRule="auto"/>
        <w:tabs>
          <w:tab w:leader="none" w:pos="648"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Assistant Secretary may require the Party to establish and maintain systems of control of expenses and revenues in connection with the operation of the agreement vessel(s).</w:t>
      </w:r>
    </w:p>
    <w:p>
      <w:pPr>
        <w:spacing w:after="0" w:line="197" w:lineRule="exact"/>
        <w:rPr>
          <w:rFonts w:ascii="Arial" w:cs="Arial" w:eastAsia="Arial" w:hAnsi="Arial"/>
          <w:sz w:val="21"/>
          <w:szCs w:val="21"/>
          <w:color w:val="auto"/>
        </w:rPr>
      </w:pPr>
    </w:p>
    <w:p>
      <w:pPr>
        <w:ind w:right="260" w:firstLine="8"/>
        <w:spacing w:after="0" w:line="264" w:lineRule="auto"/>
        <w:tabs>
          <w:tab w:leader="none" w:pos="648"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Party agrees to submit promptly to the Assistant Secretary any contract executed in connection with the program described in Schedule B hereof.</w:t>
      </w:r>
    </w:p>
    <w:p>
      <w:pPr>
        <w:spacing w:after="0" w:line="197" w:lineRule="exact"/>
        <w:rPr>
          <w:rFonts w:ascii="Arial" w:cs="Arial" w:eastAsia="Arial" w:hAnsi="Arial"/>
          <w:sz w:val="21"/>
          <w:szCs w:val="21"/>
          <w:color w:val="auto"/>
        </w:rPr>
      </w:pPr>
    </w:p>
    <w:p>
      <w:pPr>
        <w:ind w:right="500" w:firstLine="8"/>
        <w:spacing w:after="0" w:line="264" w:lineRule="auto"/>
        <w:tabs>
          <w:tab w:leader="none" w:pos="648"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Assistant Secretary is hereby authorized to examine and audit the books, records, and accounts of all persons referred to in this Article whenever he may deem it necessary or desirable.</w:t>
      </w:r>
    </w:p>
    <w:p>
      <w:pPr>
        <w:spacing w:after="0" w:line="198"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Modification and Amendment</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This Agreement may be modified or amended at any time by mutual written consent.</w:t>
      </w:r>
    </w:p>
    <w:p>
      <w:pPr>
        <w:spacing w:after="0" w:line="245"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Incorporation of Schedules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The attached Schedules A, B, C, and D are incorporated into and made a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06" w:right="1059" w:bottom="1440" w:gutter="0" w:footer="0" w:header="0"/>
        </w:sectPr>
      </w:pPr>
    </w:p>
    <w:bookmarkStart w:id="93" w:name="page94"/>
    <w:bookmarkEnd w:id="93"/>
    <w:p>
      <w:pPr>
        <w:ind w:left="652" w:hanging="652"/>
        <w:spacing w:after="0"/>
        <w:tabs>
          <w:tab w:leader="none" w:pos="652"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Liquidated Damages</w:t>
      </w:r>
    </w:p>
    <w:p>
      <w:pPr>
        <w:spacing w:after="0" w:line="245" w:lineRule="exact"/>
        <w:rPr>
          <w:sz w:val="20"/>
          <w:szCs w:val="20"/>
          <w:color w:val="auto"/>
        </w:rPr>
      </w:pPr>
    </w:p>
    <w:p>
      <w:pPr>
        <w:ind w:left="-8" w:firstLine="8"/>
        <w:spacing w:after="0" w:line="247" w:lineRule="auto"/>
        <w:tabs>
          <w:tab w:leader="none" w:pos="64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In the event that the Party operates any qualified agreement vessel described in Schedule B hereof in geographic trades other than those permitted by section 607 of the Act, this Agreement, and/or the rules and regulations, the Party shall pay to the United States an amount of liquidated damages for each day of such impermissible geographic trading which shall constitute the time value of the deferral of Federal income tax which the Party has received. The amount shall be calculated as follows:</w:t>
      </w:r>
    </w:p>
    <w:p>
      <w:pPr>
        <w:spacing w:after="0" w:line="215" w:lineRule="exact"/>
        <w:rPr>
          <w:sz w:val="20"/>
          <w:szCs w:val="20"/>
          <w:color w:val="auto"/>
        </w:rPr>
      </w:pPr>
    </w:p>
    <w:p>
      <w:pPr>
        <w:ind w:left="-8" w:right="120" w:firstLine="8"/>
        <w:spacing w:after="0" w:line="252" w:lineRule="auto"/>
        <w:tabs>
          <w:tab w:leader="none" w:pos="64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For each vessel constructed or acquired within one year of final delivery from the shipyard with the aid of qualified withdrawals the daily rate shall be $0.07523 for each $1,000 which has been or may be withdrawn from the Fund pursuant to Schedule B hereof.</w:t>
      </w:r>
    </w:p>
    <w:p>
      <w:pPr>
        <w:spacing w:after="0" w:line="211" w:lineRule="exact"/>
        <w:rPr>
          <w:rFonts w:ascii="Arial" w:cs="Arial" w:eastAsia="Arial" w:hAnsi="Arial"/>
          <w:sz w:val="21"/>
          <w:szCs w:val="21"/>
          <w:color w:val="auto"/>
        </w:rPr>
      </w:pPr>
    </w:p>
    <w:p>
      <w:pPr>
        <w:ind w:left="-8" w:right="140" w:firstLine="8"/>
        <w:spacing w:after="0" w:line="252" w:lineRule="auto"/>
        <w:tabs>
          <w:tab w:leader="none" w:pos="64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For each vessel reconstructed or acquired more than one year after final delivery from the shipyard after construction with the aid of qualified withdrawals the daily rate shall be $0.04763 for each $1,000 which has been or may be withdrawn from the Fund pursuant to Schedule B hereof.</w:t>
      </w:r>
    </w:p>
    <w:p>
      <w:pPr>
        <w:spacing w:after="0" w:line="211" w:lineRule="exact"/>
        <w:rPr>
          <w:rFonts w:ascii="Arial" w:cs="Arial" w:eastAsia="Arial" w:hAnsi="Arial"/>
          <w:sz w:val="21"/>
          <w:szCs w:val="21"/>
          <w:color w:val="auto"/>
        </w:rPr>
      </w:pPr>
    </w:p>
    <w:p>
      <w:pPr>
        <w:jc w:val="both"/>
        <w:ind w:left="-8" w:right="40" w:firstLine="8"/>
        <w:spacing w:after="0" w:line="279" w:lineRule="auto"/>
        <w:tabs>
          <w:tab w:leader="none" w:pos="6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For each vessel included in Schedule B hereof as a qualified agreement vessel in regard to which qualified withdrawals from the Fund have been made to pay existing indebtedness, the daily rate shall be $0.04763 for each $1,000 which has been or may be withdrawn from the Fund pursuant to Schedule B hereof, provided, however, that if the vessel was more than 15 years old on the date of the first qualified withdrawal, the daily rate shall be $0.03857 for each $1,000 which has been or may be withdrawn from the Fund pursuant to Schedule B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349885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12"/>
          </w:cols>
          <w:pgMar w:left="988" w:top="1206" w:right="1099" w:bottom="1440" w:gutter="0" w:footer="0" w:header="0"/>
        </w:sectPr>
      </w:pPr>
    </w:p>
    <w:bookmarkStart w:id="94" w:name="page95"/>
    <w:bookmarkEnd w:id="94"/>
    <w:p>
      <w:pPr>
        <w:ind w:left="-8" w:right="580" w:firstLine="8"/>
        <w:spacing w:after="0" w:line="317" w:lineRule="auto"/>
        <w:tabs>
          <w:tab w:leader="none" w:pos="6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Party agrees to pay the daily rate of liquidated damages to the Assistant Secretary, for deposit in the Treasury of the United States, within the time limits provided for in the rules and regulations.</w:t>
      </w:r>
    </w:p>
    <w:p>
      <w:pPr>
        <w:spacing w:after="0" w:line="151" w:lineRule="exact"/>
        <w:rPr>
          <w:rFonts w:ascii="Arial" w:cs="Arial" w:eastAsia="Arial" w:hAnsi="Arial"/>
          <w:sz w:val="19"/>
          <w:szCs w:val="19"/>
          <w:color w:val="auto"/>
        </w:rPr>
      </w:pPr>
    </w:p>
    <w:p>
      <w:pPr>
        <w:ind w:left="-8" w:right="420" w:firstLine="8"/>
        <w:spacing w:after="0" w:line="264" w:lineRule="auto"/>
        <w:tabs>
          <w:tab w:leader="none" w:pos="64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Nothing in this Article shall in any way be construed to diminish or waive any of the Assistant Secretary’s other remedies for breach under the Act, the Agreement, or the rules and regulations.</w:t>
      </w:r>
    </w:p>
    <w:p>
      <w:pPr>
        <w:spacing w:after="0" w:line="197" w:lineRule="exact"/>
        <w:rPr>
          <w:rFonts w:ascii="Arial" w:cs="Arial" w:eastAsia="Arial" w:hAnsi="Arial"/>
          <w:sz w:val="21"/>
          <w:szCs w:val="21"/>
          <w:color w:val="auto"/>
        </w:rPr>
      </w:pPr>
    </w:p>
    <w:p>
      <w:pPr>
        <w:ind w:left="-8" w:right="100" w:firstLine="8"/>
        <w:spacing w:after="0" w:line="264" w:lineRule="auto"/>
        <w:tabs>
          <w:tab w:leader="none" w:pos="64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Notwithstanding the fact that the Agreement may be terminated pursuant to the provisions of Article 4 hereof, or otherwise, the provisions of this Article 12 shall continue in effect as follows:</w:t>
      </w:r>
    </w:p>
    <w:p>
      <w:pPr>
        <w:spacing w:after="0" w:line="198" w:lineRule="exact"/>
        <w:rPr>
          <w:sz w:val="20"/>
          <w:szCs w:val="20"/>
          <w:color w:val="auto"/>
        </w:rPr>
      </w:pPr>
    </w:p>
    <w:p>
      <w:pPr>
        <w:ind w:left="-8" w:firstLine="8"/>
        <w:spacing w:after="0" w:line="252" w:lineRule="auto"/>
        <w:tabs>
          <w:tab w:leader="none" w:pos="64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In the case of a vessel constructed or acquired within one year of final delivery from the shipyard after construction with the aid of qualified withdrawals, for a period of twenty (20) years from the date of such vessel’s final delivery;</w:t>
      </w:r>
    </w:p>
    <w:p>
      <w:pPr>
        <w:spacing w:after="0" w:line="211" w:lineRule="exact"/>
        <w:rPr>
          <w:rFonts w:ascii="Arial" w:cs="Arial" w:eastAsia="Arial" w:hAnsi="Arial"/>
          <w:sz w:val="21"/>
          <w:szCs w:val="21"/>
          <w:color w:val="auto"/>
        </w:rPr>
      </w:pPr>
    </w:p>
    <w:p>
      <w:pPr>
        <w:ind w:left="-8" w:right="60" w:firstLine="8"/>
        <w:spacing w:after="0" w:line="271" w:lineRule="auto"/>
        <w:tabs>
          <w:tab w:leader="none" w:pos="6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In the case of a vessel reconstructed or acquired more than one year after final delivery from the shipyard after construction with the aid of qualified withdrawals, for a period of ten (10) years from the date of such vessel’s final delivery from the shipyard after reconstruction or the date of such vessel’s acquisition; and</w:t>
      </w:r>
    </w:p>
    <w:p>
      <w:pPr>
        <w:spacing w:after="0" w:line="192" w:lineRule="exact"/>
        <w:rPr>
          <w:rFonts w:ascii="Arial" w:cs="Arial" w:eastAsia="Arial" w:hAnsi="Arial"/>
          <w:sz w:val="20"/>
          <w:szCs w:val="20"/>
          <w:color w:val="auto"/>
        </w:rPr>
      </w:pPr>
    </w:p>
    <w:p>
      <w:pPr>
        <w:ind w:left="-8" w:right="100" w:firstLine="8"/>
        <w:spacing w:after="0" w:line="252" w:lineRule="auto"/>
        <w:tabs>
          <w:tab w:leader="none" w:pos="64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In the case of a vessel included in Schedule B hereof as a qualified agreement vessel in regard to which qualified withdrawals from the Fund have been made to pay existing indebtedness, for a period of ten (10) years from the date of the first qualified withdrawal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349885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52"/>
          </w:cols>
          <w:pgMar w:left="988" w:top="1206" w:right="1059" w:bottom="1440" w:gutter="0" w:footer="0" w:header="0"/>
        </w:sectPr>
      </w:pPr>
    </w:p>
    <w:bookmarkStart w:id="95" w:name="page96"/>
    <w:bookmarkEnd w:id="95"/>
    <w:p>
      <w:pPr>
        <w:spacing w:after="0" w:line="252" w:lineRule="auto"/>
        <w:rPr>
          <w:sz w:val="20"/>
          <w:szCs w:val="20"/>
          <w:color w:val="auto"/>
        </w:rPr>
      </w:pPr>
      <w:r>
        <w:rPr>
          <w:rFonts w:ascii="Arial" w:cs="Arial" w:eastAsia="Arial" w:hAnsi="Arial"/>
          <w:sz w:val="21"/>
          <w:szCs w:val="21"/>
          <w:color w:val="auto"/>
        </w:rPr>
        <w:t>regard to such vessel, provided, however, that if such vessel was more than fifteen (15) years old on the date of the first qualified withdrawal in regard thereto, such conditions shall continue for a period of five (5) years in regard to such vessel.</w:t>
      </w:r>
    </w:p>
    <w:p>
      <w:pPr>
        <w:spacing w:after="0" w:line="211" w:lineRule="exact"/>
        <w:rPr>
          <w:sz w:val="20"/>
          <w:szCs w:val="20"/>
          <w:color w:val="auto"/>
        </w:rPr>
      </w:pPr>
    </w:p>
    <w:p>
      <w:pPr>
        <w:ind w:right="5560" w:firstLine="8"/>
        <w:spacing w:after="0" w:line="563" w:lineRule="auto"/>
        <w:tabs>
          <w:tab w:leader="none" w:pos="648"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 xml:space="preserve">Warranties and Representations by the Party </w:t>
      </w:r>
      <w:r>
        <w:rPr>
          <w:rFonts w:ascii="Arial" w:cs="Arial" w:eastAsia="Arial" w:hAnsi="Arial"/>
          <w:sz w:val="18"/>
          <w:szCs w:val="18"/>
          <w:color w:val="auto"/>
        </w:rPr>
        <w:t>The Party hereby warrants and represents that:</w:t>
      </w:r>
    </w:p>
    <w:p>
      <w:pPr>
        <w:spacing w:after="0" w:line="1" w:lineRule="exact"/>
        <w:rPr>
          <w:sz w:val="20"/>
          <w:szCs w:val="20"/>
          <w:color w:val="auto"/>
        </w:rPr>
      </w:pPr>
    </w:p>
    <w:p>
      <w:pPr>
        <w:ind w:right="40" w:firstLine="8"/>
        <w:spacing w:after="0" w:line="277" w:lineRule="auto"/>
        <w:tabs>
          <w:tab w:leader="none" w:pos="64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Party is a citizen of the United States within the meaning of section 2 of the Shipping Act, 1916, as amended, and will continue to be so for the term of this Agreement. The Party agrees that, each year, within 30 days after the annual meeting of its stockholders, it shall file a supplemental affidavit as evidence of its continuing United States citizenship, provided that, any changes in data last furnished with respect to officers, directors, and stockholders holding five percent or more of the issued and outstanding stock of each class or series which would result in a loss of the Party’s status as a United States citizen shall be promptly reported to the Assistant Secretary.</w:t>
      </w:r>
    </w:p>
    <w:p>
      <w:pPr>
        <w:spacing w:after="0" w:line="187" w:lineRule="exact"/>
        <w:rPr>
          <w:rFonts w:ascii="Arial" w:cs="Arial" w:eastAsia="Arial" w:hAnsi="Arial"/>
          <w:sz w:val="19"/>
          <w:szCs w:val="19"/>
          <w:color w:val="auto"/>
        </w:rPr>
      </w:pPr>
    </w:p>
    <w:p>
      <w:pPr>
        <w:ind w:right="100" w:firstLine="8"/>
        <w:spacing w:after="0" w:line="264" w:lineRule="auto"/>
        <w:tabs>
          <w:tab w:leader="none" w:pos="648"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The Party owns, is the lessee, or has contracted for the construction of one or more eligible vessels (within the meaning of section 607(k) of the Act) as listed is Schedule A hereof.</w:t>
      </w:r>
    </w:p>
    <w:p>
      <w:pPr>
        <w:spacing w:after="0" w:line="197" w:lineRule="exact"/>
        <w:rPr>
          <w:rFonts w:ascii="Arial" w:cs="Arial" w:eastAsia="Arial" w:hAnsi="Arial"/>
          <w:sz w:val="21"/>
          <w:szCs w:val="21"/>
          <w:color w:val="auto"/>
        </w:rPr>
      </w:pPr>
    </w:p>
    <w:p>
      <w:pPr>
        <w:ind w:left="660" w:hanging="652"/>
        <w:spacing w:after="0"/>
        <w:tabs>
          <w:tab w:leader="none" w:pos="66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The qualified vessels described in Schedule B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06" w:right="1039" w:bottom="1440" w:gutter="0" w:footer="0" w:header="0"/>
        </w:sectPr>
      </w:pPr>
    </w:p>
    <w:bookmarkStart w:id="96" w:name="page97"/>
    <w:bookmarkEnd w:id="96"/>
    <w:p>
      <w:pPr>
        <w:ind w:left="-8" w:right="680" w:firstLine="8"/>
        <w:spacing w:after="0" w:line="264" w:lineRule="auto"/>
        <w:tabs>
          <w:tab w:leader="none" w:pos="64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Were or will be constructed or reconstructed in the United States, except as provided in the Act and the rules and regulations;</w:t>
      </w:r>
    </w:p>
    <w:p>
      <w:pPr>
        <w:spacing w:after="0" w:line="197" w:lineRule="exact"/>
        <w:rPr>
          <w:rFonts w:ascii="Arial" w:cs="Arial" w:eastAsia="Arial" w:hAnsi="Arial"/>
          <w:sz w:val="21"/>
          <w:szCs w:val="21"/>
          <w:color w:val="auto"/>
        </w:rPr>
      </w:pPr>
    </w:p>
    <w:p>
      <w:pPr>
        <w:ind w:left="652" w:hanging="652"/>
        <w:spacing w:after="0"/>
        <w:tabs>
          <w:tab w:leader="none" w:pos="6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Are or will be documented under the laws of the United States and will continue to remain so documented; and</w:t>
      </w:r>
    </w:p>
    <w:p>
      <w:pPr>
        <w:spacing w:after="0" w:line="279" w:lineRule="exact"/>
        <w:rPr>
          <w:rFonts w:ascii="Arial" w:cs="Arial" w:eastAsia="Arial" w:hAnsi="Arial"/>
          <w:sz w:val="18"/>
          <w:szCs w:val="18"/>
          <w:color w:val="auto"/>
        </w:rPr>
      </w:pPr>
    </w:p>
    <w:p>
      <w:pPr>
        <w:ind w:left="-8" w:right="220" w:firstLine="8"/>
        <w:spacing w:after="0" w:line="264" w:lineRule="auto"/>
        <w:tabs>
          <w:tab w:leader="none" w:pos="64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Will be operated in the foreign, Great Lakes or noncontiguous domestic trade of the United States within the meaning of the Act and the rules and regulations.</w:t>
      </w:r>
    </w:p>
    <w:p>
      <w:pPr>
        <w:spacing w:after="0" w:line="198" w:lineRule="exact"/>
        <w:rPr>
          <w:sz w:val="20"/>
          <w:szCs w:val="20"/>
          <w:color w:val="auto"/>
        </w:rPr>
      </w:pPr>
    </w:p>
    <w:p>
      <w:pPr>
        <w:ind w:left="652" w:hanging="652"/>
        <w:spacing w:after="0"/>
        <w:tabs>
          <w:tab w:leader="none" w:pos="652"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Party will meet its deposit obligations as agreed upon in Article 5 of this Agreement.</w:t>
      </w:r>
    </w:p>
    <w:p>
      <w:pPr>
        <w:spacing w:after="0" w:line="244" w:lineRule="exact"/>
        <w:rPr>
          <w:rFonts w:ascii="Arial" w:cs="Arial" w:eastAsia="Arial" w:hAnsi="Arial"/>
          <w:sz w:val="21"/>
          <w:szCs w:val="21"/>
          <w:color w:val="auto"/>
        </w:rPr>
      </w:pPr>
    </w:p>
    <w:p>
      <w:pPr>
        <w:ind w:left="-8" w:right="480" w:firstLine="8"/>
        <w:spacing w:after="0" w:line="317" w:lineRule="auto"/>
        <w:tabs>
          <w:tab w:leader="none" w:pos="64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Party will promptly inform the Assistant Secretary, in writing, of any change in circumstances which would tend to adversely affect the ability of the Party to carry out its obligations under the Agreement.</w:t>
      </w:r>
    </w:p>
    <w:p>
      <w:pPr>
        <w:spacing w:after="0" w:line="151" w:lineRule="exact"/>
        <w:rPr>
          <w:rFonts w:ascii="Arial" w:cs="Arial" w:eastAsia="Arial" w:hAnsi="Arial"/>
          <w:sz w:val="19"/>
          <w:szCs w:val="19"/>
          <w:color w:val="auto"/>
        </w:rPr>
      </w:pPr>
    </w:p>
    <w:p>
      <w:pPr>
        <w:ind w:left="652" w:hanging="652"/>
        <w:spacing w:after="0"/>
        <w:tabs>
          <w:tab w:leader="none" w:pos="652"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Party will faithfully conform to all rules and regulations governing the Agreement and the Fund.</w:t>
      </w:r>
    </w:p>
    <w:p>
      <w:pPr>
        <w:spacing w:after="0" w:line="244" w:lineRule="exact"/>
        <w:rPr>
          <w:rFonts w:ascii="Arial" w:cs="Arial" w:eastAsia="Arial" w:hAnsi="Arial"/>
          <w:sz w:val="21"/>
          <w:szCs w:val="21"/>
          <w:color w:val="auto"/>
        </w:rPr>
      </w:pPr>
    </w:p>
    <w:p>
      <w:pPr>
        <w:ind w:left="-8" w:firstLine="8"/>
        <w:spacing w:after="0" w:line="262" w:lineRule="auto"/>
        <w:tabs>
          <w:tab w:leader="none" w:pos="64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Nothing of monetary value has been improperly given, promised, or implied for entering into this Agreement. The Party further warrants that no improper personal, political or other activities have been used or attempted in an effort to influence the outcome of the discussions or negotiations leading to the award of this Agreement. Breach of this warranty shall constitute an event of default for which the Assistant Secretary shall have the right, notwithstanding Article 4, to terminate this Agreement without liability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349885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52"/>
          </w:cols>
          <w:pgMar w:left="988" w:top="1206" w:right="1059" w:bottom="1440" w:gutter="0" w:footer="0" w:header="0"/>
        </w:sectPr>
      </w:pPr>
    </w:p>
    <w:bookmarkStart w:id="97" w:name="page98"/>
    <w:bookmarkEnd w:id="97"/>
    <w:p>
      <w:pPr>
        <w:ind w:left="652" w:hanging="652"/>
        <w:spacing w:after="0"/>
        <w:tabs>
          <w:tab w:leader="none" w:pos="652"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Default in Obligations</w:t>
      </w:r>
    </w:p>
    <w:p>
      <w:pPr>
        <w:spacing w:after="0" w:line="245" w:lineRule="exact"/>
        <w:rPr>
          <w:sz w:val="20"/>
          <w:szCs w:val="20"/>
          <w:color w:val="auto"/>
        </w:rPr>
      </w:pPr>
    </w:p>
    <w:p>
      <w:pPr>
        <w:jc w:val="both"/>
        <w:ind w:left="-8" w:right="60" w:firstLine="8"/>
        <w:spacing w:after="0" w:line="249" w:lineRule="auto"/>
        <w:tabs>
          <w:tab w:leader="none" w:pos="64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If the Assistant Secretary determines that any substantial obligation under this Agreement is not being fulfilled by the Party, he may, under the rules and regulations and after the Party has been given notice and an opportunity to be heard, declare a breach and treat the entire Fund, or any portion thereof, as an amount withdrawn in a non-qualified withdrawal.</w:t>
      </w:r>
    </w:p>
    <w:p>
      <w:pPr>
        <w:spacing w:after="0" w:line="212" w:lineRule="exact"/>
        <w:rPr>
          <w:rFonts w:ascii="Arial" w:cs="Arial" w:eastAsia="Arial" w:hAnsi="Arial"/>
          <w:sz w:val="21"/>
          <w:szCs w:val="21"/>
          <w:color w:val="auto"/>
        </w:rPr>
      </w:pPr>
    </w:p>
    <w:p>
      <w:pPr>
        <w:ind w:left="-8" w:right="700" w:firstLine="8"/>
        <w:spacing w:after="0" w:line="264" w:lineRule="auto"/>
        <w:tabs>
          <w:tab w:leader="none" w:pos="64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Assistant Secretary shall provide an opportunity for the Party to cure a breach declared pursuant to Paragraph (A) of this Article 13.</w:t>
      </w:r>
    </w:p>
    <w:p>
      <w:pPr>
        <w:spacing w:after="0" w:line="197" w:lineRule="exact"/>
        <w:rPr>
          <w:rFonts w:ascii="Arial" w:cs="Arial" w:eastAsia="Arial" w:hAnsi="Arial"/>
          <w:sz w:val="21"/>
          <w:szCs w:val="21"/>
          <w:color w:val="auto"/>
        </w:rPr>
      </w:pPr>
    </w:p>
    <w:p>
      <w:pPr>
        <w:ind w:left="652" w:hanging="652"/>
        <w:spacing w:after="0"/>
        <w:tabs>
          <w:tab w:leader="none" w:pos="652" w:val="left"/>
        </w:tabs>
        <w:numPr>
          <w:ilvl w:val="0"/>
          <w:numId w:val="111"/>
        </w:numPr>
        <w:rPr>
          <w:rFonts w:ascii="Arial" w:cs="Arial" w:eastAsia="Arial" w:hAnsi="Arial"/>
          <w:sz w:val="21"/>
          <w:szCs w:val="21"/>
          <w:color w:val="auto"/>
        </w:rPr>
      </w:pPr>
      <w:r>
        <w:rPr>
          <w:rFonts w:ascii="Arial" w:cs="Arial" w:eastAsia="Arial" w:hAnsi="Arial"/>
          <w:sz w:val="21"/>
          <w:szCs w:val="21"/>
          <w:color w:val="auto"/>
        </w:rPr>
        <w:t>Events of breach by the Party shall include, but shall not be limited to:</w:t>
      </w:r>
    </w:p>
    <w:p>
      <w:pPr>
        <w:spacing w:after="0" w:line="245" w:lineRule="exact"/>
        <w:rPr>
          <w:sz w:val="20"/>
          <w:szCs w:val="20"/>
          <w:color w:val="auto"/>
        </w:rPr>
      </w:pPr>
    </w:p>
    <w:p>
      <w:pPr>
        <w:ind w:left="652" w:hanging="652"/>
        <w:spacing w:after="0"/>
        <w:tabs>
          <w:tab w:leader="none" w:pos="652" w:val="left"/>
        </w:tabs>
        <w:numPr>
          <w:ilvl w:val="0"/>
          <w:numId w:val="112"/>
        </w:numPr>
        <w:rPr>
          <w:rFonts w:ascii="Arial" w:cs="Arial" w:eastAsia="Arial" w:hAnsi="Arial"/>
          <w:sz w:val="20"/>
          <w:szCs w:val="20"/>
          <w:color w:val="auto"/>
        </w:rPr>
      </w:pPr>
      <w:r>
        <w:rPr>
          <w:rFonts w:ascii="Arial" w:cs="Arial" w:eastAsia="Arial" w:hAnsi="Arial"/>
          <w:sz w:val="20"/>
          <w:szCs w:val="20"/>
          <w:color w:val="auto"/>
        </w:rPr>
        <w:t>Failure in any respect to use due diligence in performing the program set forth in Schedule B hereof;</w:t>
      </w:r>
    </w:p>
    <w:p>
      <w:pPr>
        <w:spacing w:after="0" w:line="256" w:lineRule="exact"/>
        <w:rPr>
          <w:rFonts w:ascii="Arial" w:cs="Arial" w:eastAsia="Arial" w:hAnsi="Arial"/>
          <w:sz w:val="20"/>
          <w:szCs w:val="20"/>
          <w:color w:val="auto"/>
        </w:rPr>
      </w:pPr>
    </w:p>
    <w:p>
      <w:pPr>
        <w:ind w:left="652" w:hanging="652"/>
        <w:spacing w:after="0"/>
        <w:tabs>
          <w:tab w:leader="none" w:pos="652" w:val="left"/>
        </w:tabs>
        <w:numPr>
          <w:ilvl w:val="0"/>
          <w:numId w:val="112"/>
        </w:numPr>
        <w:rPr>
          <w:rFonts w:ascii="Arial" w:cs="Arial" w:eastAsia="Arial" w:hAnsi="Arial"/>
          <w:sz w:val="21"/>
          <w:szCs w:val="21"/>
          <w:color w:val="auto"/>
        </w:rPr>
      </w:pPr>
      <w:r>
        <w:rPr>
          <w:rFonts w:ascii="Arial" w:cs="Arial" w:eastAsia="Arial" w:hAnsi="Arial"/>
          <w:sz w:val="21"/>
          <w:szCs w:val="21"/>
          <w:color w:val="auto"/>
        </w:rPr>
        <w:t>Obligating the assets in the Fund as a compensating balance;</w:t>
      </w:r>
    </w:p>
    <w:p>
      <w:pPr>
        <w:spacing w:after="0" w:line="244" w:lineRule="exact"/>
        <w:rPr>
          <w:rFonts w:ascii="Arial" w:cs="Arial" w:eastAsia="Arial" w:hAnsi="Arial"/>
          <w:sz w:val="21"/>
          <w:szCs w:val="21"/>
          <w:color w:val="auto"/>
        </w:rPr>
      </w:pPr>
    </w:p>
    <w:p>
      <w:pPr>
        <w:ind w:left="652" w:hanging="652"/>
        <w:spacing w:after="0"/>
        <w:tabs>
          <w:tab w:leader="none" w:pos="652" w:val="left"/>
        </w:tabs>
        <w:numPr>
          <w:ilvl w:val="0"/>
          <w:numId w:val="112"/>
        </w:numPr>
        <w:rPr>
          <w:rFonts w:ascii="Arial" w:cs="Arial" w:eastAsia="Arial" w:hAnsi="Arial"/>
          <w:sz w:val="21"/>
          <w:szCs w:val="21"/>
          <w:color w:val="auto"/>
        </w:rPr>
      </w:pPr>
      <w:r>
        <w:rPr>
          <w:rFonts w:ascii="Arial" w:cs="Arial" w:eastAsia="Arial" w:hAnsi="Arial"/>
          <w:sz w:val="21"/>
          <w:szCs w:val="21"/>
          <w:color w:val="auto"/>
        </w:rPr>
        <w:t>Failure to make deposits required in Schedule D hereof;</w:t>
      </w:r>
    </w:p>
    <w:p>
      <w:pPr>
        <w:spacing w:after="0" w:line="244" w:lineRule="exact"/>
        <w:rPr>
          <w:rFonts w:ascii="Arial" w:cs="Arial" w:eastAsia="Arial" w:hAnsi="Arial"/>
          <w:sz w:val="21"/>
          <w:szCs w:val="21"/>
          <w:color w:val="auto"/>
        </w:rPr>
      </w:pPr>
    </w:p>
    <w:p>
      <w:pPr>
        <w:ind w:left="-8" w:right="480" w:firstLine="8"/>
        <w:spacing w:after="0" w:line="264" w:lineRule="auto"/>
        <w:tabs>
          <w:tab w:leader="none" w:pos="64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Failure to secure written permission from the Assistant Secretary when such permission is required by the rules and regulations;</w:t>
      </w:r>
    </w:p>
    <w:p>
      <w:pPr>
        <w:spacing w:after="0" w:line="197" w:lineRule="exact"/>
        <w:rPr>
          <w:rFonts w:ascii="Arial" w:cs="Arial" w:eastAsia="Arial" w:hAnsi="Arial"/>
          <w:sz w:val="21"/>
          <w:szCs w:val="21"/>
          <w:color w:val="auto"/>
        </w:rPr>
      </w:pPr>
    </w:p>
    <w:p>
      <w:pPr>
        <w:ind w:left="652" w:hanging="652"/>
        <w:spacing w:after="0"/>
        <w:tabs>
          <w:tab w:leader="none" w:pos="652" w:val="left"/>
        </w:tabs>
        <w:numPr>
          <w:ilvl w:val="0"/>
          <w:numId w:val="112"/>
        </w:numPr>
        <w:rPr>
          <w:rFonts w:ascii="Arial" w:cs="Arial" w:eastAsia="Arial" w:hAnsi="Arial"/>
          <w:sz w:val="21"/>
          <w:szCs w:val="21"/>
          <w:color w:val="auto"/>
        </w:rPr>
      </w:pPr>
      <w:r>
        <w:rPr>
          <w:rFonts w:ascii="Arial" w:cs="Arial" w:eastAsia="Arial" w:hAnsi="Arial"/>
          <w:sz w:val="21"/>
          <w:szCs w:val="21"/>
          <w:color w:val="auto"/>
        </w:rPr>
        <w:t>Failure to submit reports and/or records on a timely basis as provided in Article 9 hereof;</w:t>
      </w:r>
    </w:p>
    <w:p>
      <w:pPr>
        <w:spacing w:after="0" w:line="244" w:lineRule="exact"/>
        <w:rPr>
          <w:rFonts w:ascii="Arial" w:cs="Arial" w:eastAsia="Arial" w:hAnsi="Arial"/>
          <w:sz w:val="21"/>
          <w:szCs w:val="21"/>
          <w:color w:val="auto"/>
        </w:rPr>
      </w:pPr>
    </w:p>
    <w:p>
      <w:pPr>
        <w:ind w:left="-8" w:firstLine="8"/>
        <w:spacing w:after="0" w:line="252" w:lineRule="auto"/>
        <w:tabs>
          <w:tab w:leader="none" w:pos="64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Any material misrepresentation made by the Party or any failure by the Party to disclose material information, in connection with this Agreement whether before or after execution hereof and whether made in an application, report, affidavit, or otherwise; 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349885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206" w:right="1019" w:bottom="1440" w:gutter="0" w:footer="0" w:header="0"/>
        </w:sectPr>
      </w:pPr>
    </w:p>
    <w:bookmarkStart w:id="98" w:name="page99"/>
    <w:bookmarkEnd w:id="98"/>
    <w:p>
      <w:pPr>
        <w:ind w:right="200" w:firstLine="8"/>
        <w:spacing w:after="0" w:line="264" w:lineRule="auto"/>
        <w:tabs>
          <w:tab w:leader="none" w:pos="648" w:val="left"/>
        </w:tabs>
        <w:numPr>
          <w:ilvl w:val="0"/>
          <w:numId w:val="113"/>
        </w:numPr>
        <w:rPr>
          <w:rFonts w:ascii="Arial" w:cs="Arial" w:eastAsia="Arial" w:hAnsi="Arial"/>
          <w:sz w:val="21"/>
          <w:szCs w:val="21"/>
          <w:color w:val="auto"/>
        </w:rPr>
      </w:pPr>
      <w:r>
        <w:rPr>
          <w:rFonts w:ascii="Arial" w:cs="Arial" w:eastAsia="Arial" w:hAnsi="Arial"/>
          <w:sz w:val="21"/>
          <w:szCs w:val="21"/>
          <w:color w:val="auto"/>
        </w:rPr>
        <w:t>Failure by the Party to comply with any provisions of section 607 of the Act, the rules and regulations, or this Agreement.</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8"/>
          <w:szCs w:val="18"/>
          <w:u w:val="single" w:color="auto"/>
          <w:color w:val="auto"/>
        </w:rPr>
        <w:t>Extension of Federal Income Tax Benefits</w:t>
      </w:r>
    </w:p>
    <w:p>
      <w:pPr>
        <w:spacing w:after="0" w:line="245" w:lineRule="exact"/>
        <w:rPr>
          <w:sz w:val="20"/>
          <w:szCs w:val="20"/>
          <w:color w:val="auto"/>
        </w:rPr>
      </w:pPr>
    </w:p>
    <w:p>
      <w:pPr>
        <w:ind w:right="260"/>
        <w:spacing w:after="0" w:line="289" w:lineRule="auto"/>
        <w:rPr>
          <w:sz w:val="20"/>
          <w:szCs w:val="20"/>
          <w:color w:val="auto"/>
        </w:rPr>
      </w:pPr>
      <w:r>
        <w:rPr>
          <w:rFonts w:ascii="Arial" w:cs="Arial" w:eastAsia="Arial" w:hAnsi="Arial"/>
          <w:sz w:val="20"/>
          <w:szCs w:val="20"/>
          <w:color w:val="auto"/>
        </w:rPr>
        <w:t>The Assistant Secretary agrees that the Federal income tax benefits provided in the Act and the rules and regulations shall be available to the Party if the Party shall carry out its obligations under this Agreement.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5060" w:type="dxa"/>
            <w:vAlign w:val="bottom"/>
            <w:gridSpan w:val="2"/>
          </w:tcPr>
          <w:p>
            <w:pPr>
              <w:ind w:left="220"/>
              <w:spacing w:after="0"/>
              <w:rPr>
                <w:sz w:val="20"/>
                <w:szCs w:val="20"/>
                <w:color w:val="auto"/>
              </w:rPr>
            </w:pPr>
            <w:r>
              <w:rPr>
                <w:rFonts w:ascii="Arial" w:cs="Arial" w:eastAsia="Arial" w:hAnsi="Arial"/>
                <w:sz w:val="21"/>
                <w:szCs w:val="21"/>
                <w:color w:val="auto"/>
              </w:rPr>
              <w:t>UNITED STATES OF AMERICA</w:t>
            </w:r>
          </w:p>
        </w:tc>
      </w:tr>
      <w:tr>
        <w:trPr>
          <w:trHeight w:val="243"/>
        </w:trPr>
        <w:tc>
          <w:tcPr>
            <w:tcW w:w="44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5060" w:type="dxa"/>
            <w:vAlign w:val="bottom"/>
            <w:gridSpan w:val="2"/>
          </w:tcPr>
          <w:p>
            <w:pPr>
              <w:ind w:left="220"/>
              <w:spacing w:after="0"/>
              <w:rPr>
                <w:sz w:val="20"/>
                <w:szCs w:val="20"/>
                <w:color w:val="auto"/>
              </w:rPr>
            </w:pPr>
            <w:r>
              <w:rPr>
                <w:rFonts w:ascii="Arial" w:cs="Arial" w:eastAsia="Arial" w:hAnsi="Arial"/>
                <w:sz w:val="21"/>
                <w:szCs w:val="21"/>
                <w:color w:val="auto"/>
              </w:rPr>
              <w:t>ASSISTANT SECRETARY OF COMMERCE</w:t>
            </w:r>
          </w:p>
        </w:tc>
      </w:tr>
      <w:tr>
        <w:trPr>
          <w:trHeight w:val="264"/>
        </w:trPr>
        <w:tc>
          <w:tcPr>
            <w:tcW w:w="4860" w:type="dxa"/>
            <w:vAlign w:val="bottom"/>
            <w:gridSpan w:val="2"/>
          </w:tcPr>
          <w:p>
            <w:pPr>
              <w:spacing w:after="0"/>
              <w:rPr>
                <w:sz w:val="20"/>
                <w:szCs w:val="20"/>
                <w:color w:val="auto"/>
              </w:rPr>
            </w:pPr>
            <w:r>
              <w:rPr>
                <w:rFonts w:ascii="Arial" w:cs="Arial" w:eastAsia="Arial" w:hAnsi="Arial"/>
                <w:sz w:val="21"/>
                <w:szCs w:val="21"/>
                <w:color w:val="auto"/>
              </w:rPr>
              <w:t>ATTEST:</w:t>
            </w:r>
          </w:p>
        </w:tc>
        <w:tc>
          <w:tcPr>
            <w:tcW w:w="5060" w:type="dxa"/>
            <w:vAlign w:val="bottom"/>
            <w:gridSpan w:val="2"/>
          </w:tcPr>
          <w:p>
            <w:pPr>
              <w:ind w:left="480"/>
              <w:spacing w:after="0"/>
              <w:rPr>
                <w:sz w:val="20"/>
                <w:szCs w:val="20"/>
                <w:color w:val="auto"/>
              </w:rPr>
            </w:pPr>
            <w:r>
              <w:rPr>
                <w:rFonts w:ascii="Arial" w:cs="Arial" w:eastAsia="Arial" w:hAnsi="Arial"/>
                <w:sz w:val="21"/>
                <w:szCs w:val="21"/>
                <w:color w:val="auto"/>
              </w:rPr>
              <w:t>FOR MARITIME AFFAIRS</w:t>
            </w:r>
          </w:p>
        </w:tc>
      </w:tr>
      <w:tr>
        <w:trPr>
          <w:trHeight w:val="478"/>
        </w:trPr>
        <w:tc>
          <w:tcPr>
            <w:tcW w:w="4860" w:type="dxa"/>
            <w:vAlign w:val="bottom"/>
            <w:gridSpan w:val="2"/>
          </w:tcPr>
          <w:p>
            <w:pPr>
              <w:spacing w:after="0"/>
              <w:rPr>
                <w:sz w:val="20"/>
                <w:szCs w:val="20"/>
                <w:color w:val="auto"/>
              </w:rPr>
            </w:pPr>
            <w:r>
              <w:rPr>
                <w:rFonts w:ascii="Arial" w:cs="Arial" w:eastAsia="Arial" w:hAnsi="Arial"/>
                <w:sz w:val="21"/>
                <w:szCs w:val="21"/>
                <w:color w:val="auto"/>
              </w:rPr>
              <w:t>By:</w:t>
            </w:r>
          </w:p>
        </w:tc>
        <w:tc>
          <w:tcPr>
            <w:tcW w:w="5060" w:type="dxa"/>
            <w:vAlign w:val="bottom"/>
            <w:gridSpan w:val="2"/>
          </w:tcPr>
          <w:p>
            <w:pPr>
              <w:ind w:left="220"/>
              <w:spacing w:after="0"/>
              <w:rPr>
                <w:sz w:val="20"/>
                <w:szCs w:val="20"/>
                <w:color w:val="auto"/>
              </w:rPr>
            </w:pPr>
            <w:r>
              <w:rPr>
                <w:rFonts w:ascii="Arial" w:cs="Arial" w:eastAsia="Arial" w:hAnsi="Arial"/>
                <w:sz w:val="21"/>
                <w:szCs w:val="21"/>
                <w:color w:val="auto"/>
              </w:rPr>
              <w:t>By:</w:t>
            </w:r>
          </w:p>
        </w:tc>
      </w:tr>
      <w:tr>
        <w:trPr>
          <w:trHeight w:val="258"/>
        </w:trPr>
        <w:tc>
          <w:tcPr>
            <w:tcW w:w="440" w:type="dxa"/>
            <w:vAlign w:val="bottom"/>
          </w:tcPr>
          <w:p>
            <w:pPr>
              <w:spacing w:after="0"/>
              <w:rPr>
                <w:sz w:val="22"/>
                <w:szCs w:val="22"/>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Secretary</w:t>
            </w:r>
          </w:p>
        </w:tc>
        <w:tc>
          <w:tcPr>
            <w:tcW w:w="620" w:type="dxa"/>
            <w:vAlign w:val="bottom"/>
          </w:tcPr>
          <w:p>
            <w:pPr>
              <w:spacing w:after="0"/>
              <w:rPr>
                <w:sz w:val="22"/>
                <w:szCs w:val="22"/>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Contracting Officer</w:t>
            </w:r>
          </w:p>
        </w:tc>
      </w:tr>
      <w:tr>
        <w:trPr>
          <w:trHeight w:val="465"/>
        </w:trPr>
        <w:tc>
          <w:tcPr>
            <w:tcW w:w="4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r>
        <w:trPr>
          <w:trHeight w:val="258"/>
        </w:trPr>
        <w:tc>
          <w:tcPr>
            <w:tcW w:w="44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Arial" w:cs="Arial" w:eastAsia="Arial" w:hAnsi="Arial"/>
                <w:sz w:val="21"/>
                <w:szCs w:val="21"/>
                <w:color w:val="auto"/>
              </w:rPr>
              <w:t>(Date of Execution)</w:t>
            </w:r>
          </w:p>
        </w:tc>
      </w:tr>
      <w:tr>
        <w:trPr>
          <w:trHeight w:val="959"/>
        </w:trPr>
        <w:tc>
          <w:tcPr>
            <w:tcW w:w="4860" w:type="dxa"/>
            <w:vAlign w:val="bottom"/>
            <w:gridSpan w:val="2"/>
          </w:tcPr>
          <w:p>
            <w:pPr>
              <w:spacing w:after="0"/>
              <w:rPr>
                <w:sz w:val="20"/>
                <w:szCs w:val="20"/>
                <w:color w:val="auto"/>
              </w:rPr>
            </w:pPr>
            <w:r>
              <w:rPr>
                <w:rFonts w:ascii="Arial" w:cs="Arial" w:eastAsia="Arial" w:hAnsi="Arial"/>
                <w:sz w:val="21"/>
                <w:szCs w:val="21"/>
                <w:color w:val="auto"/>
              </w:rPr>
              <w:t>ATTEST:</w:t>
            </w:r>
          </w:p>
        </w:tc>
        <w:tc>
          <w:tcPr>
            <w:tcW w:w="5060" w:type="dxa"/>
            <w:vAlign w:val="bottom"/>
            <w:gridSpan w:val="2"/>
          </w:tcPr>
          <w:p>
            <w:pPr>
              <w:ind w:left="220"/>
              <w:spacing w:after="0"/>
              <w:rPr>
                <w:sz w:val="20"/>
                <w:szCs w:val="20"/>
                <w:color w:val="auto"/>
              </w:rPr>
            </w:pPr>
            <w:r>
              <w:rPr>
                <w:rFonts w:ascii="Arial" w:cs="Arial" w:eastAsia="Arial" w:hAnsi="Arial"/>
                <w:sz w:val="21"/>
                <w:szCs w:val="21"/>
                <w:color w:val="auto"/>
              </w:rPr>
              <w:t>MATSON NAVIGATION COMPANY</w:t>
            </w:r>
          </w:p>
        </w:tc>
      </w:tr>
      <w:tr>
        <w:trPr>
          <w:trHeight w:val="721"/>
        </w:trPr>
        <w:tc>
          <w:tcPr>
            <w:tcW w:w="4860" w:type="dxa"/>
            <w:vAlign w:val="bottom"/>
            <w:gridSpan w:val="2"/>
          </w:tcPr>
          <w:p>
            <w:pPr>
              <w:spacing w:after="0"/>
              <w:rPr>
                <w:sz w:val="20"/>
                <w:szCs w:val="20"/>
                <w:color w:val="auto"/>
              </w:rPr>
            </w:pPr>
            <w:r>
              <w:rPr>
                <w:rFonts w:ascii="Arial" w:cs="Arial" w:eastAsia="Arial" w:hAnsi="Arial"/>
                <w:sz w:val="21"/>
                <w:szCs w:val="21"/>
                <w:color w:val="auto"/>
              </w:rPr>
              <w:t>By:</w:t>
            </w:r>
          </w:p>
        </w:tc>
        <w:tc>
          <w:tcPr>
            <w:tcW w:w="5060" w:type="dxa"/>
            <w:vAlign w:val="bottom"/>
            <w:gridSpan w:val="2"/>
          </w:tcPr>
          <w:p>
            <w:pPr>
              <w:ind w:left="220"/>
              <w:spacing w:after="0"/>
              <w:rPr>
                <w:sz w:val="20"/>
                <w:szCs w:val="20"/>
                <w:color w:val="auto"/>
              </w:rPr>
            </w:pPr>
            <w:r>
              <w:rPr>
                <w:rFonts w:ascii="Arial" w:cs="Arial" w:eastAsia="Arial" w:hAnsi="Arial"/>
                <w:sz w:val="21"/>
                <w:szCs w:val="21"/>
                <w:color w:val="auto"/>
              </w:rPr>
              <w:t>By:</w:t>
            </w:r>
          </w:p>
        </w:tc>
      </w:tr>
      <w:tr>
        <w:trPr>
          <w:trHeight w:val="258"/>
        </w:trPr>
        <w:tc>
          <w:tcPr>
            <w:tcW w:w="440" w:type="dxa"/>
            <w:vAlign w:val="bottom"/>
          </w:tcPr>
          <w:p>
            <w:pPr>
              <w:spacing w:after="0"/>
              <w:rPr>
                <w:sz w:val="22"/>
                <w:szCs w:val="22"/>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Assistant Secretary</w:t>
            </w:r>
          </w:p>
        </w:tc>
        <w:tc>
          <w:tcPr>
            <w:tcW w:w="620" w:type="dxa"/>
            <w:vAlign w:val="bottom"/>
          </w:tcPr>
          <w:p>
            <w:pPr>
              <w:spacing w:after="0"/>
              <w:rPr>
                <w:sz w:val="22"/>
                <w:szCs w:val="22"/>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Vice President</w:t>
            </w:r>
          </w:p>
        </w:tc>
      </w:tr>
      <w:tr>
        <w:trPr>
          <w:trHeight w:val="716"/>
        </w:trPr>
        <w:tc>
          <w:tcPr>
            <w:tcW w:w="4860" w:type="dxa"/>
            <w:vAlign w:val="bottom"/>
            <w:gridSpan w:val="2"/>
          </w:tcPr>
          <w:p>
            <w:pPr>
              <w:spacing w:after="0"/>
              <w:rPr>
                <w:sz w:val="20"/>
                <w:szCs w:val="20"/>
                <w:color w:val="auto"/>
              </w:rPr>
            </w:pPr>
            <w:r>
              <w:rPr>
                <w:rFonts w:ascii="Arial" w:cs="Arial" w:eastAsia="Arial" w:hAnsi="Arial"/>
                <w:sz w:val="21"/>
                <w:szCs w:val="21"/>
                <w:color w:val="auto"/>
              </w:rPr>
              <w:t>Approved as to form:</w:t>
            </w:r>
          </w:p>
        </w:tc>
        <w:tc>
          <w:tcPr>
            <w:tcW w:w="62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78"/>
        </w:trPr>
        <w:tc>
          <w:tcPr>
            <w:tcW w:w="4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23"/>
        </w:trPr>
        <w:tc>
          <w:tcPr>
            <w:tcW w:w="4860" w:type="dxa"/>
            <w:vAlign w:val="bottom"/>
            <w:gridSpan w:val="2"/>
          </w:tcPr>
          <w:p>
            <w:pPr>
              <w:spacing w:after="0" w:line="223" w:lineRule="exact"/>
              <w:rPr>
                <w:sz w:val="20"/>
                <w:szCs w:val="20"/>
                <w:color w:val="auto"/>
              </w:rPr>
            </w:pPr>
            <w:r>
              <w:rPr>
                <w:rFonts w:ascii="Arial" w:cs="Arial" w:eastAsia="Arial" w:hAnsi="Arial"/>
                <w:sz w:val="21"/>
                <w:szCs w:val="21"/>
                <w:color w:val="auto"/>
              </w:rPr>
              <w:t>Assistant General Counsel</w:t>
            </w:r>
          </w:p>
        </w:tc>
        <w:tc>
          <w:tcPr>
            <w:tcW w:w="62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264"/>
        </w:trPr>
        <w:tc>
          <w:tcPr>
            <w:tcW w:w="4860" w:type="dxa"/>
            <w:vAlign w:val="bottom"/>
            <w:gridSpan w:val="2"/>
          </w:tcPr>
          <w:p>
            <w:pPr>
              <w:spacing w:after="0"/>
              <w:rPr>
                <w:sz w:val="20"/>
                <w:szCs w:val="20"/>
                <w:color w:val="auto"/>
              </w:rPr>
            </w:pPr>
            <w:r>
              <w:rPr>
                <w:rFonts w:ascii="Arial" w:cs="Arial" w:eastAsia="Arial" w:hAnsi="Arial"/>
                <w:sz w:val="21"/>
                <w:szCs w:val="21"/>
                <w:color w:val="auto"/>
              </w:rPr>
              <w:t>Maritime Administration</w:t>
            </w:r>
          </w:p>
        </w:tc>
        <w:tc>
          <w:tcPr>
            <w:tcW w:w="62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1390"/>
        </w:trPr>
        <w:tc>
          <w:tcPr>
            <w:tcW w:w="4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06" w:right="999" w:bottom="1440" w:gutter="0" w:footer="0" w:header="0"/>
        </w:sectPr>
      </w:pPr>
    </w:p>
    <w:bookmarkStart w:id="99" w:name="page100"/>
    <w:bookmarkEnd w:id="99"/>
    <w:p>
      <w:pPr>
        <w:ind w:left="7320"/>
        <w:spacing w:after="0"/>
        <w:rPr>
          <w:sz w:val="20"/>
          <w:szCs w:val="20"/>
          <w:color w:val="auto"/>
        </w:rPr>
      </w:pPr>
      <w:r>
        <w:rPr>
          <w:rFonts w:ascii="Arial" w:cs="Arial" w:eastAsia="Arial" w:hAnsi="Arial"/>
          <w:sz w:val="21"/>
          <w:szCs w:val="21"/>
          <w:color w:val="auto"/>
        </w:rPr>
        <w:t>COUNTERPART III</w:t>
      </w:r>
    </w:p>
    <w:p>
      <w:pPr>
        <w:spacing w:after="0" w:line="245" w:lineRule="exact"/>
        <w:rPr>
          <w:sz w:val="20"/>
          <w:szCs w:val="20"/>
          <w:color w:val="auto"/>
        </w:rPr>
      </w:pPr>
    </w:p>
    <w:p>
      <w:pPr>
        <w:ind w:left="7320"/>
        <w:spacing w:after="0"/>
        <w:rPr>
          <w:sz w:val="20"/>
          <w:szCs w:val="20"/>
          <w:color w:val="auto"/>
        </w:rPr>
      </w:pPr>
      <w:r>
        <w:rPr>
          <w:rFonts w:ascii="Arial" w:cs="Arial" w:eastAsia="Arial" w:hAnsi="Arial"/>
          <w:sz w:val="21"/>
          <w:szCs w:val="21"/>
          <w:color w:val="auto"/>
        </w:rPr>
        <w:t>Addendum No. 2</w:t>
      </w:r>
    </w:p>
    <w:p>
      <w:pPr>
        <w:spacing w:after="0" w:line="20"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Contract No. MA/CCF-316</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FORM OF ADDENDUM TO</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MARITIME ADMINISTRATION</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CAPITAL CONSTRUCTION FUND AGREEMENT</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WITH</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MATSON NAVIGATION COMPANY</w:t>
      </w:r>
    </w:p>
    <w:p>
      <w:pPr>
        <w:spacing w:after="0" w:line="227"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THIS AGREEMENT, made by and between the Secretary of Commerce (the “Secretary”) and Matson Navigation Company (the “Party”), a citizen of the United States, as an addendum to that certain Capital Construction Fund Agreement, Contract No. MA/CCF-316 (the “Agreement”),</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WITNESSETH:</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WHEREAS:</w:t>
      </w:r>
    </w:p>
    <w:p>
      <w:pPr>
        <w:spacing w:after="0" w:line="245" w:lineRule="exact"/>
        <w:rPr>
          <w:sz w:val="20"/>
          <w:szCs w:val="20"/>
          <w:color w:val="auto"/>
        </w:rPr>
      </w:pPr>
    </w:p>
    <w:p>
      <w:pPr>
        <w:ind w:right="260" w:firstLine="8"/>
        <w:spacing w:after="0" w:line="264" w:lineRule="auto"/>
        <w:tabs>
          <w:tab w:leader="none" w:pos="648"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parties hereto entered into the Agreement on September 21, 1976, under section 607 of the Merchant Marine Act, l936, as amended (the “Act”);</w:t>
      </w:r>
    </w:p>
    <w:p>
      <w:pPr>
        <w:spacing w:after="0" w:line="198"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A new agreement form was published in the Federal Register on August 30, 1977;</w:t>
      </w:r>
    </w:p>
    <w:p>
      <w:pPr>
        <w:spacing w:after="0" w:line="244" w:lineRule="exact"/>
        <w:rPr>
          <w:rFonts w:ascii="Arial" w:cs="Arial" w:eastAsia="Arial" w:hAnsi="Arial"/>
          <w:sz w:val="21"/>
          <w:szCs w:val="21"/>
          <w:color w:val="auto"/>
        </w:rPr>
      </w:pPr>
    </w:p>
    <w:p>
      <w:pPr>
        <w:ind w:left="660" w:hanging="652"/>
        <w:spacing w:after="0"/>
        <w:tabs>
          <w:tab w:leader="none" w:pos="66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parties hereto desire to amend the Agreement to conform with the new agreement form; and</w:t>
      </w:r>
    </w:p>
    <w:p>
      <w:pPr>
        <w:spacing w:after="0" w:line="256" w:lineRule="exact"/>
        <w:rPr>
          <w:rFonts w:ascii="Arial" w:cs="Arial" w:eastAsia="Arial" w:hAnsi="Arial"/>
          <w:sz w:val="20"/>
          <w:szCs w:val="20"/>
          <w:color w:val="auto"/>
        </w:rPr>
      </w:pPr>
    </w:p>
    <w:p>
      <w:pPr>
        <w:ind w:right="1300" w:firstLine="8"/>
        <w:spacing w:after="0" w:line="563"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parties hereto have agreed to amend the Agreement in the manner hereinafter set forth. NOW</w:t>
      </w:r>
      <w:r>
        <w:rPr>
          <w:rFonts w:ascii="Arial" w:cs="Arial" w:eastAsia="Arial" w:hAnsi="Arial"/>
          <w:sz w:val="18"/>
          <w:szCs w:val="18"/>
          <w:i w:val="1"/>
          <w:iCs w:val="1"/>
          <w:color w:val="auto"/>
        </w:rPr>
        <w:t>,</w:t>
      </w:r>
      <w:r>
        <w:rPr>
          <w:rFonts w:ascii="Arial" w:cs="Arial" w:eastAsia="Arial" w:hAnsi="Arial"/>
          <w:sz w:val="18"/>
          <w:szCs w:val="18"/>
          <w:color w:val="auto"/>
        </w:rPr>
        <w:t xml:space="preserve"> THEREFORE, in consideration of the premises, the Secretary and the Party agree as follows:</w:t>
      </w:r>
    </w:p>
    <w:p>
      <w:pPr>
        <w:spacing w:after="0" w:line="1"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Effective October 28, 1977, the Agreement is amended in the following respects:</w:t>
      </w:r>
    </w:p>
    <w:p>
      <w:pPr>
        <w:spacing w:after="0" w:line="245" w:lineRule="exact"/>
        <w:rPr>
          <w:sz w:val="20"/>
          <w:szCs w:val="20"/>
          <w:color w:val="auto"/>
        </w:rPr>
      </w:pPr>
    </w:p>
    <w:p>
      <w:pPr>
        <w:ind w:right="360" w:firstLine="8"/>
        <w:spacing w:after="0" w:line="264" w:lineRule="auto"/>
        <w:tabs>
          <w:tab w:leader="none" w:pos="648" w:val="left"/>
        </w:tabs>
        <w:numPr>
          <w:ilvl w:val="0"/>
          <w:numId w:val="117"/>
        </w:numPr>
        <w:rPr>
          <w:rFonts w:ascii="Arial" w:cs="Arial" w:eastAsia="Arial" w:hAnsi="Arial"/>
          <w:sz w:val="21"/>
          <w:szCs w:val="21"/>
          <w:color w:val="auto"/>
        </w:rPr>
      </w:pPr>
      <w:r>
        <w:rPr>
          <w:rFonts w:ascii="Arial" w:cs="Arial" w:eastAsia="Arial" w:hAnsi="Arial"/>
          <w:sz w:val="21"/>
          <w:szCs w:val="21"/>
          <w:color w:val="auto"/>
        </w:rPr>
        <w:t>Article 5 of the Agreement is amended by changing the last sentence of Paragraph (C) thereof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862965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40"/>
          </w:cols>
          <w:pgMar w:left="980" w:top="1220" w:right="1279" w:bottom="1440" w:gutter="0" w:footer="0" w:header="0"/>
        </w:sectPr>
      </w:pPr>
    </w:p>
    <w:bookmarkStart w:id="100" w:name="page101"/>
    <w:bookmarkEnd w:id="100"/>
    <w:p>
      <w:pPr>
        <w:ind w:right="440"/>
        <w:spacing w:after="0" w:line="289" w:lineRule="auto"/>
        <w:rPr>
          <w:sz w:val="20"/>
          <w:szCs w:val="20"/>
          <w:color w:val="auto"/>
        </w:rPr>
      </w:pPr>
      <w:r>
        <w:rPr>
          <w:rFonts w:ascii="Arial" w:cs="Arial" w:eastAsia="Arial" w:hAnsi="Arial"/>
          <w:sz w:val="20"/>
          <w:szCs w:val="20"/>
          <w:color w:val="auto"/>
        </w:rPr>
        <w:t>“The Party specifically agrees to deposit up to one hundred percent of allowable taxable income attributable to the operation of agreement vessels in order to meet its obligations under this paragraph.”</w:t>
      </w:r>
    </w:p>
    <w:p>
      <w:pPr>
        <w:spacing w:after="0" w:line="175" w:lineRule="exact"/>
        <w:rPr>
          <w:sz w:val="20"/>
          <w:szCs w:val="20"/>
          <w:color w:val="auto"/>
        </w:rPr>
      </w:pPr>
    </w:p>
    <w:p>
      <w:pPr>
        <w:ind w:right="220" w:firstLine="8"/>
        <w:spacing w:after="0" w:line="289" w:lineRule="auto"/>
        <w:tabs>
          <w:tab w:leader="none" w:pos="648"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Article 12 of the Agreement is amended by deleting from Paragraph (A) thereof the subparagraphs numbered (l), (2), and (3) and by changing the last sentence of Paragraph (A) to read as follows: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“The amount shall be calculated in accordance with the rules and regulations.”</w:t>
      </w:r>
    </w:p>
    <w:p>
      <w:pPr>
        <w:spacing w:after="0" w:line="245"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Article 14 of the Agreement is amended by changing Paragraph (B) thereof to read as follows:</w:t>
      </w:r>
    </w:p>
    <w:p>
      <w:pPr>
        <w:spacing w:after="0" w:line="245"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color w:val="auto"/>
        </w:rPr>
        <w:t>“(B) The Assistant Secretary shall provide an opportunity for the Party to cure a breach declared pursuant to Paragraph (A) of this Article 14.”</w:t>
      </w:r>
    </w:p>
    <w:p>
      <w:pPr>
        <w:spacing w:after="0" w:line="198" w:lineRule="exact"/>
        <w:rPr>
          <w:sz w:val="20"/>
          <w:szCs w:val="20"/>
          <w:color w:val="auto"/>
        </w:rPr>
      </w:pPr>
    </w:p>
    <w:p>
      <w:pPr>
        <w:ind w:right="380" w:firstLine="8"/>
        <w:spacing w:after="0" w:line="264" w:lineRule="auto"/>
        <w:tabs>
          <w:tab w:leader="none" w:pos="648" w:val="left"/>
        </w:tabs>
        <w:numPr>
          <w:ilvl w:val="0"/>
          <w:numId w:val="120"/>
        </w:numPr>
        <w:rPr>
          <w:rFonts w:ascii="Arial" w:cs="Arial" w:eastAsia="Arial" w:hAnsi="Arial"/>
          <w:sz w:val="21"/>
          <w:szCs w:val="21"/>
          <w:color w:val="auto"/>
        </w:rPr>
      </w:pPr>
      <w:r>
        <w:rPr>
          <w:rFonts w:ascii="Arial" w:cs="Arial" w:eastAsia="Arial" w:hAnsi="Arial"/>
          <w:sz w:val="21"/>
          <w:szCs w:val="21"/>
          <w:color w:val="auto"/>
        </w:rPr>
        <w:t>Except as herein otherwise expressly provided, the Agreement, as hereto-fore amended, shall remain in full force and effect.</w:t>
      </w:r>
    </w:p>
    <w:p>
      <w:pPr>
        <w:spacing w:after="0" w:line="198" w:lineRule="exact"/>
        <w:rPr>
          <w:sz w:val="20"/>
          <w:szCs w:val="20"/>
          <w:color w:val="auto"/>
        </w:rPr>
      </w:pPr>
    </w:p>
    <w:p>
      <w:pPr>
        <w:ind w:right="220"/>
        <w:spacing w:after="0" w:line="264" w:lineRule="auto"/>
        <w:rPr>
          <w:sz w:val="20"/>
          <w:szCs w:val="20"/>
          <w:color w:val="auto"/>
        </w:rPr>
      </w:pPr>
      <w:r>
        <w:rPr>
          <w:rFonts w:ascii="Arial" w:cs="Arial" w:eastAsia="Arial" w:hAnsi="Arial"/>
          <w:sz w:val="21"/>
          <w:szCs w:val="21"/>
          <w:color w:val="auto"/>
        </w:rPr>
        <w:t>IN WITNESS WHEREOF, the Secretary and the Party have executed this addendum in quadruplicate, effective as of the date(s) indicated herein and actually on the 16th day of December 1977.</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5040" w:type="dxa"/>
            <w:vAlign w:val="bottom"/>
            <w:gridSpan w:val="2"/>
          </w:tcPr>
          <w:p>
            <w:pPr>
              <w:ind w:left="220"/>
              <w:spacing w:after="0"/>
              <w:rPr>
                <w:sz w:val="20"/>
                <w:szCs w:val="20"/>
                <w:color w:val="auto"/>
              </w:rPr>
            </w:pPr>
            <w:r>
              <w:rPr>
                <w:rFonts w:ascii="Arial" w:cs="Arial" w:eastAsia="Arial" w:hAnsi="Arial"/>
                <w:sz w:val="21"/>
                <w:szCs w:val="21"/>
                <w:color w:val="auto"/>
              </w:rPr>
              <w:t>UNITED STATES OF AMERICA</w:t>
            </w:r>
          </w:p>
        </w:tc>
      </w:tr>
      <w:tr>
        <w:trPr>
          <w:trHeight w:val="243"/>
        </w:trPr>
        <w:tc>
          <w:tcPr>
            <w:tcW w:w="4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5040" w:type="dxa"/>
            <w:vAlign w:val="bottom"/>
            <w:gridSpan w:val="2"/>
          </w:tcPr>
          <w:p>
            <w:pPr>
              <w:ind w:left="220"/>
              <w:spacing w:after="0"/>
              <w:rPr>
                <w:sz w:val="20"/>
                <w:szCs w:val="20"/>
                <w:color w:val="auto"/>
              </w:rPr>
            </w:pPr>
            <w:r>
              <w:rPr>
                <w:rFonts w:ascii="Arial" w:cs="Arial" w:eastAsia="Arial" w:hAnsi="Arial"/>
                <w:sz w:val="21"/>
                <w:szCs w:val="21"/>
                <w:color w:val="auto"/>
              </w:rPr>
              <w:t>SECRETARY OF COMMERCE</w:t>
            </w:r>
          </w:p>
        </w:tc>
      </w:tr>
      <w:tr>
        <w:trPr>
          <w:trHeight w:val="243"/>
        </w:trPr>
        <w:tc>
          <w:tcPr>
            <w:tcW w:w="4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5040" w:type="dxa"/>
            <w:vAlign w:val="bottom"/>
            <w:gridSpan w:val="2"/>
          </w:tcPr>
          <w:p>
            <w:pPr>
              <w:ind w:left="220"/>
              <w:spacing w:after="0"/>
              <w:rPr>
                <w:sz w:val="20"/>
                <w:szCs w:val="20"/>
                <w:color w:val="auto"/>
              </w:rPr>
            </w:pPr>
            <w:r>
              <w:rPr>
                <w:rFonts w:ascii="Arial" w:cs="Arial" w:eastAsia="Arial" w:hAnsi="Arial"/>
                <w:sz w:val="21"/>
                <w:szCs w:val="21"/>
                <w:color w:val="auto"/>
              </w:rPr>
              <w:t>ASSISTANT SECRETARY OF COMMERCE</w:t>
            </w:r>
          </w:p>
        </w:tc>
      </w:tr>
      <w:tr>
        <w:trPr>
          <w:trHeight w:val="264"/>
        </w:trPr>
        <w:tc>
          <w:tcPr>
            <w:tcW w:w="4880" w:type="dxa"/>
            <w:vAlign w:val="bottom"/>
            <w:gridSpan w:val="2"/>
          </w:tcPr>
          <w:p>
            <w:pPr>
              <w:spacing w:after="0"/>
              <w:rPr>
                <w:sz w:val="20"/>
                <w:szCs w:val="20"/>
                <w:color w:val="auto"/>
              </w:rPr>
            </w:pPr>
            <w:r>
              <w:rPr>
                <w:rFonts w:ascii="Arial" w:cs="Arial" w:eastAsia="Arial" w:hAnsi="Arial"/>
                <w:sz w:val="21"/>
                <w:szCs w:val="21"/>
                <w:color w:val="auto"/>
              </w:rPr>
              <w:t>ATTEST:</w:t>
            </w:r>
          </w:p>
        </w:tc>
        <w:tc>
          <w:tcPr>
            <w:tcW w:w="5040" w:type="dxa"/>
            <w:vAlign w:val="bottom"/>
            <w:gridSpan w:val="2"/>
          </w:tcPr>
          <w:p>
            <w:pPr>
              <w:ind w:left="480"/>
              <w:spacing w:after="0"/>
              <w:rPr>
                <w:sz w:val="20"/>
                <w:szCs w:val="20"/>
                <w:color w:val="auto"/>
              </w:rPr>
            </w:pPr>
            <w:r>
              <w:rPr>
                <w:rFonts w:ascii="Arial" w:cs="Arial" w:eastAsia="Arial" w:hAnsi="Arial"/>
                <w:sz w:val="21"/>
                <w:szCs w:val="21"/>
                <w:color w:val="auto"/>
              </w:rPr>
              <w:t>FOR MARITIME AFFAIRS</w:t>
            </w:r>
          </w:p>
        </w:tc>
      </w:tr>
      <w:tr>
        <w:trPr>
          <w:trHeight w:val="478"/>
        </w:trPr>
        <w:tc>
          <w:tcPr>
            <w:tcW w:w="4880" w:type="dxa"/>
            <w:vAlign w:val="bottom"/>
            <w:gridSpan w:val="2"/>
          </w:tcPr>
          <w:p>
            <w:pPr>
              <w:spacing w:after="0"/>
              <w:rPr>
                <w:sz w:val="20"/>
                <w:szCs w:val="20"/>
                <w:color w:val="auto"/>
              </w:rPr>
            </w:pPr>
            <w:r>
              <w:rPr>
                <w:rFonts w:ascii="Arial" w:cs="Arial" w:eastAsia="Arial" w:hAnsi="Arial"/>
                <w:sz w:val="21"/>
                <w:szCs w:val="21"/>
                <w:color w:val="auto"/>
              </w:rPr>
              <w:t>By:</w:t>
            </w:r>
          </w:p>
        </w:tc>
        <w:tc>
          <w:tcPr>
            <w:tcW w:w="5040" w:type="dxa"/>
            <w:vAlign w:val="bottom"/>
            <w:gridSpan w:val="2"/>
          </w:tcPr>
          <w:p>
            <w:pPr>
              <w:ind w:left="220"/>
              <w:spacing w:after="0"/>
              <w:rPr>
                <w:sz w:val="20"/>
                <w:szCs w:val="20"/>
                <w:color w:val="auto"/>
              </w:rPr>
            </w:pPr>
            <w:r>
              <w:rPr>
                <w:rFonts w:ascii="Arial" w:cs="Arial" w:eastAsia="Arial" w:hAnsi="Arial"/>
                <w:sz w:val="21"/>
                <w:szCs w:val="21"/>
                <w:color w:val="auto"/>
              </w:rPr>
              <w:t>By:</w:t>
            </w:r>
          </w:p>
        </w:tc>
      </w:tr>
      <w:tr>
        <w:trPr>
          <w:trHeight w:val="258"/>
        </w:trPr>
        <w:tc>
          <w:tcPr>
            <w:tcW w:w="440" w:type="dxa"/>
            <w:vAlign w:val="bottom"/>
          </w:tcPr>
          <w:p>
            <w:pPr>
              <w:spacing w:after="0"/>
              <w:rPr>
                <w:sz w:val="22"/>
                <w:szCs w:val="22"/>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Secretary</w:t>
            </w:r>
          </w:p>
        </w:tc>
        <w:tc>
          <w:tcPr>
            <w:tcW w:w="600" w:type="dxa"/>
            <w:vAlign w:val="bottom"/>
          </w:tcPr>
          <w:p>
            <w:pPr>
              <w:spacing w:after="0"/>
              <w:rPr>
                <w:sz w:val="22"/>
                <w:szCs w:val="22"/>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Contracting Officer</w:t>
            </w:r>
          </w:p>
        </w:tc>
      </w:tr>
      <w:tr>
        <w:trPr>
          <w:trHeight w:val="959"/>
        </w:trPr>
        <w:tc>
          <w:tcPr>
            <w:tcW w:w="4880" w:type="dxa"/>
            <w:vAlign w:val="bottom"/>
            <w:gridSpan w:val="2"/>
          </w:tcPr>
          <w:p>
            <w:pPr>
              <w:spacing w:after="0"/>
              <w:rPr>
                <w:sz w:val="20"/>
                <w:szCs w:val="20"/>
                <w:color w:val="auto"/>
              </w:rPr>
            </w:pPr>
            <w:r>
              <w:rPr>
                <w:rFonts w:ascii="Arial" w:cs="Arial" w:eastAsia="Arial" w:hAnsi="Arial"/>
                <w:sz w:val="21"/>
                <w:szCs w:val="21"/>
                <w:color w:val="auto"/>
              </w:rPr>
              <w:t>ATTEST:</w:t>
            </w:r>
          </w:p>
        </w:tc>
        <w:tc>
          <w:tcPr>
            <w:tcW w:w="5040" w:type="dxa"/>
            <w:vAlign w:val="bottom"/>
            <w:gridSpan w:val="2"/>
          </w:tcPr>
          <w:p>
            <w:pPr>
              <w:ind w:left="220"/>
              <w:spacing w:after="0"/>
              <w:rPr>
                <w:sz w:val="20"/>
                <w:szCs w:val="20"/>
                <w:color w:val="auto"/>
              </w:rPr>
            </w:pPr>
            <w:r>
              <w:rPr>
                <w:rFonts w:ascii="Arial" w:cs="Arial" w:eastAsia="Arial" w:hAnsi="Arial"/>
                <w:sz w:val="21"/>
                <w:szCs w:val="21"/>
                <w:color w:val="auto"/>
              </w:rPr>
              <w:t>MATSON NAVIGATION COMPANY</w:t>
            </w:r>
          </w:p>
        </w:tc>
      </w:tr>
      <w:tr>
        <w:trPr>
          <w:trHeight w:val="478"/>
        </w:trPr>
        <w:tc>
          <w:tcPr>
            <w:tcW w:w="4880" w:type="dxa"/>
            <w:vAlign w:val="bottom"/>
            <w:gridSpan w:val="2"/>
          </w:tcPr>
          <w:p>
            <w:pPr>
              <w:spacing w:after="0"/>
              <w:rPr>
                <w:sz w:val="20"/>
                <w:szCs w:val="20"/>
                <w:color w:val="auto"/>
              </w:rPr>
            </w:pPr>
            <w:r>
              <w:rPr>
                <w:rFonts w:ascii="Arial" w:cs="Arial" w:eastAsia="Arial" w:hAnsi="Arial"/>
                <w:sz w:val="21"/>
                <w:szCs w:val="21"/>
                <w:color w:val="auto"/>
              </w:rPr>
              <w:t>By:</w:t>
            </w:r>
          </w:p>
        </w:tc>
        <w:tc>
          <w:tcPr>
            <w:tcW w:w="5040" w:type="dxa"/>
            <w:vAlign w:val="bottom"/>
            <w:gridSpan w:val="2"/>
          </w:tcPr>
          <w:p>
            <w:pPr>
              <w:ind w:left="220"/>
              <w:spacing w:after="0"/>
              <w:rPr>
                <w:sz w:val="20"/>
                <w:szCs w:val="20"/>
                <w:color w:val="auto"/>
              </w:rPr>
            </w:pPr>
            <w:r>
              <w:rPr>
                <w:rFonts w:ascii="Arial" w:cs="Arial" w:eastAsia="Arial" w:hAnsi="Arial"/>
                <w:sz w:val="21"/>
                <w:szCs w:val="21"/>
                <w:color w:val="auto"/>
              </w:rPr>
              <w:t>By:</w:t>
            </w:r>
          </w:p>
        </w:tc>
      </w:tr>
      <w:tr>
        <w:trPr>
          <w:trHeight w:val="258"/>
        </w:trPr>
        <w:tc>
          <w:tcPr>
            <w:tcW w:w="440" w:type="dxa"/>
            <w:vAlign w:val="bottom"/>
          </w:tcPr>
          <w:p>
            <w:pPr>
              <w:spacing w:after="0"/>
              <w:rPr>
                <w:sz w:val="22"/>
                <w:szCs w:val="22"/>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Assistant Secretary</w:t>
            </w:r>
          </w:p>
        </w:tc>
        <w:tc>
          <w:tcPr>
            <w:tcW w:w="600" w:type="dxa"/>
            <w:vAlign w:val="bottom"/>
          </w:tcPr>
          <w:p>
            <w:pPr>
              <w:spacing w:after="0"/>
              <w:rPr>
                <w:sz w:val="22"/>
                <w:szCs w:val="22"/>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Vice President and Treasurer</w:t>
            </w:r>
          </w:p>
        </w:tc>
      </w:tr>
      <w:tr>
        <w:trPr>
          <w:trHeight w:val="473"/>
        </w:trPr>
        <w:tc>
          <w:tcPr>
            <w:tcW w:w="4880" w:type="dxa"/>
            <w:vAlign w:val="bottom"/>
            <w:gridSpan w:val="2"/>
          </w:tcPr>
          <w:p>
            <w:pPr>
              <w:spacing w:after="0"/>
              <w:rPr>
                <w:sz w:val="20"/>
                <w:szCs w:val="20"/>
                <w:color w:val="auto"/>
              </w:rPr>
            </w:pPr>
            <w:r>
              <w:rPr>
                <w:rFonts w:ascii="Arial" w:cs="Arial" w:eastAsia="Arial" w:hAnsi="Arial"/>
                <w:sz w:val="21"/>
                <w:szCs w:val="21"/>
                <w:color w:val="auto"/>
              </w:rPr>
              <w:t>Approved as to form:</w:t>
            </w:r>
          </w:p>
        </w:tc>
        <w:tc>
          <w:tcPr>
            <w:tcW w:w="6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78"/>
        </w:trPr>
        <w:tc>
          <w:tcPr>
            <w:tcW w:w="4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23"/>
        </w:trPr>
        <w:tc>
          <w:tcPr>
            <w:tcW w:w="4880" w:type="dxa"/>
            <w:vAlign w:val="bottom"/>
            <w:gridSpan w:val="2"/>
          </w:tcPr>
          <w:p>
            <w:pPr>
              <w:spacing w:after="0" w:line="223" w:lineRule="exact"/>
              <w:rPr>
                <w:sz w:val="20"/>
                <w:szCs w:val="20"/>
                <w:color w:val="auto"/>
              </w:rPr>
            </w:pPr>
            <w:r>
              <w:rPr>
                <w:rFonts w:ascii="Arial" w:cs="Arial" w:eastAsia="Arial" w:hAnsi="Arial"/>
                <w:sz w:val="21"/>
                <w:szCs w:val="21"/>
                <w:color w:val="auto"/>
              </w:rPr>
              <w:t>Assistant General Counsel</w:t>
            </w:r>
          </w:p>
        </w:tc>
        <w:tc>
          <w:tcPr>
            <w:tcW w:w="60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264"/>
        </w:trPr>
        <w:tc>
          <w:tcPr>
            <w:tcW w:w="4880" w:type="dxa"/>
            <w:vAlign w:val="bottom"/>
            <w:gridSpan w:val="2"/>
          </w:tcPr>
          <w:p>
            <w:pPr>
              <w:spacing w:after="0"/>
              <w:rPr>
                <w:sz w:val="20"/>
                <w:szCs w:val="20"/>
                <w:color w:val="auto"/>
              </w:rPr>
            </w:pPr>
            <w:r>
              <w:rPr>
                <w:rFonts w:ascii="Arial" w:cs="Arial" w:eastAsia="Arial" w:hAnsi="Arial"/>
                <w:sz w:val="21"/>
                <w:szCs w:val="21"/>
                <w:color w:val="auto"/>
              </w:rPr>
              <w:t>Maritime Administration</w:t>
            </w:r>
          </w:p>
        </w:tc>
        <w:tc>
          <w:tcPr>
            <w:tcW w:w="60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1390"/>
        </w:trPr>
        <w:tc>
          <w:tcPr>
            <w:tcW w:w="4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06" w:right="999" w:bottom="1440" w:gutter="0" w:footer="0" w:header="0"/>
        </w:sectPr>
      </w:pPr>
    </w:p>
    <w:bookmarkStart w:id="101" w:name="page102"/>
    <w:bookmarkEnd w:id="101"/>
    <w:p>
      <w:pPr>
        <w:ind w:left="7320"/>
        <w:spacing w:after="0"/>
        <w:rPr>
          <w:sz w:val="20"/>
          <w:szCs w:val="20"/>
          <w:color w:val="auto"/>
        </w:rPr>
      </w:pPr>
      <w:r>
        <w:rPr>
          <w:rFonts w:ascii="Arial" w:cs="Arial" w:eastAsia="Arial" w:hAnsi="Arial"/>
          <w:sz w:val="21"/>
          <w:szCs w:val="21"/>
          <w:color w:val="auto"/>
        </w:rPr>
        <w:t>COUNTERPART III</w:t>
      </w:r>
    </w:p>
    <w:p>
      <w:pPr>
        <w:spacing w:after="0" w:line="245" w:lineRule="exact"/>
        <w:rPr>
          <w:sz w:val="20"/>
          <w:szCs w:val="20"/>
          <w:color w:val="auto"/>
        </w:rPr>
      </w:pPr>
    </w:p>
    <w:p>
      <w:pPr>
        <w:ind w:left="7320"/>
        <w:spacing w:after="0"/>
        <w:rPr>
          <w:sz w:val="20"/>
          <w:szCs w:val="20"/>
          <w:color w:val="auto"/>
        </w:rPr>
      </w:pPr>
      <w:r>
        <w:rPr>
          <w:rFonts w:ascii="Arial" w:cs="Arial" w:eastAsia="Arial" w:hAnsi="Arial"/>
          <w:sz w:val="21"/>
          <w:szCs w:val="21"/>
          <w:color w:val="auto"/>
        </w:rPr>
        <w:t>Addendum No. 5</w:t>
      </w:r>
    </w:p>
    <w:p>
      <w:pPr>
        <w:spacing w:after="0" w:line="20" w:lineRule="exact"/>
        <w:rPr>
          <w:sz w:val="20"/>
          <w:szCs w:val="20"/>
          <w:color w:val="auto"/>
        </w:rPr>
      </w:pPr>
    </w:p>
    <w:p>
      <w:pPr>
        <w:ind w:left="7320"/>
        <w:spacing w:after="0"/>
        <w:rPr>
          <w:sz w:val="20"/>
          <w:szCs w:val="20"/>
          <w:color w:val="auto"/>
        </w:rPr>
      </w:pPr>
      <w:r>
        <w:rPr>
          <w:rFonts w:ascii="Arial" w:cs="Arial" w:eastAsia="Arial" w:hAnsi="Arial"/>
          <w:sz w:val="19"/>
          <w:szCs w:val="19"/>
          <w:color w:val="auto"/>
        </w:rPr>
        <w:t>Contract No. MA/CCF-316</w:t>
      </w: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FORM OF ADDENDUM TO</w:t>
      </w:r>
    </w:p>
    <w:p>
      <w:pPr>
        <w:spacing w:after="0" w:line="20"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MARITIME ADMINISTRATION</w:t>
      </w:r>
    </w:p>
    <w:p>
      <w:pPr>
        <w:spacing w:after="0" w:line="2"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CAPITAL CONSTRUCTION FUND AGREEMENT</w:t>
      </w:r>
    </w:p>
    <w:p>
      <w:pPr>
        <w:spacing w:after="0" w:line="2"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WITH</w:t>
      </w:r>
    </w:p>
    <w:p>
      <w:pPr>
        <w:spacing w:after="0" w:line="2"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MATSON NAVIGATION COMPANY</w:t>
      </w:r>
    </w:p>
    <w:p>
      <w:pPr>
        <w:spacing w:after="0" w:line="227" w:lineRule="exact"/>
        <w:rPr>
          <w:sz w:val="20"/>
          <w:szCs w:val="20"/>
          <w:color w:val="auto"/>
        </w:rPr>
      </w:pPr>
    </w:p>
    <w:p>
      <w:pPr>
        <w:ind w:right="420"/>
        <w:spacing w:after="0" w:line="252" w:lineRule="auto"/>
        <w:rPr>
          <w:sz w:val="20"/>
          <w:szCs w:val="20"/>
          <w:color w:val="auto"/>
        </w:rPr>
      </w:pPr>
      <w:r>
        <w:rPr>
          <w:rFonts w:ascii="Arial" w:cs="Arial" w:eastAsia="Arial" w:hAnsi="Arial"/>
          <w:sz w:val="21"/>
          <w:szCs w:val="21"/>
          <w:color w:val="auto"/>
        </w:rPr>
        <w:t>THIS AGREEMENT, made by and between the Secretary of Commerce (the “Secretary”) and MATSON NAVIGATION COMPANY (the “Party”), a citizen of the United States, as an addendum to that certain Capital Construction Fund Agreement, Contract No. MA/CCF-316 (the “Agreement”).</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WITNESSETH:</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WHEREAS:</w:t>
      </w:r>
    </w:p>
    <w:p>
      <w:pPr>
        <w:spacing w:after="0" w:line="245" w:lineRule="exact"/>
        <w:rPr>
          <w:sz w:val="20"/>
          <w:szCs w:val="20"/>
          <w:color w:val="auto"/>
        </w:rPr>
      </w:pPr>
    </w:p>
    <w:p>
      <w:pPr>
        <w:ind w:right="260" w:firstLine="8"/>
        <w:spacing w:after="0" w:line="264" w:lineRule="auto"/>
        <w:tabs>
          <w:tab w:leader="none" w:pos="648"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parties hereto entered into the Agreement on September 21, 1976, under section 607 of the Merchant Marine Act, 1936, as amended (the “Act”); and</w:t>
      </w:r>
    </w:p>
    <w:p>
      <w:pPr>
        <w:spacing w:after="0" w:line="197" w:lineRule="exact"/>
        <w:rPr>
          <w:rFonts w:ascii="Arial" w:cs="Arial" w:eastAsia="Arial" w:hAnsi="Arial"/>
          <w:sz w:val="21"/>
          <w:szCs w:val="21"/>
          <w:color w:val="auto"/>
        </w:rPr>
      </w:pPr>
    </w:p>
    <w:p>
      <w:pPr>
        <w:ind w:left="660" w:hanging="652"/>
        <w:spacing w:after="0"/>
        <w:tabs>
          <w:tab w:leader="none" w:pos="66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parties hereto desire to amend the Agreement in the manner hereinafter set forth.</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NOW, THEREFORE, in consideration of the premises, the Secretary and the Party agree as follows:</w:t>
      </w:r>
    </w:p>
    <w:p>
      <w:pPr>
        <w:spacing w:after="0" w:line="245" w:lineRule="exact"/>
        <w:rPr>
          <w:sz w:val="20"/>
          <w:szCs w:val="20"/>
          <w:color w:val="auto"/>
        </w:rPr>
      </w:pPr>
    </w:p>
    <w:p>
      <w:pPr>
        <w:jc w:val="both"/>
        <w:ind w:firstLine="8"/>
        <w:spacing w:after="0" w:line="348" w:lineRule="auto"/>
        <w:tabs>
          <w:tab w:leader="none" w:pos="64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Effective May 7, 1980, Article 4(B) of the Agreement is amended by inserting a comma in lieu of the period after the word “hereof” and by adding after the comma the words “unless otherwise mutually agreed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819150</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40"/>
          </w:cols>
          <w:pgMar w:left="980" w:top="1220" w:right="1279" w:bottom="1440" w:gutter="0" w:footer="0" w:header="0"/>
        </w:sectPr>
      </w:pPr>
    </w:p>
    <w:bookmarkStart w:id="102" w:name="page103"/>
    <w:bookmarkEnd w:id="102"/>
    <w:p>
      <w:pPr>
        <w:ind w:right="440" w:firstLine="8"/>
        <w:spacing w:after="0" w:line="264" w:lineRule="auto"/>
        <w:tabs>
          <w:tab w:leader="none" w:pos="64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Except as herein otherwise expressly provided, the Agreement, as heretofore amended, shall remain in full force and effect.</w:t>
      </w:r>
    </w:p>
    <w:p>
      <w:pPr>
        <w:spacing w:after="0" w:line="198" w:lineRule="exact"/>
        <w:rPr>
          <w:sz w:val="20"/>
          <w:szCs w:val="20"/>
          <w:color w:val="auto"/>
        </w:rPr>
      </w:pPr>
    </w:p>
    <w:p>
      <w:pPr>
        <w:ind w:right="220"/>
        <w:spacing w:after="0" w:line="264" w:lineRule="auto"/>
        <w:rPr>
          <w:sz w:val="20"/>
          <w:szCs w:val="20"/>
          <w:color w:val="auto"/>
        </w:rPr>
      </w:pPr>
      <w:r>
        <w:rPr>
          <w:rFonts w:ascii="Arial" w:cs="Arial" w:eastAsia="Arial" w:hAnsi="Arial"/>
          <w:sz w:val="21"/>
          <w:szCs w:val="21"/>
          <w:color w:val="auto"/>
        </w:rPr>
        <w:t>IN WITNESS WHEREOF, the Secretary and the Party have executed this addendum in quadruplicate, effective as of the date(s) indicated and actually on the 15th day of August, 1980.</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4740" w:type="dxa"/>
            <w:vAlign w:val="bottom"/>
            <w:gridSpan w:val="2"/>
          </w:tcPr>
          <w:p>
            <w:pPr>
              <w:ind w:left="360"/>
              <w:spacing w:after="0"/>
              <w:rPr>
                <w:sz w:val="20"/>
                <w:szCs w:val="20"/>
                <w:color w:val="auto"/>
              </w:rPr>
            </w:pPr>
            <w:r>
              <w:rPr>
                <w:rFonts w:ascii="Arial" w:cs="Arial" w:eastAsia="Arial" w:hAnsi="Arial"/>
                <w:sz w:val="21"/>
                <w:szCs w:val="21"/>
                <w:color w:val="auto"/>
              </w:rPr>
              <w:t>UNITED STATES OF AMERICA</w:t>
            </w:r>
          </w:p>
        </w:tc>
      </w:tr>
      <w:tr>
        <w:trPr>
          <w:trHeight w:val="243"/>
        </w:trPr>
        <w:tc>
          <w:tcPr>
            <w:tcW w:w="64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4740" w:type="dxa"/>
            <w:vAlign w:val="bottom"/>
            <w:gridSpan w:val="2"/>
          </w:tcPr>
          <w:p>
            <w:pPr>
              <w:ind w:left="360"/>
              <w:spacing w:after="0"/>
              <w:rPr>
                <w:sz w:val="20"/>
                <w:szCs w:val="20"/>
                <w:color w:val="auto"/>
              </w:rPr>
            </w:pPr>
            <w:r>
              <w:rPr>
                <w:rFonts w:ascii="Arial" w:cs="Arial" w:eastAsia="Arial" w:hAnsi="Arial"/>
                <w:sz w:val="21"/>
                <w:szCs w:val="21"/>
                <w:color w:val="auto"/>
              </w:rPr>
              <w:t>SECRETARY OF COMMERCE</w:t>
            </w:r>
          </w:p>
        </w:tc>
      </w:tr>
      <w:tr>
        <w:trPr>
          <w:trHeight w:val="243"/>
        </w:trPr>
        <w:tc>
          <w:tcPr>
            <w:tcW w:w="64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4740" w:type="dxa"/>
            <w:vAlign w:val="bottom"/>
            <w:gridSpan w:val="2"/>
          </w:tcPr>
          <w:p>
            <w:pPr>
              <w:ind w:left="360"/>
              <w:spacing w:after="0"/>
              <w:rPr>
                <w:sz w:val="20"/>
                <w:szCs w:val="20"/>
                <w:color w:val="auto"/>
              </w:rPr>
            </w:pPr>
            <w:r>
              <w:rPr>
                <w:rFonts w:ascii="Arial" w:cs="Arial" w:eastAsia="Arial" w:hAnsi="Arial"/>
                <w:sz w:val="21"/>
                <w:szCs w:val="21"/>
                <w:color w:val="auto"/>
              </w:rPr>
              <w:t>ASSISTANT SECRETARY OF COMMERCE</w:t>
            </w:r>
          </w:p>
        </w:tc>
      </w:tr>
      <w:tr>
        <w:trPr>
          <w:trHeight w:val="264"/>
        </w:trPr>
        <w:tc>
          <w:tcPr>
            <w:tcW w:w="5180" w:type="dxa"/>
            <w:vAlign w:val="bottom"/>
            <w:gridSpan w:val="2"/>
          </w:tcPr>
          <w:p>
            <w:pPr>
              <w:spacing w:after="0"/>
              <w:rPr>
                <w:sz w:val="20"/>
                <w:szCs w:val="20"/>
                <w:color w:val="auto"/>
              </w:rPr>
            </w:pPr>
            <w:r>
              <w:rPr>
                <w:rFonts w:ascii="Arial" w:cs="Arial" w:eastAsia="Arial" w:hAnsi="Arial"/>
                <w:sz w:val="21"/>
                <w:szCs w:val="21"/>
                <w:color w:val="auto"/>
              </w:rPr>
              <w:t>ATTEST:</w:t>
            </w:r>
          </w:p>
        </w:tc>
        <w:tc>
          <w:tcPr>
            <w:tcW w:w="4740" w:type="dxa"/>
            <w:vAlign w:val="bottom"/>
            <w:gridSpan w:val="2"/>
          </w:tcPr>
          <w:p>
            <w:pPr>
              <w:ind w:left="620"/>
              <w:spacing w:after="0"/>
              <w:rPr>
                <w:sz w:val="20"/>
                <w:szCs w:val="20"/>
                <w:color w:val="auto"/>
              </w:rPr>
            </w:pPr>
            <w:r>
              <w:rPr>
                <w:rFonts w:ascii="Arial" w:cs="Arial" w:eastAsia="Arial" w:hAnsi="Arial"/>
                <w:sz w:val="21"/>
                <w:szCs w:val="21"/>
                <w:color w:val="auto"/>
              </w:rPr>
              <w:t>FOR MARITIME AFFAIRS</w:t>
            </w:r>
          </w:p>
        </w:tc>
      </w:tr>
      <w:tr>
        <w:trPr>
          <w:trHeight w:val="721"/>
        </w:trPr>
        <w:tc>
          <w:tcPr>
            <w:tcW w:w="5180" w:type="dxa"/>
            <w:vAlign w:val="bottom"/>
            <w:gridSpan w:val="2"/>
          </w:tcPr>
          <w:p>
            <w:pPr>
              <w:spacing w:after="0"/>
              <w:rPr>
                <w:sz w:val="20"/>
                <w:szCs w:val="20"/>
                <w:color w:val="auto"/>
              </w:rPr>
            </w:pPr>
            <w:r>
              <w:rPr>
                <w:rFonts w:ascii="Arial" w:cs="Arial" w:eastAsia="Arial" w:hAnsi="Arial"/>
                <w:sz w:val="21"/>
                <w:szCs w:val="21"/>
                <w:color w:val="auto"/>
              </w:rPr>
              <w:t>By:</w:t>
            </w:r>
          </w:p>
        </w:tc>
        <w:tc>
          <w:tcPr>
            <w:tcW w:w="4740" w:type="dxa"/>
            <w:vAlign w:val="bottom"/>
            <w:gridSpan w:val="2"/>
          </w:tcPr>
          <w:p>
            <w:pPr>
              <w:ind w:left="360"/>
              <w:spacing w:after="0"/>
              <w:rPr>
                <w:sz w:val="20"/>
                <w:szCs w:val="20"/>
                <w:color w:val="auto"/>
              </w:rPr>
            </w:pPr>
            <w:r>
              <w:rPr>
                <w:rFonts w:ascii="Arial" w:cs="Arial" w:eastAsia="Arial" w:hAnsi="Arial"/>
                <w:sz w:val="21"/>
                <w:szCs w:val="21"/>
                <w:color w:val="auto"/>
              </w:rPr>
              <w:t>By:</w:t>
            </w:r>
          </w:p>
        </w:tc>
      </w:tr>
      <w:tr>
        <w:trPr>
          <w:trHeight w:val="258"/>
        </w:trPr>
        <w:tc>
          <w:tcPr>
            <w:tcW w:w="640" w:type="dxa"/>
            <w:vAlign w:val="bottom"/>
          </w:tcPr>
          <w:p>
            <w:pPr>
              <w:spacing w:after="0"/>
              <w:rPr>
                <w:sz w:val="22"/>
                <w:szCs w:val="22"/>
                <w:color w:val="auto"/>
              </w:rPr>
            </w:pPr>
          </w:p>
        </w:tc>
        <w:tc>
          <w:tcPr>
            <w:tcW w:w="45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Secretary</w:t>
            </w:r>
          </w:p>
        </w:tc>
        <w:tc>
          <w:tcPr>
            <w:tcW w:w="980" w:type="dxa"/>
            <w:vAlign w:val="bottom"/>
          </w:tcPr>
          <w:p>
            <w:pPr>
              <w:spacing w:after="0"/>
              <w:rPr>
                <w:sz w:val="22"/>
                <w:szCs w:val="22"/>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Contracting Officer</w:t>
            </w:r>
          </w:p>
        </w:tc>
      </w:tr>
      <w:tr>
        <w:trPr>
          <w:trHeight w:val="959"/>
        </w:trPr>
        <w:tc>
          <w:tcPr>
            <w:tcW w:w="5180" w:type="dxa"/>
            <w:vAlign w:val="bottom"/>
            <w:gridSpan w:val="2"/>
          </w:tcPr>
          <w:p>
            <w:pPr>
              <w:spacing w:after="0"/>
              <w:rPr>
                <w:sz w:val="20"/>
                <w:szCs w:val="20"/>
                <w:color w:val="auto"/>
              </w:rPr>
            </w:pPr>
            <w:r>
              <w:rPr>
                <w:rFonts w:ascii="Arial" w:cs="Arial" w:eastAsia="Arial" w:hAnsi="Arial"/>
                <w:sz w:val="21"/>
                <w:szCs w:val="21"/>
                <w:color w:val="auto"/>
              </w:rPr>
              <w:t>ATTEST:</w:t>
            </w:r>
          </w:p>
        </w:tc>
        <w:tc>
          <w:tcPr>
            <w:tcW w:w="4740" w:type="dxa"/>
            <w:vAlign w:val="bottom"/>
            <w:gridSpan w:val="2"/>
          </w:tcPr>
          <w:p>
            <w:pPr>
              <w:ind w:left="360"/>
              <w:spacing w:after="0"/>
              <w:rPr>
                <w:sz w:val="20"/>
                <w:szCs w:val="20"/>
                <w:color w:val="auto"/>
              </w:rPr>
            </w:pPr>
            <w:r>
              <w:rPr>
                <w:rFonts w:ascii="Arial" w:cs="Arial" w:eastAsia="Arial" w:hAnsi="Arial"/>
                <w:sz w:val="21"/>
                <w:szCs w:val="21"/>
                <w:color w:val="auto"/>
              </w:rPr>
              <w:t>MATSON NAVIGATION COMPANY</w:t>
            </w:r>
          </w:p>
        </w:tc>
      </w:tr>
      <w:tr>
        <w:trPr>
          <w:trHeight w:val="721"/>
        </w:trPr>
        <w:tc>
          <w:tcPr>
            <w:tcW w:w="640" w:type="dxa"/>
            <w:vAlign w:val="bottom"/>
          </w:tcPr>
          <w:p>
            <w:pPr>
              <w:spacing w:after="0"/>
              <w:rPr>
                <w:sz w:val="20"/>
                <w:szCs w:val="20"/>
                <w:color w:val="auto"/>
              </w:rPr>
            </w:pPr>
            <w:r>
              <w:rPr>
                <w:rFonts w:ascii="Arial" w:cs="Arial" w:eastAsia="Arial" w:hAnsi="Arial"/>
                <w:sz w:val="21"/>
                <w:szCs w:val="21"/>
                <w:color w:val="auto"/>
              </w:rPr>
              <w:t>By:</w:t>
            </w:r>
          </w:p>
        </w:tc>
        <w:tc>
          <w:tcPr>
            <w:tcW w:w="4540" w:type="dxa"/>
            <w:vAlign w:val="bottom"/>
            <w:tcBorders>
              <w:bottom w:val="single" w:sz="8" w:color="auto"/>
            </w:tcBorders>
          </w:tcPr>
          <w:p>
            <w:pPr>
              <w:spacing w:after="0"/>
              <w:rPr>
                <w:sz w:val="24"/>
                <w:szCs w:val="24"/>
                <w:color w:val="auto"/>
              </w:rPr>
            </w:pPr>
          </w:p>
        </w:tc>
        <w:tc>
          <w:tcPr>
            <w:tcW w:w="980" w:type="dxa"/>
            <w:vAlign w:val="bottom"/>
          </w:tcPr>
          <w:p>
            <w:pPr>
              <w:ind w:left="360"/>
              <w:spacing w:after="0"/>
              <w:rPr>
                <w:sz w:val="20"/>
                <w:szCs w:val="20"/>
                <w:color w:val="auto"/>
              </w:rPr>
            </w:pPr>
            <w:r>
              <w:rPr>
                <w:rFonts w:ascii="Arial" w:cs="Arial" w:eastAsia="Arial" w:hAnsi="Arial"/>
                <w:sz w:val="21"/>
                <w:szCs w:val="21"/>
                <w:color w:val="auto"/>
              </w:rPr>
              <w:t>By:</w:t>
            </w:r>
          </w:p>
        </w:tc>
        <w:tc>
          <w:tcPr>
            <w:tcW w:w="3760" w:type="dxa"/>
            <w:vAlign w:val="bottom"/>
            <w:tcBorders>
              <w:bottom w:val="single" w:sz="8" w:color="auto"/>
            </w:tcBorders>
          </w:tcPr>
          <w:p>
            <w:pPr>
              <w:spacing w:after="0"/>
              <w:rPr>
                <w:sz w:val="24"/>
                <w:szCs w:val="24"/>
                <w:color w:val="auto"/>
              </w:rPr>
            </w:pPr>
          </w:p>
        </w:tc>
      </w:tr>
      <w:tr>
        <w:trPr>
          <w:trHeight w:val="480"/>
        </w:trPr>
        <w:tc>
          <w:tcPr>
            <w:tcW w:w="5180" w:type="dxa"/>
            <w:vAlign w:val="bottom"/>
            <w:gridSpan w:val="2"/>
          </w:tcPr>
          <w:p>
            <w:pPr>
              <w:spacing w:after="0"/>
              <w:rPr>
                <w:sz w:val="20"/>
                <w:szCs w:val="20"/>
                <w:color w:val="auto"/>
              </w:rPr>
            </w:pPr>
            <w:r>
              <w:rPr>
                <w:rFonts w:ascii="Arial" w:cs="Arial" w:eastAsia="Arial" w:hAnsi="Arial"/>
                <w:sz w:val="21"/>
                <w:szCs w:val="21"/>
                <w:color w:val="auto"/>
              </w:rPr>
              <w:t>Name:</w:t>
            </w:r>
          </w:p>
        </w:tc>
        <w:tc>
          <w:tcPr>
            <w:tcW w:w="4740" w:type="dxa"/>
            <w:vAlign w:val="bottom"/>
            <w:gridSpan w:val="2"/>
          </w:tcPr>
          <w:p>
            <w:pPr>
              <w:ind w:left="360"/>
              <w:spacing w:after="0"/>
              <w:rPr>
                <w:sz w:val="20"/>
                <w:szCs w:val="20"/>
                <w:color w:val="auto"/>
              </w:rPr>
            </w:pPr>
            <w:r>
              <w:rPr>
                <w:rFonts w:ascii="Arial" w:cs="Arial" w:eastAsia="Arial" w:hAnsi="Arial"/>
                <w:sz w:val="21"/>
                <w:szCs w:val="21"/>
                <w:color w:val="auto"/>
              </w:rPr>
              <w:t>Name:</w:t>
            </w:r>
          </w:p>
        </w:tc>
      </w:tr>
      <w:tr>
        <w:trPr>
          <w:trHeight w:val="258"/>
        </w:trPr>
        <w:tc>
          <w:tcPr>
            <w:tcW w:w="640" w:type="dxa"/>
            <w:vAlign w:val="bottom"/>
          </w:tcPr>
          <w:p>
            <w:pPr>
              <w:spacing w:after="0"/>
              <w:rPr>
                <w:sz w:val="22"/>
                <w:szCs w:val="22"/>
                <w:color w:val="auto"/>
              </w:rPr>
            </w:pPr>
          </w:p>
        </w:tc>
        <w:tc>
          <w:tcPr>
            <w:tcW w:w="45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980" w:type="dxa"/>
            <w:vAlign w:val="bottom"/>
          </w:tcPr>
          <w:p>
            <w:pPr>
              <w:spacing w:after="0"/>
              <w:rPr>
                <w:sz w:val="22"/>
                <w:szCs w:val="22"/>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r>
      <w:tr>
        <w:trPr>
          <w:trHeight w:val="465"/>
        </w:trPr>
        <w:tc>
          <w:tcPr>
            <w:tcW w:w="5180" w:type="dxa"/>
            <w:vAlign w:val="bottom"/>
            <w:gridSpan w:val="2"/>
          </w:tcPr>
          <w:p>
            <w:pPr>
              <w:spacing w:after="0"/>
              <w:rPr>
                <w:sz w:val="20"/>
                <w:szCs w:val="20"/>
                <w:color w:val="auto"/>
              </w:rPr>
            </w:pPr>
            <w:r>
              <w:rPr>
                <w:rFonts w:ascii="Arial" w:cs="Arial" w:eastAsia="Arial" w:hAnsi="Arial"/>
                <w:sz w:val="21"/>
                <w:szCs w:val="21"/>
                <w:color w:val="auto"/>
              </w:rPr>
              <w:t>Title:  Assistant Secretary</w:t>
            </w:r>
          </w:p>
        </w:tc>
        <w:tc>
          <w:tcPr>
            <w:tcW w:w="4740" w:type="dxa"/>
            <w:vAlign w:val="bottom"/>
            <w:gridSpan w:val="2"/>
          </w:tcPr>
          <w:p>
            <w:pPr>
              <w:ind w:left="360"/>
              <w:spacing w:after="0"/>
              <w:rPr>
                <w:sz w:val="20"/>
                <w:szCs w:val="20"/>
                <w:color w:val="auto"/>
              </w:rPr>
            </w:pPr>
            <w:r>
              <w:rPr>
                <w:rFonts w:ascii="Arial" w:cs="Arial" w:eastAsia="Arial" w:hAnsi="Arial"/>
                <w:sz w:val="21"/>
                <w:szCs w:val="21"/>
                <w:color w:val="auto"/>
              </w:rPr>
              <w:t>Title:  Senior Vice President</w:t>
            </w:r>
          </w:p>
        </w:tc>
      </w:tr>
      <w:tr>
        <w:trPr>
          <w:trHeight w:val="258"/>
        </w:trPr>
        <w:tc>
          <w:tcPr>
            <w:tcW w:w="640" w:type="dxa"/>
            <w:vAlign w:val="bottom"/>
          </w:tcPr>
          <w:p>
            <w:pPr>
              <w:spacing w:after="0"/>
              <w:rPr>
                <w:sz w:val="22"/>
                <w:szCs w:val="22"/>
                <w:color w:val="auto"/>
              </w:rPr>
            </w:pPr>
          </w:p>
        </w:tc>
        <w:tc>
          <w:tcPr>
            <w:tcW w:w="45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980" w:type="dxa"/>
            <w:vAlign w:val="bottom"/>
          </w:tcPr>
          <w:p>
            <w:pPr>
              <w:spacing w:after="0"/>
              <w:rPr>
                <w:sz w:val="22"/>
                <w:szCs w:val="22"/>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r>
      <w:tr>
        <w:trPr>
          <w:trHeight w:val="716"/>
        </w:trPr>
        <w:tc>
          <w:tcPr>
            <w:tcW w:w="5180" w:type="dxa"/>
            <w:vAlign w:val="bottom"/>
            <w:gridSpan w:val="2"/>
          </w:tcPr>
          <w:p>
            <w:pPr>
              <w:spacing w:after="0"/>
              <w:rPr>
                <w:sz w:val="20"/>
                <w:szCs w:val="20"/>
                <w:color w:val="auto"/>
              </w:rPr>
            </w:pPr>
            <w:r>
              <w:rPr>
                <w:rFonts w:ascii="Arial" w:cs="Arial" w:eastAsia="Arial" w:hAnsi="Arial"/>
                <w:sz w:val="21"/>
                <w:szCs w:val="21"/>
                <w:color w:val="auto"/>
              </w:rPr>
              <w:t>Approved as to form:</w:t>
            </w:r>
          </w:p>
        </w:tc>
        <w:tc>
          <w:tcPr>
            <w:tcW w:w="9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78"/>
        </w:trPr>
        <w:tc>
          <w:tcPr>
            <w:tcW w:w="6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23"/>
        </w:trPr>
        <w:tc>
          <w:tcPr>
            <w:tcW w:w="5180" w:type="dxa"/>
            <w:vAlign w:val="bottom"/>
            <w:gridSpan w:val="2"/>
          </w:tcPr>
          <w:p>
            <w:pPr>
              <w:spacing w:after="0" w:line="223" w:lineRule="exact"/>
              <w:rPr>
                <w:sz w:val="20"/>
                <w:szCs w:val="20"/>
                <w:color w:val="auto"/>
              </w:rPr>
            </w:pPr>
            <w:r>
              <w:rPr>
                <w:rFonts w:ascii="Arial" w:cs="Arial" w:eastAsia="Arial" w:hAnsi="Arial"/>
                <w:sz w:val="21"/>
                <w:szCs w:val="21"/>
                <w:color w:val="auto"/>
              </w:rPr>
              <w:t>for Assistant General Counsel</w:t>
            </w:r>
          </w:p>
        </w:tc>
        <w:tc>
          <w:tcPr>
            <w:tcW w:w="98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264"/>
        </w:trPr>
        <w:tc>
          <w:tcPr>
            <w:tcW w:w="5180" w:type="dxa"/>
            <w:vAlign w:val="bottom"/>
            <w:gridSpan w:val="2"/>
          </w:tcPr>
          <w:p>
            <w:pPr>
              <w:spacing w:after="0"/>
              <w:rPr>
                <w:sz w:val="20"/>
                <w:szCs w:val="20"/>
                <w:color w:val="auto"/>
              </w:rPr>
            </w:pPr>
            <w:r>
              <w:rPr>
                <w:rFonts w:ascii="Arial" w:cs="Arial" w:eastAsia="Arial" w:hAnsi="Arial"/>
                <w:sz w:val="21"/>
                <w:szCs w:val="21"/>
                <w:color w:val="auto"/>
              </w:rPr>
              <w:t>Maritime Administration</w:t>
            </w:r>
          </w:p>
        </w:tc>
        <w:tc>
          <w:tcPr>
            <w:tcW w:w="98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1389"/>
        </w:trPr>
        <w:tc>
          <w:tcPr>
            <w:tcW w:w="6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06" w:right="999" w:bottom="1440" w:gutter="0" w:footer="0" w:header="0"/>
        </w:sectPr>
      </w:pPr>
    </w:p>
    <w:bookmarkStart w:id="103" w:name="page104"/>
    <w:bookmarkEnd w:id="103"/>
    <w:p>
      <w:pPr>
        <w:jc w:val="right"/>
        <w:spacing w:after="0"/>
        <w:rPr>
          <w:sz w:val="20"/>
          <w:szCs w:val="20"/>
          <w:color w:val="auto"/>
        </w:rPr>
      </w:pPr>
      <w:r>
        <w:rPr>
          <w:rFonts w:ascii="Arial" w:cs="Arial" w:eastAsia="Arial" w:hAnsi="Arial"/>
          <w:sz w:val="21"/>
          <w:szCs w:val="21"/>
          <w:color w:val="auto"/>
        </w:rPr>
        <w:t>COUNTERPART III</w:t>
      </w:r>
    </w:p>
    <w:p>
      <w:pPr>
        <w:spacing w:after="0" w:line="200" w:lineRule="exact"/>
        <w:rPr>
          <w:sz w:val="20"/>
          <w:szCs w:val="20"/>
          <w:color w:val="auto"/>
        </w:rPr>
      </w:pPr>
    </w:p>
    <w:p>
      <w:pPr>
        <w:spacing w:after="0" w:line="288" w:lineRule="exact"/>
        <w:rPr>
          <w:sz w:val="20"/>
          <w:szCs w:val="20"/>
          <w:color w:val="auto"/>
        </w:rPr>
      </w:pPr>
    </w:p>
    <w:p>
      <w:pPr>
        <w:ind w:left="7320"/>
        <w:spacing w:after="0"/>
        <w:rPr>
          <w:sz w:val="20"/>
          <w:szCs w:val="20"/>
          <w:color w:val="auto"/>
        </w:rPr>
      </w:pPr>
      <w:r>
        <w:rPr>
          <w:rFonts w:ascii="Arial" w:cs="Arial" w:eastAsia="Arial" w:hAnsi="Arial"/>
          <w:sz w:val="21"/>
          <w:szCs w:val="21"/>
          <w:color w:val="auto"/>
        </w:rPr>
        <w:t>Addendum No. 18</w:t>
      </w:r>
    </w:p>
    <w:p>
      <w:pPr>
        <w:spacing w:after="0" w:line="20" w:lineRule="exact"/>
        <w:rPr>
          <w:sz w:val="20"/>
          <w:szCs w:val="20"/>
          <w:color w:val="auto"/>
        </w:rPr>
      </w:pPr>
    </w:p>
    <w:p>
      <w:pPr>
        <w:ind w:left="7320"/>
        <w:spacing w:after="0"/>
        <w:rPr>
          <w:sz w:val="20"/>
          <w:szCs w:val="20"/>
          <w:color w:val="auto"/>
        </w:rPr>
      </w:pPr>
      <w:r>
        <w:rPr>
          <w:rFonts w:ascii="Arial" w:cs="Arial" w:eastAsia="Arial" w:hAnsi="Arial"/>
          <w:sz w:val="21"/>
          <w:szCs w:val="21"/>
          <w:color w:val="auto"/>
        </w:rPr>
        <w:t>Contract No. MA/CCF-316</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ADDENDUM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MARITIME ADMINISTRATION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CAPITAL CONSTRUCTION FUND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WITH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MATSON NAVIGATION COMPANY, INC.</w:t>
      </w:r>
    </w:p>
    <w:p>
      <w:pPr>
        <w:spacing w:after="0" w:line="227" w:lineRule="exact"/>
        <w:rPr>
          <w:sz w:val="20"/>
          <w:szCs w:val="20"/>
          <w:color w:val="auto"/>
        </w:rPr>
      </w:pPr>
    </w:p>
    <w:p>
      <w:pPr>
        <w:ind w:right="300"/>
        <w:spacing w:after="0" w:line="277" w:lineRule="auto"/>
        <w:rPr>
          <w:sz w:val="20"/>
          <w:szCs w:val="20"/>
          <w:color w:val="auto"/>
        </w:rPr>
      </w:pPr>
      <w:r>
        <w:rPr>
          <w:rFonts w:ascii="Arial" w:cs="Arial" w:eastAsia="Arial" w:hAnsi="Arial"/>
          <w:sz w:val="19"/>
          <w:szCs w:val="19"/>
          <w:color w:val="auto"/>
        </w:rPr>
        <w:t>This Addendum is made by and among the Maritime Administrator (the “Administrator”) and Matson Navigation Company, Inc. (individually “Matson”) and certain wholly-owned subsidiaries or sub-subsidiaries thereof, Matson Agencies, Inc., Matson Freight Agencies, Inc., Matson Freight Agencies (Eastern), Inc., Matson Intermodal System, Inc., Matson Services Company, Inc., and Matson Terminals, Inc. (Matson and such subsidiaries referred to collectively as the “Party”), each of which is a citizen of the United States, as an addendum to that certain Capital Construction Fund Agreement Contract No. MA/CCF-316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WHEREAS:</w:t>
      </w:r>
    </w:p>
    <w:p>
      <w:pPr>
        <w:spacing w:after="0" w:line="245" w:lineRule="exact"/>
        <w:rPr>
          <w:sz w:val="20"/>
          <w:szCs w:val="20"/>
          <w:color w:val="auto"/>
        </w:rPr>
      </w:pPr>
    </w:p>
    <w:p>
      <w:pPr>
        <w:ind w:right="760" w:firstLine="8"/>
        <w:spacing w:after="0" w:line="264" w:lineRule="auto"/>
        <w:tabs>
          <w:tab w:leader="none" w:pos="648"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Administrator and Matson entered into the Agreement on September 21, 1976, under Section 607, Merchant Marine Act, 1936, as amended (the “Act”);</w:t>
      </w:r>
    </w:p>
    <w:p>
      <w:pPr>
        <w:spacing w:after="0" w:line="197" w:lineRule="exact"/>
        <w:rPr>
          <w:rFonts w:ascii="Arial" w:cs="Arial" w:eastAsia="Arial" w:hAnsi="Arial"/>
          <w:sz w:val="21"/>
          <w:szCs w:val="21"/>
          <w:color w:val="auto"/>
        </w:rPr>
      </w:pPr>
    </w:p>
    <w:p>
      <w:pPr>
        <w:ind w:left="660" w:hanging="652"/>
        <w:spacing w:after="0"/>
        <w:tabs>
          <w:tab w:leader="none" w:pos="66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Administrator approved the addition of each of the subsidiaries to the Agreement on February 23, 1989;</w:t>
      </w:r>
    </w:p>
    <w:p>
      <w:pPr>
        <w:spacing w:after="0" w:line="267" w:lineRule="exact"/>
        <w:rPr>
          <w:rFonts w:ascii="Arial" w:cs="Arial" w:eastAsia="Arial" w:hAnsi="Arial"/>
          <w:sz w:val="19"/>
          <w:szCs w:val="19"/>
          <w:color w:val="auto"/>
        </w:rPr>
      </w:pPr>
    </w:p>
    <w:p>
      <w:pPr>
        <w:ind w:right="20" w:firstLine="8"/>
        <w:spacing w:after="0" w:line="249" w:lineRule="auto"/>
        <w:tabs>
          <w:tab w:leader="none" w:pos="648"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Administrator on May 23, 1989 approved an amendment of the Agreement which changes from mandatory to permissible Matson’s deposit of the receipts from the investment or reinvestment of amounts held in the CCF, subject to the condition that Matson shall not be permitted to deposit more than necessary to complete its program objectives outlined in Schedule 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623570</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06" w:right="999" w:bottom="1440" w:gutter="0" w:footer="0" w:header="0"/>
        </w:sectPr>
      </w:pPr>
    </w:p>
    <w:bookmarkStart w:id="104" w:name="page105"/>
    <w:bookmarkEnd w:id="104"/>
    <w:p>
      <w:pPr>
        <w:ind w:right="3160" w:firstLine="8"/>
        <w:spacing w:after="0" w:line="563" w:lineRule="auto"/>
        <w:tabs>
          <w:tab w:leader="none" w:pos="6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parties desire to amend the Agreement as set forth in this Addendum. NOW, THEREFORE, the Administrator and the Party agree as follows:</w:t>
      </w:r>
    </w:p>
    <w:p>
      <w:pPr>
        <w:spacing w:after="0" w:line="1"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Effective for Matson’s 1988 tax year, the agreement is amended as follows:</w:t>
      </w:r>
    </w:p>
    <w:p>
      <w:pPr>
        <w:spacing w:after="0" w:line="245" w:lineRule="exact"/>
        <w:rPr>
          <w:sz w:val="20"/>
          <w:szCs w:val="20"/>
          <w:color w:val="auto"/>
        </w:rPr>
      </w:pPr>
    </w:p>
    <w:p>
      <w:pPr>
        <w:jc w:val="both"/>
        <w:ind w:right="640" w:firstLine="8"/>
        <w:spacing w:after="0" w:line="252" w:lineRule="auto"/>
        <w:tabs>
          <w:tab w:leader="none" w:pos="648" w:val="left"/>
        </w:tabs>
        <w:numPr>
          <w:ilvl w:val="0"/>
          <w:numId w:val="127"/>
        </w:numPr>
        <w:rPr>
          <w:rFonts w:ascii="Arial" w:cs="Arial" w:eastAsia="Arial" w:hAnsi="Arial"/>
          <w:sz w:val="21"/>
          <w:szCs w:val="21"/>
          <w:color w:val="auto"/>
        </w:rPr>
      </w:pPr>
      <w:r>
        <w:rPr>
          <w:rFonts w:ascii="Arial" w:cs="Arial" w:eastAsia="Arial" w:hAnsi="Arial"/>
          <w:sz w:val="21"/>
          <w:szCs w:val="21"/>
          <w:color w:val="auto"/>
        </w:rPr>
        <w:t>Matson Agencies, Inc., Matson Freight Agencies, Inc., Matson Freight Agencies (Eastern), Inc., Matson Intermodal System, Inc., Matson Services Company, Inc. and Matson Terminals, Inc. are added as parties to the Agreement.</w:t>
      </w:r>
    </w:p>
    <w:p>
      <w:pPr>
        <w:spacing w:after="0" w:line="211" w:lineRule="exact"/>
        <w:rPr>
          <w:rFonts w:ascii="Arial" w:cs="Arial" w:eastAsia="Arial" w:hAnsi="Arial"/>
          <w:sz w:val="21"/>
          <w:szCs w:val="21"/>
          <w:color w:val="auto"/>
        </w:rPr>
      </w:pPr>
    </w:p>
    <w:p>
      <w:pPr>
        <w:ind w:right="100" w:firstLine="8"/>
        <w:spacing w:after="0" w:line="289" w:lineRule="auto"/>
        <w:tabs>
          <w:tab w:leader="none" w:pos="648" w:val="left"/>
        </w:tabs>
        <w:numPr>
          <w:ilvl w:val="0"/>
          <w:numId w:val="127"/>
        </w:numPr>
        <w:rPr>
          <w:rFonts w:ascii="Arial" w:cs="Arial" w:eastAsia="Arial" w:hAnsi="Arial"/>
          <w:sz w:val="20"/>
          <w:szCs w:val="20"/>
          <w:color w:val="auto"/>
        </w:rPr>
      </w:pPr>
      <w:r>
        <w:rPr>
          <w:rFonts w:ascii="Arial" w:cs="Arial" w:eastAsia="Arial" w:hAnsi="Arial"/>
          <w:sz w:val="20"/>
          <w:szCs w:val="20"/>
          <w:color w:val="auto"/>
        </w:rPr>
        <w:t>Each of the parties added agrees to be bound by all the provisions of Contract No. MA/CCF-316, as heretofore amended, and the Act applicable thereto, and the rules and regulations issued pursuant to the Act.</w:t>
      </w:r>
    </w:p>
    <w:p>
      <w:pPr>
        <w:spacing w:after="0" w:line="175"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Effective May 23, 1989, the Agreement is amended as follows:</w:t>
      </w:r>
    </w:p>
    <w:p>
      <w:pPr>
        <w:spacing w:after="0" w:line="245" w:lineRule="exact"/>
        <w:rPr>
          <w:sz w:val="20"/>
          <w:szCs w:val="20"/>
          <w:color w:val="auto"/>
        </w:rPr>
      </w:pPr>
    </w:p>
    <w:p>
      <w:pPr>
        <w:ind w:right="160" w:firstLine="8"/>
        <w:spacing w:after="0" w:line="264" w:lineRule="auto"/>
        <w:tabs>
          <w:tab w:leader="none" w:pos="648"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Article 5, paragraph (A), item (4) is amended to change the period at the end of item (4) to a semicolon and to add the word “and”;</w:t>
      </w:r>
    </w:p>
    <w:p>
      <w:pPr>
        <w:spacing w:after="0" w:line="197" w:lineRule="exact"/>
        <w:rPr>
          <w:rFonts w:ascii="Arial" w:cs="Arial" w:eastAsia="Arial" w:hAnsi="Arial"/>
          <w:sz w:val="21"/>
          <w:szCs w:val="21"/>
          <w:color w:val="auto"/>
        </w:rPr>
      </w:pPr>
    </w:p>
    <w:p>
      <w:pPr>
        <w:ind w:left="660" w:hanging="652"/>
        <w:spacing w:after="0"/>
        <w:tabs>
          <w:tab w:leader="none" w:pos="66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Article 5, paragraph (A) is amended to add item (5) to read as follows:</w:t>
      </w:r>
    </w:p>
    <w:p>
      <w:pPr>
        <w:spacing w:after="0" w:line="245" w:lineRule="exact"/>
        <w:rPr>
          <w:sz w:val="20"/>
          <w:szCs w:val="20"/>
          <w:color w:val="auto"/>
        </w:rPr>
      </w:pPr>
    </w:p>
    <w:p>
      <w:pPr>
        <w:ind w:firstLine="8"/>
        <w:spacing w:after="0" w:line="289" w:lineRule="auto"/>
        <w:tabs>
          <w:tab w:leader="none" w:pos="648"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receipts from the investment or reinvestment of amounts held in the Fund, except that the Party shall not be permitted to deposit more than is necessary to complete its program set out in Schedule B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06" w:right="999" w:bottom="1440" w:gutter="0" w:footer="0" w:header="0"/>
        </w:sectPr>
      </w:pPr>
    </w:p>
    <w:bookmarkStart w:id="105" w:name="page106"/>
    <w:bookmarkEnd w:id="105"/>
    <w:p>
      <w:pPr>
        <w:ind w:left="660" w:hanging="652"/>
        <w:spacing w:after="0"/>
        <w:tabs>
          <w:tab w:leader="none" w:pos="66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Article 5, paragraph (B) is amended to delete item (1) and to renumber the following item as item (1).</w:t>
      </w:r>
    </w:p>
    <w:p>
      <w:pPr>
        <w:spacing w:after="0" w:line="256" w:lineRule="exact"/>
        <w:rPr>
          <w:sz w:val="20"/>
          <w:szCs w:val="20"/>
          <w:color w:val="auto"/>
        </w:rPr>
      </w:pPr>
    </w:p>
    <w:p>
      <w:pPr>
        <w:ind w:right="120" w:firstLine="8"/>
        <w:spacing w:after="0" w:line="264" w:lineRule="auto"/>
        <w:tabs>
          <w:tab w:leader="none" w:pos="648" w:val="left"/>
        </w:tabs>
        <w:numPr>
          <w:ilvl w:val="0"/>
          <w:numId w:val="132"/>
        </w:numPr>
        <w:rPr>
          <w:rFonts w:ascii="Arial" w:cs="Arial" w:eastAsia="Arial" w:hAnsi="Arial"/>
          <w:sz w:val="21"/>
          <w:szCs w:val="21"/>
          <w:color w:val="auto"/>
        </w:rPr>
      </w:pPr>
      <w:r>
        <w:rPr>
          <w:rFonts w:ascii="Arial" w:cs="Arial" w:eastAsia="Arial" w:hAnsi="Arial"/>
          <w:sz w:val="21"/>
          <w:szCs w:val="21"/>
          <w:color w:val="auto"/>
        </w:rPr>
        <w:t>Except as herein otherwise expressly provided, the Agreement, as heretofore amended, shall remain in full force and effect.</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IN WITNESS WHEREOF, the Parties have executed this Addendum No. 18 in four counterparts, effective as of the dates specified hereinabove and actually on the 5th day of July, 1989.</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20" w:type="dxa"/>
            <w:vAlign w:val="bottom"/>
            <w:gridSpan w:val="2"/>
          </w:tcPr>
          <w:p>
            <w:pPr>
              <w:ind w:left="200"/>
              <w:spacing w:after="0"/>
              <w:rPr>
                <w:sz w:val="20"/>
                <w:szCs w:val="20"/>
                <w:color w:val="auto"/>
              </w:rPr>
            </w:pPr>
            <w:r>
              <w:rPr>
                <w:rFonts w:ascii="Arial" w:cs="Arial" w:eastAsia="Arial" w:hAnsi="Arial"/>
                <w:sz w:val="21"/>
                <w:szCs w:val="21"/>
                <w:color w:val="auto"/>
              </w:rPr>
              <w:t>UNITED STATES OF AMERICA</w:t>
            </w:r>
          </w:p>
        </w:tc>
      </w:tr>
      <w:tr>
        <w:trPr>
          <w:trHeight w:val="243"/>
        </w:trPr>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320" w:type="dxa"/>
            <w:vAlign w:val="bottom"/>
            <w:gridSpan w:val="2"/>
          </w:tcPr>
          <w:p>
            <w:pPr>
              <w:ind w:left="200"/>
              <w:spacing w:after="0"/>
              <w:rPr>
                <w:sz w:val="20"/>
                <w:szCs w:val="20"/>
                <w:color w:val="auto"/>
              </w:rPr>
            </w:pPr>
            <w:r>
              <w:rPr>
                <w:rFonts w:ascii="Arial" w:cs="Arial" w:eastAsia="Arial" w:hAnsi="Arial"/>
                <w:sz w:val="21"/>
                <w:szCs w:val="21"/>
                <w:color w:val="auto"/>
              </w:rPr>
              <w:t>SECRETARY OF TRANSPORTATION</w:t>
            </w:r>
          </w:p>
        </w:tc>
      </w:tr>
      <w:tr>
        <w:trPr>
          <w:trHeight w:val="264"/>
        </w:trPr>
        <w:tc>
          <w:tcPr>
            <w:tcW w:w="1540" w:type="dxa"/>
            <w:vAlign w:val="bottom"/>
            <w:gridSpan w:val="2"/>
          </w:tcPr>
          <w:p>
            <w:pPr>
              <w:spacing w:after="0"/>
              <w:rPr>
                <w:sz w:val="20"/>
                <w:szCs w:val="20"/>
                <w:color w:val="auto"/>
              </w:rPr>
            </w:pPr>
            <w:r>
              <w:rPr>
                <w:rFonts w:ascii="Arial" w:cs="Arial" w:eastAsia="Arial" w:hAnsi="Arial"/>
                <w:sz w:val="21"/>
                <w:szCs w:val="21"/>
                <w:color w:val="auto"/>
              </w:rPr>
              <w:t>ATTEST:</w:t>
            </w:r>
          </w:p>
        </w:tc>
        <w:tc>
          <w:tcPr>
            <w:tcW w:w="5320" w:type="dxa"/>
            <w:vAlign w:val="bottom"/>
            <w:gridSpan w:val="2"/>
          </w:tcPr>
          <w:p>
            <w:pPr>
              <w:ind w:left="200"/>
              <w:spacing w:after="0"/>
              <w:rPr>
                <w:sz w:val="20"/>
                <w:szCs w:val="20"/>
                <w:color w:val="auto"/>
              </w:rPr>
            </w:pPr>
            <w:r>
              <w:rPr>
                <w:rFonts w:ascii="Arial" w:cs="Arial" w:eastAsia="Arial" w:hAnsi="Arial"/>
                <w:sz w:val="21"/>
                <w:szCs w:val="21"/>
                <w:color w:val="auto"/>
              </w:rPr>
              <w:t>MARITIME ADMINISTRATOR</w:t>
            </w:r>
          </w:p>
        </w:tc>
      </w:tr>
      <w:tr>
        <w:trPr>
          <w:trHeight w:val="721"/>
        </w:trPr>
        <w:tc>
          <w:tcPr>
            <w:tcW w:w="1540" w:type="dxa"/>
            <w:vAlign w:val="bottom"/>
            <w:gridSpan w:val="2"/>
          </w:tcPr>
          <w:p>
            <w:pPr>
              <w:spacing w:after="0"/>
              <w:rPr>
                <w:sz w:val="20"/>
                <w:szCs w:val="20"/>
                <w:color w:val="auto"/>
              </w:rPr>
            </w:pPr>
            <w:r>
              <w:rPr>
                <w:rFonts w:ascii="Arial" w:cs="Arial" w:eastAsia="Arial" w:hAnsi="Arial"/>
                <w:sz w:val="21"/>
                <w:szCs w:val="21"/>
                <w:color w:val="auto"/>
              </w:rPr>
              <w:t>BY:</w:t>
            </w:r>
          </w:p>
        </w:tc>
        <w:tc>
          <w:tcPr>
            <w:tcW w:w="5320" w:type="dxa"/>
            <w:vAlign w:val="bottom"/>
            <w:gridSpan w:val="2"/>
          </w:tcPr>
          <w:p>
            <w:pPr>
              <w:ind w:left="200"/>
              <w:spacing w:after="0"/>
              <w:rPr>
                <w:sz w:val="20"/>
                <w:szCs w:val="20"/>
                <w:color w:val="auto"/>
              </w:rPr>
            </w:pPr>
            <w:r>
              <w:rPr>
                <w:rFonts w:ascii="Arial" w:cs="Arial" w:eastAsia="Arial" w:hAnsi="Arial"/>
                <w:sz w:val="21"/>
                <w:szCs w:val="21"/>
                <w:color w:val="auto"/>
              </w:rPr>
              <w:t>By:</w:t>
            </w:r>
          </w:p>
        </w:tc>
      </w:tr>
      <w:tr>
        <w:trPr>
          <w:trHeight w:val="258"/>
        </w:trPr>
        <w:tc>
          <w:tcPr>
            <w:tcW w:w="560" w:type="dxa"/>
            <w:vAlign w:val="bottom"/>
          </w:tcPr>
          <w:p>
            <w:pPr>
              <w:spacing w:after="0"/>
              <w:rPr>
                <w:sz w:val="22"/>
                <w:szCs w:val="22"/>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Secretary</w:t>
            </w:r>
          </w:p>
        </w:tc>
        <w:tc>
          <w:tcPr>
            <w:tcW w:w="1280" w:type="dxa"/>
            <w:vAlign w:val="bottom"/>
          </w:tcPr>
          <w:p>
            <w:pPr>
              <w:spacing w:after="0"/>
              <w:rPr>
                <w:sz w:val="22"/>
                <w:szCs w:val="22"/>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Contracting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540" w:type="dxa"/>
            <w:vAlign w:val="bottom"/>
            <w:gridSpan w:val="2"/>
          </w:tcPr>
          <w:p>
            <w:pPr>
              <w:spacing w:after="0"/>
              <w:rPr>
                <w:sz w:val="20"/>
                <w:szCs w:val="20"/>
                <w:color w:val="auto"/>
              </w:rPr>
            </w:pPr>
            <w:r>
              <w:rPr>
                <w:rFonts w:ascii="Arial" w:cs="Arial" w:eastAsia="Arial" w:hAnsi="Arial"/>
                <w:sz w:val="21"/>
                <w:szCs w:val="21"/>
                <w:color w:val="auto"/>
              </w:rPr>
              <w:t>ATTEST:</w:t>
            </w:r>
          </w:p>
        </w:tc>
        <w:tc>
          <w:tcPr>
            <w:tcW w:w="5320" w:type="dxa"/>
            <w:vAlign w:val="bottom"/>
            <w:gridSpan w:val="3"/>
          </w:tcPr>
          <w:p>
            <w:pPr>
              <w:ind w:left="200"/>
              <w:spacing w:after="0"/>
              <w:rPr>
                <w:sz w:val="20"/>
                <w:szCs w:val="20"/>
                <w:color w:val="auto"/>
              </w:rPr>
            </w:pPr>
            <w:r>
              <w:rPr>
                <w:rFonts w:ascii="Arial" w:cs="Arial" w:eastAsia="Arial" w:hAnsi="Arial"/>
                <w:sz w:val="21"/>
                <w:szCs w:val="21"/>
                <w:color w:val="auto"/>
              </w:rPr>
              <w:t>MATSON NAVIGATION COMPANY, INC.</w:t>
            </w:r>
          </w:p>
        </w:tc>
      </w:tr>
      <w:tr>
        <w:trPr>
          <w:trHeight w:val="721"/>
        </w:trPr>
        <w:tc>
          <w:tcPr>
            <w:tcW w:w="560" w:type="dxa"/>
            <w:vAlign w:val="bottom"/>
          </w:tcPr>
          <w:p>
            <w:pPr>
              <w:spacing w:after="0"/>
              <w:rPr>
                <w:sz w:val="20"/>
                <w:szCs w:val="20"/>
                <w:color w:val="auto"/>
              </w:rPr>
            </w:pPr>
            <w:r>
              <w:rPr>
                <w:rFonts w:ascii="Arial" w:cs="Arial" w:eastAsia="Arial" w:hAnsi="Arial"/>
                <w:sz w:val="21"/>
                <w:szCs w:val="21"/>
                <w:color w:val="auto"/>
              </w:rPr>
              <w:t>By:</w:t>
            </w:r>
          </w:p>
        </w:tc>
        <w:tc>
          <w:tcPr>
            <w:tcW w:w="980" w:type="dxa"/>
            <w:vAlign w:val="bottom"/>
            <w:tcBorders>
              <w:bottom w:val="single" w:sz="8" w:color="auto"/>
            </w:tcBorders>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1"/>
                <w:szCs w:val="21"/>
                <w:color w:val="auto"/>
              </w:rPr>
              <w:t>By:</w:t>
            </w:r>
          </w:p>
        </w:tc>
        <w:tc>
          <w:tcPr>
            <w:tcW w:w="26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r>
        <w:trPr>
          <w:trHeight w:val="480"/>
        </w:trPr>
        <w:tc>
          <w:tcPr>
            <w:tcW w:w="560" w:type="dxa"/>
            <w:vAlign w:val="bottom"/>
          </w:tcPr>
          <w:p>
            <w:pPr>
              <w:spacing w:after="0"/>
              <w:rPr>
                <w:sz w:val="20"/>
                <w:szCs w:val="20"/>
                <w:color w:val="auto"/>
              </w:rPr>
            </w:pPr>
            <w:r>
              <w:rPr>
                <w:rFonts w:ascii="Arial" w:cs="Arial" w:eastAsia="Arial" w:hAnsi="Arial"/>
                <w:sz w:val="21"/>
                <w:szCs w:val="21"/>
                <w:color w:val="auto"/>
                <w:w w:val="87"/>
              </w:rPr>
              <w:t>Name:</w:t>
            </w:r>
          </w:p>
        </w:tc>
        <w:tc>
          <w:tcPr>
            <w:tcW w:w="980" w:type="dxa"/>
            <w:vAlign w:val="bottom"/>
            <w:tcBorders>
              <w:bottom w:val="single" w:sz="8" w:color="auto"/>
            </w:tcBorders>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1"/>
                <w:szCs w:val="21"/>
                <w:color w:val="auto"/>
              </w:rPr>
              <w:t>Name:</w:t>
            </w:r>
          </w:p>
        </w:tc>
        <w:tc>
          <w:tcPr>
            <w:tcW w:w="26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r>
        <w:trPr>
          <w:trHeight w:val="466"/>
        </w:trPr>
        <w:tc>
          <w:tcPr>
            <w:tcW w:w="1540" w:type="dxa"/>
            <w:vAlign w:val="bottom"/>
            <w:gridSpan w:val="2"/>
          </w:tcPr>
          <w:p>
            <w:pPr>
              <w:spacing w:after="0"/>
              <w:rPr>
                <w:sz w:val="20"/>
                <w:szCs w:val="20"/>
                <w:color w:val="auto"/>
              </w:rPr>
            </w:pPr>
            <w:r>
              <w:rPr>
                <w:rFonts w:ascii="Arial" w:cs="Arial" w:eastAsia="Arial" w:hAnsi="Arial"/>
                <w:sz w:val="21"/>
                <w:szCs w:val="21"/>
                <w:color w:val="auto"/>
              </w:rPr>
              <w:t>Title: Assistant</w:t>
            </w:r>
          </w:p>
        </w:tc>
        <w:tc>
          <w:tcPr>
            <w:tcW w:w="1020" w:type="dxa"/>
            <w:vAlign w:val="bottom"/>
          </w:tcPr>
          <w:p>
            <w:pPr>
              <w:ind w:left="200"/>
              <w:spacing w:after="0"/>
              <w:rPr>
                <w:sz w:val="20"/>
                <w:szCs w:val="20"/>
                <w:color w:val="auto"/>
              </w:rPr>
            </w:pPr>
            <w:r>
              <w:rPr>
                <w:rFonts w:ascii="Arial" w:cs="Arial" w:eastAsia="Arial" w:hAnsi="Arial"/>
                <w:sz w:val="21"/>
                <w:szCs w:val="21"/>
                <w:color w:val="auto"/>
              </w:rPr>
              <w:t>Title:</w:t>
            </w:r>
          </w:p>
        </w:tc>
        <w:tc>
          <w:tcPr>
            <w:tcW w:w="4300" w:type="dxa"/>
            <w:vAlign w:val="bottom"/>
            <w:gridSpan w:val="2"/>
          </w:tcPr>
          <w:p>
            <w:pPr>
              <w:ind w:left="260"/>
              <w:spacing w:after="0"/>
              <w:rPr>
                <w:sz w:val="20"/>
                <w:szCs w:val="20"/>
                <w:color w:val="auto"/>
              </w:rPr>
            </w:pPr>
            <w:r>
              <w:rPr>
                <w:rFonts w:ascii="Arial" w:cs="Arial" w:eastAsia="Arial" w:hAnsi="Arial"/>
                <w:sz w:val="21"/>
                <w:szCs w:val="21"/>
                <w:color w:val="auto"/>
              </w:rPr>
              <w:t>Senior Vice President</w:t>
            </w:r>
          </w:p>
        </w:tc>
      </w:tr>
      <w:tr>
        <w:trPr>
          <w:trHeight w:val="256"/>
        </w:trPr>
        <w:tc>
          <w:tcPr>
            <w:tcW w:w="560" w:type="dxa"/>
            <w:vAlign w:val="bottom"/>
          </w:tcPr>
          <w:p>
            <w:pPr>
              <w:spacing w:after="0"/>
              <w:rPr>
                <w:sz w:val="22"/>
                <w:szCs w:val="22"/>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21"/>
                <w:szCs w:val="21"/>
                <w:color w:val="auto"/>
                <w:w w:val="86"/>
              </w:rPr>
              <w:t>Secretary</w:t>
            </w: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4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color w:val="auto"/>
        </w:rPr>
        <w:t>ATTEST:</w:t>
      </w:r>
      <w:r>
        <w:rPr>
          <w:sz w:val="20"/>
          <w:szCs w:val="20"/>
          <w:color w:val="auto"/>
        </w:rPr>
        <w:tab/>
      </w:r>
      <w:r>
        <w:rPr>
          <w:rFonts w:ascii="Arial" w:cs="Arial" w:eastAsia="Arial" w:hAnsi="Arial"/>
          <w:sz w:val="21"/>
          <w:szCs w:val="21"/>
          <w:color w:val="auto"/>
        </w:rPr>
        <w:t>MATSON AGENCIES, INC.</w:t>
      </w:r>
    </w:p>
    <w:p>
      <w:pPr>
        <w:spacing w:after="0" w:line="245"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9525</wp:posOffset>
            </wp:positionV>
            <wp:extent cx="40030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9">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38"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9525</wp:posOffset>
            </wp:positionV>
            <wp:extent cx="40030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0">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38" w:lineRule="exact"/>
        <w:rPr>
          <w:sz w:val="20"/>
          <w:szCs w:val="20"/>
          <w:color w:val="auto"/>
        </w:rPr>
      </w:pPr>
    </w:p>
    <w:p>
      <w:pPr>
        <w:spacing w:after="0"/>
        <w:tabs>
          <w:tab w:leader="none" w:pos="1720" w:val="left"/>
          <w:tab w:leader="none" w:pos="2800" w:val="left"/>
        </w:tabs>
        <w:rPr>
          <w:sz w:val="20"/>
          <w:szCs w:val="20"/>
          <w:color w:val="auto"/>
        </w:rPr>
      </w:pPr>
      <w:r>
        <w:rPr>
          <w:rFonts w:ascii="Arial" w:cs="Arial" w:eastAsia="Arial" w:hAnsi="Arial"/>
          <w:sz w:val="21"/>
          <w:szCs w:val="21"/>
          <w:color w:val="auto"/>
        </w:rPr>
        <w:t>Title: Secretary</w:t>
      </w:r>
      <w:r>
        <w:rPr>
          <w:sz w:val="20"/>
          <w:szCs w:val="20"/>
          <w:color w:val="auto"/>
        </w:rPr>
        <w:tab/>
      </w: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9525</wp:posOffset>
            </wp:positionV>
            <wp:extent cx="40030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1">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00"/>
          </w:cols>
          <w:pgMar w:left="980" w:top="1206" w:right="1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64"/>
        </w:trPr>
        <w:tc>
          <w:tcPr>
            <w:tcW w:w="4700" w:type="dxa"/>
            <w:vAlign w:val="bottom"/>
            <w:gridSpan w:val="2"/>
          </w:tcPr>
          <w:p>
            <w:pPr>
              <w:spacing w:after="0"/>
              <w:rPr>
                <w:sz w:val="20"/>
                <w:szCs w:val="20"/>
                <w:color w:val="auto"/>
              </w:rPr>
            </w:pPr>
            <w:r>
              <w:rPr>
                <w:rFonts w:ascii="Arial" w:cs="Arial" w:eastAsia="Arial" w:hAnsi="Arial"/>
                <w:sz w:val="21"/>
                <w:szCs w:val="21"/>
                <w:color w:val="auto"/>
              </w:rPr>
              <w:t>ATTEST:</w:t>
            </w:r>
          </w:p>
        </w:tc>
        <w:tc>
          <w:tcPr>
            <w:tcW w:w="5220" w:type="dxa"/>
            <w:vAlign w:val="bottom"/>
            <w:gridSpan w:val="2"/>
          </w:tcPr>
          <w:p>
            <w:pPr>
              <w:ind w:left="280"/>
              <w:spacing w:after="0"/>
              <w:rPr>
                <w:sz w:val="20"/>
                <w:szCs w:val="20"/>
                <w:color w:val="auto"/>
              </w:rPr>
            </w:pPr>
            <w:r>
              <w:rPr>
                <w:rFonts w:ascii="Arial" w:cs="Arial" w:eastAsia="Arial" w:hAnsi="Arial"/>
                <w:sz w:val="21"/>
                <w:szCs w:val="21"/>
                <w:color w:val="auto"/>
              </w:rPr>
              <w:t>MATSON FREIGHT AGENCIES, INC.</w:t>
            </w:r>
          </w:p>
        </w:tc>
      </w:tr>
      <w:tr>
        <w:trPr>
          <w:trHeight w:val="721"/>
        </w:trPr>
        <w:tc>
          <w:tcPr>
            <w:tcW w:w="580" w:type="dxa"/>
            <w:vAlign w:val="bottom"/>
          </w:tcPr>
          <w:p>
            <w:pPr>
              <w:spacing w:after="0"/>
              <w:rPr>
                <w:sz w:val="20"/>
                <w:szCs w:val="20"/>
                <w:color w:val="auto"/>
              </w:rPr>
            </w:pPr>
            <w:r>
              <w:rPr>
                <w:rFonts w:ascii="Arial" w:cs="Arial" w:eastAsia="Arial" w:hAnsi="Arial"/>
                <w:sz w:val="21"/>
                <w:szCs w:val="21"/>
                <w:color w:val="auto"/>
              </w:rPr>
              <w:t>By:</w:t>
            </w:r>
          </w:p>
        </w:tc>
        <w:tc>
          <w:tcPr>
            <w:tcW w:w="4120" w:type="dxa"/>
            <w:vAlign w:val="bottom"/>
            <w:tcBorders>
              <w:bottom w:val="single" w:sz="8" w:color="auto"/>
            </w:tcBorders>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21"/>
                <w:szCs w:val="21"/>
                <w:color w:val="auto"/>
              </w:rPr>
              <w:t>By:</w:t>
            </w:r>
          </w:p>
        </w:tc>
        <w:tc>
          <w:tcPr>
            <w:tcW w:w="4380" w:type="dxa"/>
            <w:vAlign w:val="bottom"/>
            <w:tcBorders>
              <w:bottom w:val="single" w:sz="8" w:color="auto"/>
            </w:tcBorders>
          </w:tcPr>
          <w:p>
            <w:pPr>
              <w:spacing w:after="0"/>
              <w:rPr>
                <w:sz w:val="24"/>
                <w:szCs w:val="24"/>
                <w:color w:val="auto"/>
              </w:rPr>
            </w:pPr>
          </w:p>
        </w:tc>
      </w:tr>
      <w:tr>
        <w:trPr>
          <w:trHeight w:val="479"/>
        </w:trPr>
        <w:tc>
          <w:tcPr>
            <w:tcW w:w="580" w:type="dxa"/>
            <w:vAlign w:val="bottom"/>
          </w:tcPr>
          <w:p>
            <w:pPr>
              <w:spacing w:after="0"/>
              <w:rPr>
                <w:sz w:val="20"/>
                <w:szCs w:val="20"/>
                <w:color w:val="auto"/>
              </w:rPr>
            </w:pPr>
            <w:r>
              <w:rPr>
                <w:rFonts w:ascii="Arial" w:cs="Arial" w:eastAsia="Arial" w:hAnsi="Arial"/>
                <w:sz w:val="21"/>
                <w:szCs w:val="21"/>
                <w:color w:val="auto"/>
                <w:w w:val="90"/>
              </w:rPr>
              <w:t>Name:</w:t>
            </w:r>
          </w:p>
        </w:tc>
        <w:tc>
          <w:tcPr>
            <w:tcW w:w="4120" w:type="dxa"/>
            <w:vAlign w:val="bottom"/>
            <w:tcBorders>
              <w:bottom w:val="single" w:sz="8" w:color="auto"/>
            </w:tcBorders>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21"/>
                <w:szCs w:val="21"/>
                <w:color w:val="auto"/>
                <w:w w:val="87"/>
              </w:rPr>
              <w:t>Name:</w:t>
            </w:r>
          </w:p>
        </w:tc>
        <w:tc>
          <w:tcPr>
            <w:tcW w:w="4380" w:type="dxa"/>
            <w:vAlign w:val="bottom"/>
            <w:tcBorders>
              <w:bottom w:val="single" w:sz="8" w:color="auto"/>
            </w:tcBorders>
          </w:tcPr>
          <w:p>
            <w:pPr>
              <w:spacing w:after="0"/>
              <w:rPr>
                <w:sz w:val="24"/>
                <w:szCs w:val="24"/>
                <w:color w:val="auto"/>
              </w:rPr>
            </w:pPr>
          </w:p>
        </w:tc>
      </w:tr>
      <w:tr>
        <w:trPr>
          <w:trHeight w:val="480"/>
        </w:trPr>
        <w:tc>
          <w:tcPr>
            <w:tcW w:w="580" w:type="dxa"/>
            <w:vAlign w:val="bottom"/>
          </w:tcPr>
          <w:p>
            <w:pPr>
              <w:spacing w:after="0"/>
              <w:rPr>
                <w:sz w:val="20"/>
                <w:szCs w:val="20"/>
                <w:color w:val="auto"/>
              </w:rPr>
            </w:pPr>
            <w:r>
              <w:rPr>
                <w:rFonts w:ascii="Arial" w:cs="Arial" w:eastAsia="Arial" w:hAnsi="Arial"/>
                <w:sz w:val="21"/>
                <w:szCs w:val="21"/>
                <w:color w:val="auto"/>
              </w:rPr>
              <w:t>Title:</w:t>
            </w:r>
          </w:p>
        </w:tc>
        <w:tc>
          <w:tcPr>
            <w:tcW w:w="4120" w:type="dxa"/>
            <w:vAlign w:val="bottom"/>
          </w:tcPr>
          <w:p>
            <w:pPr>
              <w:ind w:left="20"/>
              <w:spacing w:after="0"/>
              <w:rPr>
                <w:sz w:val="20"/>
                <w:szCs w:val="20"/>
                <w:color w:val="auto"/>
              </w:rPr>
            </w:pPr>
            <w:r>
              <w:rPr>
                <w:rFonts w:ascii="Arial" w:cs="Arial" w:eastAsia="Arial" w:hAnsi="Arial"/>
                <w:sz w:val="21"/>
                <w:szCs w:val="21"/>
                <w:color w:val="auto"/>
              </w:rPr>
              <w:t>Secretary</w:t>
            </w:r>
          </w:p>
        </w:tc>
        <w:tc>
          <w:tcPr>
            <w:tcW w:w="5220" w:type="dxa"/>
            <w:vAlign w:val="bottom"/>
            <w:gridSpan w:val="2"/>
          </w:tcPr>
          <w:p>
            <w:pPr>
              <w:ind w:left="280"/>
              <w:spacing w:after="0"/>
              <w:rPr>
                <w:sz w:val="20"/>
                <w:szCs w:val="20"/>
                <w:color w:val="auto"/>
              </w:rPr>
            </w:pPr>
            <w:r>
              <w:rPr>
                <w:rFonts w:ascii="Arial" w:cs="Arial" w:eastAsia="Arial" w:hAnsi="Arial"/>
                <w:sz w:val="21"/>
                <w:szCs w:val="21"/>
                <w:color w:val="auto"/>
              </w:rPr>
              <w:t>Title: Vice President</w:t>
            </w:r>
          </w:p>
        </w:tc>
      </w:tr>
      <w:tr>
        <w:trPr>
          <w:trHeight w:val="20"/>
        </w:trPr>
        <w:tc>
          <w:tcPr>
            <w:tcW w:w="58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r>
      <w:tr>
        <w:trPr>
          <w:trHeight w:val="453"/>
        </w:trPr>
        <w:tc>
          <w:tcPr>
            <w:tcW w:w="4700" w:type="dxa"/>
            <w:vAlign w:val="bottom"/>
            <w:gridSpan w:val="2"/>
          </w:tcPr>
          <w:p>
            <w:pPr>
              <w:spacing w:after="0"/>
              <w:rPr>
                <w:sz w:val="20"/>
                <w:szCs w:val="20"/>
                <w:color w:val="auto"/>
              </w:rPr>
            </w:pPr>
            <w:r>
              <w:rPr>
                <w:rFonts w:ascii="Arial" w:cs="Arial" w:eastAsia="Arial" w:hAnsi="Arial"/>
                <w:sz w:val="21"/>
                <w:szCs w:val="21"/>
                <w:color w:val="auto"/>
              </w:rPr>
              <w:t>ATTEST:</w:t>
            </w:r>
          </w:p>
        </w:tc>
        <w:tc>
          <w:tcPr>
            <w:tcW w:w="5220" w:type="dxa"/>
            <w:vAlign w:val="bottom"/>
            <w:gridSpan w:val="2"/>
          </w:tcPr>
          <w:p>
            <w:pPr>
              <w:ind w:left="280"/>
              <w:spacing w:after="0"/>
              <w:rPr>
                <w:sz w:val="20"/>
                <w:szCs w:val="20"/>
                <w:color w:val="auto"/>
              </w:rPr>
            </w:pPr>
            <w:r>
              <w:rPr>
                <w:rFonts w:ascii="Arial" w:cs="Arial" w:eastAsia="Arial" w:hAnsi="Arial"/>
                <w:sz w:val="21"/>
                <w:szCs w:val="21"/>
                <w:color w:val="auto"/>
              </w:rPr>
              <w:t>MATSON FREIGHT AGENCIES</w:t>
            </w:r>
          </w:p>
        </w:tc>
      </w:tr>
      <w:tr>
        <w:trPr>
          <w:trHeight w:val="264"/>
        </w:trPr>
        <w:tc>
          <w:tcPr>
            <w:tcW w:w="58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5220" w:type="dxa"/>
            <w:vAlign w:val="bottom"/>
            <w:gridSpan w:val="2"/>
          </w:tcPr>
          <w:p>
            <w:pPr>
              <w:ind w:left="280"/>
              <w:spacing w:after="0"/>
              <w:rPr>
                <w:sz w:val="20"/>
                <w:szCs w:val="20"/>
                <w:color w:val="auto"/>
              </w:rPr>
            </w:pPr>
            <w:r>
              <w:rPr>
                <w:rFonts w:ascii="Arial" w:cs="Arial" w:eastAsia="Arial" w:hAnsi="Arial"/>
                <w:sz w:val="21"/>
                <w:szCs w:val="21"/>
                <w:color w:val="auto"/>
              </w:rPr>
              <w:t>(EASTERN), INC.</w:t>
            </w:r>
          </w:p>
        </w:tc>
      </w:tr>
      <w:tr>
        <w:trPr>
          <w:trHeight w:val="721"/>
        </w:trPr>
        <w:tc>
          <w:tcPr>
            <w:tcW w:w="580" w:type="dxa"/>
            <w:vAlign w:val="bottom"/>
          </w:tcPr>
          <w:p>
            <w:pPr>
              <w:spacing w:after="0"/>
              <w:rPr>
                <w:sz w:val="20"/>
                <w:szCs w:val="20"/>
                <w:color w:val="auto"/>
              </w:rPr>
            </w:pPr>
            <w:r>
              <w:rPr>
                <w:rFonts w:ascii="Arial" w:cs="Arial" w:eastAsia="Arial" w:hAnsi="Arial"/>
                <w:sz w:val="21"/>
                <w:szCs w:val="21"/>
                <w:color w:val="auto"/>
              </w:rPr>
              <w:t>By:</w:t>
            </w:r>
          </w:p>
        </w:tc>
        <w:tc>
          <w:tcPr>
            <w:tcW w:w="4120" w:type="dxa"/>
            <w:vAlign w:val="bottom"/>
            <w:tcBorders>
              <w:bottom w:val="single" w:sz="8" w:color="auto"/>
            </w:tcBorders>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21"/>
                <w:szCs w:val="21"/>
                <w:color w:val="auto"/>
              </w:rPr>
              <w:t>By:</w:t>
            </w:r>
          </w:p>
        </w:tc>
        <w:tc>
          <w:tcPr>
            <w:tcW w:w="4380" w:type="dxa"/>
            <w:vAlign w:val="bottom"/>
            <w:tcBorders>
              <w:bottom w:val="single" w:sz="8" w:color="auto"/>
            </w:tcBorders>
          </w:tcPr>
          <w:p>
            <w:pPr>
              <w:spacing w:after="0"/>
              <w:rPr>
                <w:sz w:val="24"/>
                <w:szCs w:val="24"/>
                <w:color w:val="auto"/>
              </w:rPr>
            </w:pPr>
          </w:p>
        </w:tc>
      </w:tr>
      <w:tr>
        <w:trPr>
          <w:trHeight w:val="479"/>
        </w:trPr>
        <w:tc>
          <w:tcPr>
            <w:tcW w:w="580" w:type="dxa"/>
            <w:vAlign w:val="bottom"/>
          </w:tcPr>
          <w:p>
            <w:pPr>
              <w:spacing w:after="0"/>
              <w:rPr>
                <w:sz w:val="20"/>
                <w:szCs w:val="20"/>
                <w:color w:val="auto"/>
              </w:rPr>
            </w:pPr>
            <w:r>
              <w:rPr>
                <w:rFonts w:ascii="Arial" w:cs="Arial" w:eastAsia="Arial" w:hAnsi="Arial"/>
                <w:sz w:val="21"/>
                <w:szCs w:val="21"/>
                <w:color w:val="auto"/>
                <w:w w:val="90"/>
              </w:rPr>
              <w:t>Name:</w:t>
            </w:r>
          </w:p>
        </w:tc>
        <w:tc>
          <w:tcPr>
            <w:tcW w:w="4120" w:type="dxa"/>
            <w:vAlign w:val="bottom"/>
            <w:tcBorders>
              <w:bottom w:val="single" w:sz="8" w:color="auto"/>
            </w:tcBorders>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21"/>
                <w:szCs w:val="21"/>
                <w:color w:val="auto"/>
                <w:w w:val="87"/>
              </w:rPr>
              <w:t>Name:</w:t>
            </w:r>
          </w:p>
        </w:tc>
        <w:tc>
          <w:tcPr>
            <w:tcW w:w="4380" w:type="dxa"/>
            <w:vAlign w:val="bottom"/>
            <w:tcBorders>
              <w:bottom w:val="single" w:sz="8" w:color="auto"/>
            </w:tcBorders>
          </w:tcPr>
          <w:p>
            <w:pPr>
              <w:spacing w:after="0"/>
              <w:rPr>
                <w:sz w:val="24"/>
                <w:szCs w:val="24"/>
                <w:color w:val="auto"/>
              </w:rPr>
            </w:pPr>
          </w:p>
        </w:tc>
      </w:tr>
      <w:tr>
        <w:trPr>
          <w:trHeight w:val="480"/>
        </w:trPr>
        <w:tc>
          <w:tcPr>
            <w:tcW w:w="580" w:type="dxa"/>
            <w:vAlign w:val="bottom"/>
          </w:tcPr>
          <w:p>
            <w:pPr>
              <w:spacing w:after="0"/>
              <w:rPr>
                <w:sz w:val="20"/>
                <w:szCs w:val="20"/>
                <w:color w:val="auto"/>
              </w:rPr>
            </w:pPr>
            <w:r>
              <w:rPr>
                <w:rFonts w:ascii="Arial" w:cs="Arial" w:eastAsia="Arial" w:hAnsi="Arial"/>
                <w:sz w:val="21"/>
                <w:szCs w:val="21"/>
                <w:color w:val="auto"/>
              </w:rPr>
              <w:t>Title:</w:t>
            </w:r>
          </w:p>
        </w:tc>
        <w:tc>
          <w:tcPr>
            <w:tcW w:w="4120" w:type="dxa"/>
            <w:vAlign w:val="bottom"/>
          </w:tcPr>
          <w:p>
            <w:pPr>
              <w:ind w:left="20"/>
              <w:spacing w:after="0"/>
              <w:rPr>
                <w:sz w:val="20"/>
                <w:szCs w:val="20"/>
                <w:color w:val="auto"/>
              </w:rPr>
            </w:pPr>
            <w:r>
              <w:rPr>
                <w:rFonts w:ascii="Arial" w:cs="Arial" w:eastAsia="Arial" w:hAnsi="Arial"/>
                <w:sz w:val="21"/>
                <w:szCs w:val="21"/>
                <w:color w:val="auto"/>
              </w:rPr>
              <w:t>Secretary</w:t>
            </w:r>
          </w:p>
        </w:tc>
        <w:tc>
          <w:tcPr>
            <w:tcW w:w="5220" w:type="dxa"/>
            <w:vAlign w:val="bottom"/>
            <w:gridSpan w:val="2"/>
          </w:tcPr>
          <w:p>
            <w:pPr>
              <w:ind w:left="280"/>
              <w:spacing w:after="0"/>
              <w:rPr>
                <w:sz w:val="20"/>
                <w:szCs w:val="20"/>
                <w:color w:val="auto"/>
              </w:rPr>
            </w:pPr>
            <w:r>
              <w:rPr>
                <w:rFonts w:ascii="Arial" w:cs="Arial" w:eastAsia="Arial" w:hAnsi="Arial"/>
                <w:sz w:val="21"/>
                <w:szCs w:val="21"/>
                <w:color w:val="auto"/>
              </w:rPr>
              <w:t>Title: Vice President</w:t>
            </w:r>
          </w:p>
        </w:tc>
      </w:tr>
      <w:tr>
        <w:trPr>
          <w:trHeight w:val="20"/>
        </w:trPr>
        <w:tc>
          <w:tcPr>
            <w:tcW w:w="58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r>
      <w:tr>
        <w:trPr>
          <w:trHeight w:val="474"/>
        </w:trPr>
        <w:tc>
          <w:tcPr>
            <w:tcW w:w="4700" w:type="dxa"/>
            <w:vAlign w:val="bottom"/>
            <w:gridSpan w:val="2"/>
          </w:tcPr>
          <w:p>
            <w:pPr>
              <w:spacing w:after="0"/>
              <w:rPr>
                <w:sz w:val="20"/>
                <w:szCs w:val="20"/>
                <w:color w:val="auto"/>
              </w:rPr>
            </w:pPr>
            <w:r>
              <w:rPr>
                <w:rFonts w:ascii="Arial" w:cs="Arial" w:eastAsia="Arial" w:hAnsi="Arial"/>
                <w:sz w:val="21"/>
                <w:szCs w:val="21"/>
                <w:color w:val="auto"/>
              </w:rPr>
              <w:t>ATTEST:</w:t>
            </w:r>
          </w:p>
        </w:tc>
        <w:tc>
          <w:tcPr>
            <w:tcW w:w="5220" w:type="dxa"/>
            <w:vAlign w:val="bottom"/>
            <w:gridSpan w:val="2"/>
          </w:tcPr>
          <w:p>
            <w:pPr>
              <w:ind w:left="280"/>
              <w:spacing w:after="0"/>
              <w:rPr>
                <w:sz w:val="20"/>
                <w:szCs w:val="20"/>
                <w:color w:val="auto"/>
              </w:rPr>
            </w:pPr>
            <w:r>
              <w:rPr>
                <w:rFonts w:ascii="Arial" w:cs="Arial" w:eastAsia="Arial" w:hAnsi="Arial"/>
                <w:sz w:val="21"/>
                <w:szCs w:val="21"/>
                <w:color w:val="auto"/>
              </w:rPr>
              <w:t>MATSON INTERMODAL SYSTEM, INC.</w:t>
            </w:r>
          </w:p>
        </w:tc>
      </w:tr>
      <w:tr>
        <w:trPr>
          <w:trHeight w:val="721"/>
        </w:trPr>
        <w:tc>
          <w:tcPr>
            <w:tcW w:w="580" w:type="dxa"/>
            <w:vAlign w:val="bottom"/>
          </w:tcPr>
          <w:p>
            <w:pPr>
              <w:spacing w:after="0"/>
              <w:rPr>
                <w:sz w:val="20"/>
                <w:szCs w:val="20"/>
                <w:color w:val="auto"/>
              </w:rPr>
            </w:pPr>
            <w:r>
              <w:rPr>
                <w:rFonts w:ascii="Arial" w:cs="Arial" w:eastAsia="Arial" w:hAnsi="Arial"/>
                <w:sz w:val="21"/>
                <w:szCs w:val="21"/>
                <w:color w:val="auto"/>
              </w:rPr>
              <w:t>By:</w:t>
            </w:r>
          </w:p>
        </w:tc>
        <w:tc>
          <w:tcPr>
            <w:tcW w:w="4120" w:type="dxa"/>
            <w:vAlign w:val="bottom"/>
            <w:tcBorders>
              <w:bottom w:val="single" w:sz="8" w:color="auto"/>
            </w:tcBorders>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21"/>
                <w:szCs w:val="21"/>
                <w:color w:val="auto"/>
              </w:rPr>
              <w:t>By:</w:t>
            </w:r>
          </w:p>
        </w:tc>
        <w:tc>
          <w:tcPr>
            <w:tcW w:w="4380" w:type="dxa"/>
            <w:vAlign w:val="bottom"/>
            <w:tcBorders>
              <w:bottom w:val="single" w:sz="8" w:color="auto"/>
            </w:tcBorders>
          </w:tcPr>
          <w:p>
            <w:pPr>
              <w:spacing w:after="0"/>
              <w:rPr>
                <w:sz w:val="24"/>
                <w:szCs w:val="24"/>
                <w:color w:val="auto"/>
              </w:rPr>
            </w:pPr>
          </w:p>
        </w:tc>
      </w:tr>
      <w:tr>
        <w:trPr>
          <w:trHeight w:val="480"/>
        </w:trPr>
        <w:tc>
          <w:tcPr>
            <w:tcW w:w="580" w:type="dxa"/>
            <w:vAlign w:val="bottom"/>
          </w:tcPr>
          <w:p>
            <w:pPr>
              <w:spacing w:after="0"/>
              <w:rPr>
                <w:sz w:val="20"/>
                <w:szCs w:val="20"/>
                <w:color w:val="auto"/>
              </w:rPr>
            </w:pPr>
            <w:r>
              <w:rPr>
                <w:rFonts w:ascii="Arial" w:cs="Arial" w:eastAsia="Arial" w:hAnsi="Arial"/>
                <w:sz w:val="21"/>
                <w:szCs w:val="21"/>
                <w:color w:val="auto"/>
                <w:w w:val="90"/>
              </w:rPr>
              <w:t>Name:</w:t>
            </w:r>
          </w:p>
        </w:tc>
        <w:tc>
          <w:tcPr>
            <w:tcW w:w="4120" w:type="dxa"/>
            <w:vAlign w:val="bottom"/>
            <w:tcBorders>
              <w:bottom w:val="single" w:sz="8" w:color="auto"/>
            </w:tcBorders>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21"/>
                <w:szCs w:val="21"/>
                <w:color w:val="auto"/>
                <w:w w:val="87"/>
              </w:rPr>
              <w:t>Name:</w:t>
            </w:r>
          </w:p>
        </w:tc>
        <w:tc>
          <w:tcPr>
            <w:tcW w:w="4380" w:type="dxa"/>
            <w:vAlign w:val="bottom"/>
            <w:tcBorders>
              <w:bottom w:val="single" w:sz="8" w:color="auto"/>
            </w:tcBorders>
          </w:tcPr>
          <w:p>
            <w:pPr>
              <w:spacing w:after="0"/>
              <w:rPr>
                <w:sz w:val="24"/>
                <w:szCs w:val="24"/>
                <w:color w:val="auto"/>
              </w:rPr>
            </w:pPr>
          </w:p>
        </w:tc>
      </w:tr>
      <w:tr>
        <w:trPr>
          <w:trHeight w:val="480"/>
        </w:trPr>
        <w:tc>
          <w:tcPr>
            <w:tcW w:w="580" w:type="dxa"/>
            <w:vAlign w:val="bottom"/>
          </w:tcPr>
          <w:p>
            <w:pPr>
              <w:spacing w:after="0"/>
              <w:rPr>
                <w:sz w:val="20"/>
                <w:szCs w:val="20"/>
                <w:color w:val="auto"/>
              </w:rPr>
            </w:pPr>
            <w:r>
              <w:rPr>
                <w:rFonts w:ascii="Arial" w:cs="Arial" w:eastAsia="Arial" w:hAnsi="Arial"/>
                <w:sz w:val="21"/>
                <w:szCs w:val="21"/>
                <w:color w:val="auto"/>
              </w:rPr>
              <w:t>Title:</w:t>
            </w:r>
          </w:p>
        </w:tc>
        <w:tc>
          <w:tcPr>
            <w:tcW w:w="4120" w:type="dxa"/>
            <w:vAlign w:val="bottom"/>
          </w:tcPr>
          <w:p>
            <w:pPr>
              <w:ind w:left="20"/>
              <w:spacing w:after="0"/>
              <w:rPr>
                <w:sz w:val="20"/>
                <w:szCs w:val="20"/>
                <w:color w:val="auto"/>
              </w:rPr>
            </w:pPr>
            <w:r>
              <w:rPr>
                <w:rFonts w:ascii="Arial" w:cs="Arial" w:eastAsia="Arial" w:hAnsi="Arial"/>
                <w:sz w:val="21"/>
                <w:szCs w:val="21"/>
                <w:color w:val="auto"/>
              </w:rPr>
              <w:t>Secretary</w:t>
            </w:r>
          </w:p>
        </w:tc>
        <w:tc>
          <w:tcPr>
            <w:tcW w:w="5220" w:type="dxa"/>
            <w:vAlign w:val="bottom"/>
            <w:gridSpan w:val="2"/>
          </w:tcPr>
          <w:p>
            <w:pPr>
              <w:ind w:left="280"/>
              <w:spacing w:after="0"/>
              <w:rPr>
                <w:sz w:val="20"/>
                <w:szCs w:val="20"/>
                <w:color w:val="auto"/>
              </w:rPr>
            </w:pPr>
            <w:r>
              <w:rPr>
                <w:rFonts w:ascii="Arial" w:cs="Arial" w:eastAsia="Arial" w:hAnsi="Arial"/>
                <w:sz w:val="21"/>
                <w:szCs w:val="21"/>
                <w:color w:val="auto"/>
              </w:rPr>
              <w:t>Title: Vice President</w:t>
            </w:r>
          </w:p>
        </w:tc>
      </w:tr>
      <w:tr>
        <w:trPr>
          <w:trHeight w:val="20"/>
        </w:trPr>
        <w:tc>
          <w:tcPr>
            <w:tcW w:w="58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0" w:right="9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64"/>
        </w:trPr>
        <w:tc>
          <w:tcPr>
            <w:tcW w:w="4860" w:type="dxa"/>
            <w:vAlign w:val="bottom"/>
            <w:gridSpan w:val="2"/>
          </w:tcPr>
          <w:p>
            <w:pPr>
              <w:spacing w:after="0"/>
              <w:rPr>
                <w:sz w:val="20"/>
                <w:szCs w:val="20"/>
                <w:color w:val="auto"/>
              </w:rPr>
            </w:pPr>
            <w:r>
              <w:rPr>
                <w:rFonts w:ascii="Arial" w:cs="Arial" w:eastAsia="Arial" w:hAnsi="Arial"/>
                <w:sz w:val="21"/>
                <w:szCs w:val="21"/>
                <w:color w:val="auto"/>
              </w:rPr>
              <w:t>ATTEST:</w:t>
            </w:r>
          </w:p>
        </w:tc>
        <w:tc>
          <w:tcPr>
            <w:tcW w:w="5060" w:type="dxa"/>
            <w:vAlign w:val="bottom"/>
            <w:gridSpan w:val="2"/>
          </w:tcPr>
          <w:p>
            <w:pPr>
              <w:ind w:left="280"/>
              <w:spacing w:after="0"/>
              <w:rPr>
                <w:sz w:val="20"/>
                <w:szCs w:val="20"/>
                <w:color w:val="auto"/>
              </w:rPr>
            </w:pPr>
            <w:r>
              <w:rPr>
                <w:rFonts w:ascii="Arial" w:cs="Arial" w:eastAsia="Arial" w:hAnsi="Arial"/>
                <w:sz w:val="21"/>
                <w:szCs w:val="21"/>
                <w:color w:val="auto"/>
              </w:rPr>
              <w:t>MATSON SERVICES COMPANY, INC.</w:t>
            </w:r>
          </w:p>
        </w:tc>
      </w:tr>
      <w:tr>
        <w:trPr>
          <w:trHeight w:val="721"/>
        </w:trPr>
        <w:tc>
          <w:tcPr>
            <w:tcW w:w="580" w:type="dxa"/>
            <w:vAlign w:val="bottom"/>
          </w:tcPr>
          <w:p>
            <w:pPr>
              <w:spacing w:after="0"/>
              <w:rPr>
                <w:sz w:val="20"/>
                <w:szCs w:val="20"/>
                <w:color w:val="auto"/>
              </w:rPr>
            </w:pPr>
            <w:r>
              <w:rPr>
                <w:rFonts w:ascii="Arial" w:cs="Arial" w:eastAsia="Arial" w:hAnsi="Arial"/>
                <w:sz w:val="21"/>
                <w:szCs w:val="21"/>
                <w:color w:val="auto"/>
              </w:rPr>
              <w:t>By:</w:t>
            </w:r>
          </w:p>
        </w:tc>
        <w:tc>
          <w:tcPr>
            <w:tcW w:w="428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rPr>
              <w:t>By:</w:t>
            </w:r>
          </w:p>
        </w:tc>
        <w:tc>
          <w:tcPr>
            <w:tcW w:w="4180" w:type="dxa"/>
            <w:vAlign w:val="bottom"/>
            <w:tcBorders>
              <w:bottom w:val="single" w:sz="8" w:color="auto"/>
            </w:tcBorders>
          </w:tcPr>
          <w:p>
            <w:pPr>
              <w:spacing w:after="0"/>
              <w:rPr>
                <w:sz w:val="24"/>
                <w:szCs w:val="24"/>
                <w:color w:val="auto"/>
              </w:rPr>
            </w:pPr>
          </w:p>
        </w:tc>
      </w:tr>
      <w:tr>
        <w:trPr>
          <w:trHeight w:val="479"/>
        </w:trPr>
        <w:tc>
          <w:tcPr>
            <w:tcW w:w="580" w:type="dxa"/>
            <w:vAlign w:val="bottom"/>
          </w:tcPr>
          <w:p>
            <w:pPr>
              <w:spacing w:after="0"/>
              <w:rPr>
                <w:sz w:val="20"/>
                <w:szCs w:val="20"/>
                <w:color w:val="auto"/>
              </w:rPr>
            </w:pPr>
            <w:r>
              <w:rPr>
                <w:rFonts w:ascii="Arial" w:cs="Arial" w:eastAsia="Arial" w:hAnsi="Arial"/>
                <w:sz w:val="21"/>
                <w:szCs w:val="21"/>
                <w:color w:val="auto"/>
                <w:w w:val="90"/>
              </w:rPr>
              <w:t>Name:</w:t>
            </w:r>
          </w:p>
        </w:tc>
        <w:tc>
          <w:tcPr>
            <w:tcW w:w="428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w w:val="93"/>
              </w:rPr>
              <w:t>Name:</w:t>
            </w:r>
          </w:p>
        </w:tc>
        <w:tc>
          <w:tcPr>
            <w:tcW w:w="4180" w:type="dxa"/>
            <w:vAlign w:val="bottom"/>
            <w:tcBorders>
              <w:bottom w:val="single" w:sz="8" w:color="auto"/>
            </w:tcBorders>
          </w:tcPr>
          <w:p>
            <w:pPr>
              <w:spacing w:after="0"/>
              <w:rPr>
                <w:sz w:val="24"/>
                <w:szCs w:val="24"/>
                <w:color w:val="auto"/>
              </w:rPr>
            </w:pPr>
          </w:p>
        </w:tc>
      </w:tr>
      <w:tr>
        <w:trPr>
          <w:trHeight w:val="480"/>
        </w:trPr>
        <w:tc>
          <w:tcPr>
            <w:tcW w:w="580" w:type="dxa"/>
            <w:vAlign w:val="bottom"/>
          </w:tcPr>
          <w:p>
            <w:pPr>
              <w:spacing w:after="0"/>
              <w:rPr>
                <w:sz w:val="20"/>
                <w:szCs w:val="20"/>
                <w:color w:val="auto"/>
              </w:rPr>
            </w:pPr>
            <w:r>
              <w:rPr>
                <w:rFonts w:ascii="Arial" w:cs="Arial" w:eastAsia="Arial" w:hAnsi="Arial"/>
                <w:sz w:val="21"/>
                <w:szCs w:val="21"/>
                <w:color w:val="auto"/>
              </w:rPr>
              <w:t>Title:</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Secretary</w:t>
            </w:r>
          </w:p>
        </w:tc>
        <w:tc>
          <w:tcPr>
            <w:tcW w:w="880" w:type="dxa"/>
            <w:vAlign w:val="bottom"/>
          </w:tcPr>
          <w:p>
            <w:pPr>
              <w:ind w:left="280"/>
              <w:spacing w:after="0"/>
              <w:rPr>
                <w:sz w:val="20"/>
                <w:szCs w:val="20"/>
                <w:color w:val="auto"/>
              </w:rPr>
            </w:pPr>
            <w:r>
              <w:rPr>
                <w:rFonts w:ascii="Arial" w:cs="Arial" w:eastAsia="Arial" w:hAnsi="Arial"/>
                <w:sz w:val="21"/>
                <w:szCs w:val="21"/>
                <w:color w:val="auto"/>
              </w:rPr>
              <w:t>Title:</w:t>
            </w:r>
          </w:p>
        </w:tc>
        <w:tc>
          <w:tcPr>
            <w:tcW w:w="41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Vice President</w:t>
            </w:r>
          </w:p>
        </w:tc>
      </w:tr>
      <w:tr>
        <w:trPr>
          <w:trHeight w:val="474"/>
        </w:trPr>
        <w:tc>
          <w:tcPr>
            <w:tcW w:w="4860" w:type="dxa"/>
            <w:vAlign w:val="bottom"/>
            <w:gridSpan w:val="2"/>
          </w:tcPr>
          <w:p>
            <w:pPr>
              <w:spacing w:after="0"/>
              <w:rPr>
                <w:sz w:val="20"/>
                <w:szCs w:val="20"/>
                <w:color w:val="auto"/>
              </w:rPr>
            </w:pPr>
            <w:r>
              <w:rPr>
                <w:rFonts w:ascii="Arial" w:cs="Arial" w:eastAsia="Arial" w:hAnsi="Arial"/>
                <w:sz w:val="21"/>
                <w:szCs w:val="21"/>
                <w:color w:val="auto"/>
              </w:rPr>
              <w:t>ATTEST:</w:t>
            </w:r>
          </w:p>
        </w:tc>
        <w:tc>
          <w:tcPr>
            <w:tcW w:w="5060" w:type="dxa"/>
            <w:vAlign w:val="bottom"/>
            <w:gridSpan w:val="2"/>
          </w:tcPr>
          <w:p>
            <w:pPr>
              <w:ind w:left="280"/>
              <w:spacing w:after="0"/>
              <w:rPr>
                <w:sz w:val="20"/>
                <w:szCs w:val="20"/>
                <w:color w:val="auto"/>
              </w:rPr>
            </w:pPr>
            <w:r>
              <w:rPr>
                <w:rFonts w:ascii="Arial" w:cs="Arial" w:eastAsia="Arial" w:hAnsi="Arial"/>
                <w:sz w:val="21"/>
                <w:szCs w:val="21"/>
                <w:color w:val="auto"/>
              </w:rPr>
              <w:t>MATSON TERMINALS, INC.</w:t>
            </w:r>
          </w:p>
        </w:tc>
      </w:tr>
      <w:tr>
        <w:trPr>
          <w:trHeight w:val="721"/>
        </w:trPr>
        <w:tc>
          <w:tcPr>
            <w:tcW w:w="580" w:type="dxa"/>
            <w:vAlign w:val="bottom"/>
          </w:tcPr>
          <w:p>
            <w:pPr>
              <w:spacing w:after="0"/>
              <w:rPr>
                <w:sz w:val="20"/>
                <w:szCs w:val="20"/>
                <w:color w:val="auto"/>
              </w:rPr>
            </w:pPr>
            <w:r>
              <w:rPr>
                <w:rFonts w:ascii="Arial" w:cs="Arial" w:eastAsia="Arial" w:hAnsi="Arial"/>
                <w:sz w:val="21"/>
                <w:szCs w:val="21"/>
                <w:color w:val="auto"/>
              </w:rPr>
              <w:t>By:</w:t>
            </w:r>
          </w:p>
        </w:tc>
        <w:tc>
          <w:tcPr>
            <w:tcW w:w="428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rPr>
              <w:t>By:</w:t>
            </w:r>
          </w:p>
        </w:tc>
        <w:tc>
          <w:tcPr>
            <w:tcW w:w="4180" w:type="dxa"/>
            <w:vAlign w:val="bottom"/>
            <w:tcBorders>
              <w:bottom w:val="single" w:sz="8" w:color="auto"/>
            </w:tcBorders>
          </w:tcPr>
          <w:p>
            <w:pPr>
              <w:spacing w:after="0"/>
              <w:rPr>
                <w:sz w:val="24"/>
                <w:szCs w:val="24"/>
                <w:color w:val="auto"/>
              </w:rPr>
            </w:pPr>
          </w:p>
        </w:tc>
      </w:tr>
      <w:tr>
        <w:trPr>
          <w:trHeight w:val="480"/>
        </w:trPr>
        <w:tc>
          <w:tcPr>
            <w:tcW w:w="580" w:type="dxa"/>
            <w:vAlign w:val="bottom"/>
          </w:tcPr>
          <w:p>
            <w:pPr>
              <w:spacing w:after="0"/>
              <w:rPr>
                <w:sz w:val="20"/>
                <w:szCs w:val="20"/>
                <w:color w:val="auto"/>
              </w:rPr>
            </w:pPr>
            <w:r>
              <w:rPr>
                <w:rFonts w:ascii="Arial" w:cs="Arial" w:eastAsia="Arial" w:hAnsi="Arial"/>
                <w:sz w:val="21"/>
                <w:szCs w:val="21"/>
                <w:color w:val="auto"/>
                <w:w w:val="90"/>
              </w:rPr>
              <w:t>Name:</w:t>
            </w:r>
          </w:p>
        </w:tc>
        <w:tc>
          <w:tcPr>
            <w:tcW w:w="428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w w:val="93"/>
              </w:rPr>
              <w:t>Name:</w:t>
            </w:r>
          </w:p>
        </w:tc>
        <w:tc>
          <w:tcPr>
            <w:tcW w:w="4180" w:type="dxa"/>
            <w:vAlign w:val="bottom"/>
            <w:tcBorders>
              <w:bottom w:val="single" w:sz="8" w:color="auto"/>
            </w:tcBorders>
          </w:tcPr>
          <w:p>
            <w:pPr>
              <w:spacing w:after="0"/>
              <w:rPr>
                <w:sz w:val="24"/>
                <w:szCs w:val="24"/>
                <w:color w:val="auto"/>
              </w:rPr>
            </w:pPr>
          </w:p>
        </w:tc>
      </w:tr>
      <w:tr>
        <w:trPr>
          <w:trHeight w:val="479"/>
        </w:trPr>
        <w:tc>
          <w:tcPr>
            <w:tcW w:w="580" w:type="dxa"/>
            <w:vAlign w:val="bottom"/>
          </w:tcPr>
          <w:p>
            <w:pPr>
              <w:spacing w:after="0"/>
              <w:rPr>
                <w:sz w:val="20"/>
                <w:szCs w:val="20"/>
                <w:color w:val="auto"/>
              </w:rPr>
            </w:pPr>
            <w:r>
              <w:rPr>
                <w:rFonts w:ascii="Arial" w:cs="Arial" w:eastAsia="Arial" w:hAnsi="Arial"/>
                <w:sz w:val="21"/>
                <w:szCs w:val="21"/>
                <w:color w:val="auto"/>
              </w:rPr>
              <w:t>Title:</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Secretary</w:t>
            </w:r>
          </w:p>
        </w:tc>
        <w:tc>
          <w:tcPr>
            <w:tcW w:w="880" w:type="dxa"/>
            <w:vAlign w:val="bottom"/>
          </w:tcPr>
          <w:p>
            <w:pPr>
              <w:ind w:left="280"/>
              <w:spacing w:after="0"/>
              <w:rPr>
                <w:sz w:val="20"/>
                <w:szCs w:val="20"/>
                <w:color w:val="auto"/>
              </w:rPr>
            </w:pPr>
            <w:r>
              <w:rPr>
                <w:rFonts w:ascii="Arial" w:cs="Arial" w:eastAsia="Arial" w:hAnsi="Arial"/>
                <w:sz w:val="21"/>
                <w:szCs w:val="21"/>
                <w:color w:val="auto"/>
              </w:rPr>
              <w:t>Title:</w:t>
            </w:r>
          </w:p>
        </w:tc>
        <w:tc>
          <w:tcPr>
            <w:tcW w:w="41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Vice President</w:t>
            </w:r>
          </w:p>
        </w:tc>
      </w:tr>
      <w:tr>
        <w:trPr>
          <w:trHeight w:val="501"/>
        </w:trPr>
        <w:tc>
          <w:tcPr>
            <w:tcW w:w="4860" w:type="dxa"/>
            <w:vAlign w:val="bottom"/>
            <w:gridSpan w:val="2"/>
          </w:tcPr>
          <w:p>
            <w:pPr>
              <w:spacing w:after="0"/>
              <w:rPr>
                <w:sz w:val="20"/>
                <w:szCs w:val="20"/>
                <w:color w:val="auto"/>
              </w:rPr>
            </w:pPr>
            <w:r>
              <w:rPr>
                <w:rFonts w:ascii="Arial" w:cs="Arial" w:eastAsia="Arial" w:hAnsi="Arial"/>
                <w:sz w:val="21"/>
                <w:szCs w:val="21"/>
                <w:color w:val="auto"/>
              </w:rPr>
              <w:t>Approved as to form:</w:t>
            </w:r>
          </w:p>
        </w:tc>
        <w:tc>
          <w:tcPr>
            <w:tcW w:w="88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9525</wp:posOffset>
            </wp:positionV>
            <wp:extent cx="29400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21"/>
          <w:szCs w:val="21"/>
          <w:color w:val="auto"/>
        </w:rPr>
        <w:t>Assistant Chief Counsel</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21"/>
          <w:szCs w:val="21"/>
          <w:color w:val="auto"/>
        </w:rPr>
        <w:t>Maritime Administration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0" w:right="999" w:bottom="1440" w:gutter="0" w:footer="0" w:header="0"/>
        </w:sectPr>
      </w:pPr>
    </w:p>
    <w:bookmarkStart w:id="108" w:name="page109"/>
    <w:bookmarkEnd w:id="108"/>
    <w:p>
      <w:pPr>
        <w:ind w:left="7360"/>
        <w:spacing w:after="0"/>
        <w:rPr>
          <w:sz w:val="20"/>
          <w:szCs w:val="20"/>
          <w:color w:val="auto"/>
        </w:rPr>
      </w:pPr>
      <w:r>
        <w:rPr>
          <w:rFonts w:ascii="Arial" w:cs="Arial" w:eastAsia="Arial" w:hAnsi="Arial"/>
          <w:sz w:val="21"/>
          <w:szCs w:val="21"/>
          <w:color w:val="auto"/>
        </w:rPr>
        <w:t>Counterpart II</w:t>
      </w:r>
    </w:p>
    <w:p>
      <w:pPr>
        <w:spacing w:after="0" w:line="20" w:lineRule="exact"/>
        <w:rPr>
          <w:sz w:val="20"/>
          <w:szCs w:val="20"/>
          <w:color w:val="auto"/>
        </w:rPr>
      </w:pPr>
    </w:p>
    <w:p>
      <w:pPr>
        <w:ind w:left="7360"/>
        <w:spacing w:after="0"/>
        <w:rPr>
          <w:sz w:val="20"/>
          <w:szCs w:val="20"/>
          <w:color w:val="auto"/>
        </w:rPr>
      </w:pPr>
      <w:r>
        <w:rPr>
          <w:rFonts w:ascii="Arial" w:cs="Arial" w:eastAsia="Arial" w:hAnsi="Arial"/>
          <w:sz w:val="21"/>
          <w:szCs w:val="21"/>
          <w:color w:val="auto"/>
        </w:rPr>
        <w:t>Addendum No. 20</w:t>
      </w:r>
    </w:p>
    <w:p>
      <w:pPr>
        <w:spacing w:after="0" w:line="2" w:lineRule="exact"/>
        <w:rPr>
          <w:sz w:val="20"/>
          <w:szCs w:val="20"/>
          <w:color w:val="auto"/>
        </w:rPr>
      </w:pPr>
    </w:p>
    <w:p>
      <w:pPr>
        <w:ind w:left="7360"/>
        <w:spacing w:after="0"/>
        <w:rPr>
          <w:sz w:val="20"/>
          <w:szCs w:val="20"/>
          <w:color w:val="auto"/>
        </w:rPr>
      </w:pPr>
      <w:r>
        <w:rPr>
          <w:rFonts w:ascii="Arial" w:cs="Arial" w:eastAsia="Arial" w:hAnsi="Arial"/>
          <w:sz w:val="19"/>
          <w:szCs w:val="19"/>
          <w:color w:val="auto"/>
        </w:rPr>
        <w:t>Contract No. MA/CCF-316</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FORM OF ADDENDUM TO</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MARITIME ADMINISTRATION</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CAPITAL CONSTRUCTION FUND AGREEMENT</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WITH</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MATSON NAVIGATION COMPANY, INC.</w:t>
      </w:r>
    </w:p>
    <w:p>
      <w:pPr>
        <w:spacing w:after="0" w:line="227"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color w:val="auto"/>
        </w:rPr>
        <w:t>This Addendum is made by and among the Maritime Administrator (the “Administrator”) and Matson Navigation Company, Inc. (individually “Matson”) and certain wholly-owned subsidiaries or sub-subsidiaries thereof, Matson Agencies, Inc., Matson Freight Agencies, Inc., Matson Freight Agencies (Eastern), Inc., Matson Intermodal System, Inc., Matson Leasing Company, Inc., Matson Services Company, Inc., and Matson Terminals, Inc. (Matson and such subsidiaries referred to collectively as the “Party”), each of which is a citizen of the United States, as an addendum to that certain Capital Construction Fund Agreement Contract No. MA/CCF-316 (the “Agreement”).</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color w:val="auto"/>
        </w:rPr>
        <w:t>WHEREAS:</w:t>
      </w:r>
    </w:p>
    <w:p>
      <w:pPr>
        <w:spacing w:after="0" w:line="245" w:lineRule="exact"/>
        <w:rPr>
          <w:sz w:val="20"/>
          <w:szCs w:val="20"/>
          <w:color w:val="auto"/>
        </w:rPr>
      </w:pPr>
    </w:p>
    <w:p>
      <w:pPr>
        <w:ind w:right="480" w:firstLine="8"/>
        <w:spacing w:after="0" w:line="264" w:lineRule="auto"/>
        <w:tabs>
          <w:tab w:leader="none" w:pos="648"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Administrator and Matson entered into the Agreement on September 21, 1976, under Section 607, Merchant Marine Act, 1936, as amended (the “Act”);</w:t>
      </w:r>
    </w:p>
    <w:p>
      <w:pPr>
        <w:spacing w:after="0" w:line="197" w:lineRule="exact"/>
        <w:rPr>
          <w:rFonts w:ascii="Arial" w:cs="Arial" w:eastAsia="Arial" w:hAnsi="Arial"/>
          <w:sz w:val="21"/>
          <w:szCs w:val="21"/>
          <w:color w:val="auto"/>
        </w:rPr>
      </w:pPr>
    </w:p>
    <w:p>
      <w:pPr>
        <w:ind w:right="780" w:firstLine="8"/>
        <w:spacing w:after="0" w:line="264" w:lineRule="auto"/>
        <w:tabs>
          <w:tab w:leader="none" w:pos="648"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Administrator approved the addition of each of the following subsidiaries to the Agreement on February 23, 1989;</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Matson Agencies,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Matson Freight Agencies,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Matson Freight Agencies (Eastern),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Matson Intermodal System,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Matson Services Company,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Matson Terminals,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923925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40"/>
          </w:cols>
          <w:pgMar w:left="980" w:top="896" w:right="1279" w:bottom="1440" w:gutter="0" w:footer="0" w:header="0"/>
        </w:sectPr>
      </w:pPr>
    </w:p>
    <w:bookmarkStart w:id="109" w:name="page110"/>
    <w:bookmarkEnd w:id="109"/>
    <w:p>
      <w:pPr>
        <w:ind w:right="2580" w:firstLine="8"/>
        <w:spacing w:after="0" w:line="507" w:lineRule="auto"/>
        <w:tabs>
          <w:tab w:leader="none" w:pos="648"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parties hereto desire to amend the Agreement as set forth in this Addendum. NOW, THEREFORE, the Administrator and the Party agree as follows:</w:t>
      </w:r>
    </w:p>
    <w:p>
      <w:pPr>
        <w:ind w:left="660" w:hanging="652"/>
        <w:spacing w:after="0"/>
        <w:tabs>
          <w:tab w:leader="none" w:pos="66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Effective for Matson’s 1989 tax year, the agreement is amended as follows:</w:t>
      </w:r>
    </w:p>
    <w:p>
      <w:pPr>
        <w:spacing w:after="0" w:line="245"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Matson Leasing Company, Inc. is added as a party to the Agreement.</w:t>
      </w:r>
    </w:p>
    <w:p>
      <w:pPr>
        <w:spacing w:after="0" w:line="244" w:lineRule="exact"/>
        <w:rPr>
          <w:rFonts w:ascii="Arial" w:cs="Arial" w:eastAsia="Arial" w:hAnsi="Arial"/>
          <w:sz w:val="21"/>
          <w:szCs w:val="21"/>
          <w:color w:val="auto"/>
        </w:rPr>
      </w:pPr>
    </w:p>
    <w:p>
      <w:pPr>
        <w:ind w:right="540" w:firstLine="8"/>
        <w:spacing w:after="0" w:line="348" w:lineRule="auto"/>
        <w:tabs>
          <w:tab w:leader="none" w:pos="6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Matson Leasing Company, Inc. agrees to be bound by all the provisions of Contract No. MA/CCF-316 as heretofore amended, and the Act applicable thereto, and the rules and regulations issued pursuant to the Act.</w:t>
      </w:r>
    </w:p>
    <w:p>
      <w:pPr>
        <w:spacing w:after="0" w:line="129" w:lineRule="exact"/>
        <w:rPr>
          <w:sz w:val="20"/>
          <w:szCs w:val="20"/>
          <w:color w:val="auto"/>
        </w:rPr>
      </w:pPr>
    </w:p>
    <w:p>
      <w:pPr>
        <w:ind w:right="440" w:firstLine="8"/>
        <w:spacing w:after="0" w:line="264" w:lineRule="auto"/>
        <w:tabs>
          <w:tab w:leader="none" w:pos="648" w:val="left"/>
        </w:tabs>
        <w:numPr>
          <w:ilvl w:val="0"/>
          <w:numId w:val="137"/>
        </w:numPr>
        <w:rPr>
          <w:rFonts w:ascii="Arial" w:cs="Arial" w:eastAsia="Arial" w:hAnsi="Arial"/>
          <w:sz w:val="21"/>
          <w:szCs w:val="21"/>
          <w:color w:val="auto"/>
        </w:rPr>
      </w:pPr>
      <w:r>
        <w:rPr>
          <w:rFonts w:ascii="Arial" w:cs="Arial" w:eastAsia="Arial" w:hAnsi="Arial"/>
          <w:sz w:val="21"/>
          <w:szCs w:val="21"/>
          <w:color w:val="auto"/>
        </w:rPr>
        <w:t>Except as herein otherwise expressly provided, the Agreement, as heretofore amended, shall remain in full force and effect.</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IN WITNESS WHEREOF, the parties hereto have executed this Addendum No. 20, in four counterparts, effective as of May 8, 1989 and actually on the 23rd day of July, 1990.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5020" w:type="dxa"/>
            <w:vAlign w:val="bottom"/>
            <w:gridSpan w:val="3"/>
          </w:tcPr>
          <w:p>
            <w:pPr>
              <w:ind w:left="220"/>
              <w:spacing w:after="0"/>
              <w:rPr>
                <w:sz w:val="20"/>
                <w:szCs w:val="20"/>
                <w:color w:val="auto"/>
              </w:rPr>
            </w:pPr>
            <w:r>
              <w:rPr>
                <w:rFonts w:ascii="Arial" w:cs="Arial" w:eastAsia="Arial" w:hAnsi="Arial"/>
                <w:sz w:val="21"/>
                <w:szCs w:val="21"/>
                <w:color w:val="auto"/>
              </w:rPr>
              <w:t>UNITED STATES OF AMERICA</w:t>
            </w:r>
          </w:p>
        </w:tc>
      </w:tr>
      <w:tr>
        <w:trPr>
          <w:trHeight w:val="243"/>
        </w:trPr>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5020" w:type="dxa"/>
            <w:vAlign w:val="bottom"/>
            <w:gridSpan w:val="3"/>
          </w:tcPr>
          <w:p>
            <w:pPr>
              <w:ind w:left="220"/>
              <w:spacing w:after="0"/>
              <w:rPr>
                <w:sz w:val="20"/>
                <w:szCs w:val="20"/>
                <w:color w:val="auto"/>
              </w:rPr>
            </w:pPr>
            <w:r>
              <w:rPr>
                <w:rFonts w:ascii="Arial" w:cs="Arial" w:eastAsia="Arial" w:hAnsi="Arial"/>
                <w:sz w:val="21"/>
                <w:szCs w:val="21"/>
                <w:color w:val="auto"/>
              </w:rPr>
              <w:t>SECRETARY OF TRANSPORTATION</w:t>
            </w:r>
          </w:p>
        </w:tc>
      </w:tr>
      <w:tr>
        <w:trPr>
          <w:trHeight w:val="264"/>
        </w:trPr>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5020" w:type="dxa"/>
            <w:vAlign w:val="bottom"/>
            <w:gridSpan w:val="3"/>
          </w:tcPr>
          <w:p>
            <w:pPr>
              <w:ind w:left="220"/>
              <w:spacing w:after="0"/>
              <w:rPr>
                <w:sz w:val="20"/>
                <w:szCs w:val="20"/>
                <w:color w:val="auto"/>
              </w:rPr>
            </w:pPr>
            <w:r>
              <w:rPr>
                <w:rFonts w:ascii="Arial" w:cs="Arial" w:eastAsia="Arial" w:hAnsi="Arial"/>
                <w:sz w:val="21"/>
                <w:szCs w:val="21"/>
                <w:color w:val="auto"/>
              </w:rPr>
              <w:t>MARITIME ADMINISTRATION</w:t>
            </w:r>
          </w:p>
        </w:tc>
      </w:tr>
      <w:tr>
        <w:trPr>
          <w:trHeight w:val="478"/>
        </w:trPr>
        <w:tc>
          <w:tcPr>
            <w:tcW w:w="4900" w:type="dxa"/>
            <w:vAlign w:val="bottom"/>
            <w:gridSpan w:val="3"/>
          </w:tcPr>
          <w:p>
            <w:pPr>
              <w:spacing w:after="0"/>
              <w:rPr>
                <w:sz w:val="20"/>
                <w:szCs w:val="20"/>
                <w:color w:val="auto"/>
              </w:rPr>
            </w:pPr>
            <w:r>
              <w:rPr>
                <w:rFonts w:ascii="Arial" w:cs="Arial" w:eastAsia="Arial" w:hAnsi="Arial"/>
                <w:sz w:val="21"/>
                <w:szCs w:val="21"/>
                <w:color w:val="auto"/>
              </w:rPr>
              <w:t>By:</w:t>
            </w:r>
          </w:p>
        </w:tc>
        <w:tc>
          <w:tcPr>
            <w:tcW w:w="5020" w:type="dxa"/>
            <w:vAlign w:val="bottom"/>
            <w:gridSpan w:val="3"/>
          </w:tcPr>
          <w:p>
            <w:pPr>
              <w:ind w:left="220"/>
              <w:spacing w:after="0"/>
              <w:rPr>
                <w:sz w:val="20"/>
                <w:szCs w:val="20"/>
                <w:color w:val="auto"/>
              </w:rPr>
            </w:pPr>
            <w:r>
              <w:rPr>
                <w:rFonts w:ascii="Arial" w:cs="Arial" w:eastAsia="Arial" w:hAnsi="Arial"/>
                <w:sz w:val="21"/>
                <w:szCs w:val="21"/>
                <w:color w:val="auto"/>
              </w:rPr>
              <w:t>By:</w:t>
            </w:r>
          </w:p>
        </w:tc>
      </w:tr>
      <w:tr>
        <w:trPr>
          <w:trHeight w:val="223"/>
        </w:trPr>
        <w:tc>
          <w:tcPr>
            <w:tcW w:w="580" w:type="dxa"/>
            <w:vAlign w:val="bottom"/>
          </w:tcPr>
          <w:p>
            <w:pPr>
              <w:spacing w:after="0"/>
              <w:rPr>
                <w:sz w:val="19"/>
                <w:szCs w:val="19"/>
                <w:color w:val="auto"/>
              </w:rPr>
            </w:pPr>
          </w:p>
        </w:tc>
        <w:tc>
          <w:tcPr>
            <w:tcW w:w="4320" w:type="dxa"/>
            <w:vAlign w:val="bottom"/>
            <w:tcBorders>
              <w:top w:val="single" w:sz="8" w:color="auto"/>
            </w:tcBorders>
            <w:gridSpan w:val="2"/>
          </w:tcPr>
          <w:p>
            <w:pPr>
              <w:ind w:left="20"/>
              <w:spacing w:after="0" w:line="223" w:lineRule="exact"/>
              <w:rPr>
                <w:sz w:val="20"/>
                <w:szCs w:val="20"/>
                <w:color w:val="auto"/>
              </w:rPr>
            </w:pPr>
            <w:r>
              <w:rPr>
                <w:rFonts w:ascii="Arial" w:cs="Arial" w:eastAsia="Arial" w:hAnsi="Arial"/>
                <w:sz w:val="21"/>
                <w:szCs w:val="21"/>
                <w:color w:val="auto"/>
              </w:rPr>
              <w:t>Secretary</w:t>
            </w:r>
          </w:p>
        </w:tc>
        <w:tc>
          <w:tcPr>
            <w:tcW w:w="800" w:type="dxa"/>
            <w:vAlign w:val="bottom"/>
          </w:tcPr>
          <w:p>
            <w:pPr>
              <w:spacing w:after="0"/>
              <w:rPr>
                <w:sz w:val="19"/>
                <w:szCs w:val="19"/>
                <w:color w:val="auto"/>
              </w:rPr>
            </w:pPr>
          </w:p>
        </w:tc>
        <w:tc>
          <w:tcPr>
            <w:tcW w:w="422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1"/>
                <w:szCs w:val="21"/>
                <w:color w:val="auto"/>
              </w:rPr>
              <w:t>Contracting Officer</w:t>
            </w:r>
          </w:p>
        </w:tc>
      </w:tr>
      <w:tr>
        <w:trPr>
          <w:trHeight w:val="264"/>
        </w:trPr>
        <w:tc>
          <w:tcPr>
            <w:tcW w:w="580" w:type="dxa"/>
            <w:vAlign w:val="bottom"/>
          </w:tcPr>
          <w:p>
            <w:pPr>
              <w:spacing w:after="0"/>
              <w:rPr>
                <w:sz w:val="22"/>
                <w:szCs w:val="22"/>
                <w:color w:val="auto"/>
              </w:rPr>
            </w:pPr>
          </w:p>
        </w:tc>
        <w:tc>
          <w:tcPr>
            <w:tcW w:w="4320" w:type="dxa"/>
            <w:vAlign w:val="bottom"/>
            <w:gridSpan w:val="2"/>
          </w:tcPr>
          <w:p>
            <w:pPr>
              <w:ind w:left="20"/>
              <w:spacing w:after="0"/>
              <w:rPr>
                <w:sz w:val="20"/>
                <w:szCs w:val="20"/>
                <w:color w:val="auto"/>
              </w:rPr>
            </w:pPr>
            <w:r>
              <w:rPr>
                <w:rFonts w:ascii="Arial" w:cs="Arial" w:eastAsia="Arial" w:hAnsi="Arial"/>
                <w:sz w:val="21"/>
                <w:szCs w:val="21"/>
                <w:color w:val="auto"/>
              </w:rPr>
              <w:t>Maritime Administration</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r>
      <w:tr>
        <w:trPr>
          <w:trHeight w:val="486"/>
        </w:trPr>
        <w:tc>
          <w:tcPr>
            <w:tcW w:w="4900" w:type="dxa"/>
            <w:vAlign w:val="bottom"/>
            <w:gridSpan w:val="3"/>
          </w:tcPr>
          <w:p>
            <w:pPr>
              <w:spacing w:after="0"/>
              <w:rPr>
                <w:sz w:val="20"/>
                <w:szCs w:val="20"/>
                <w:color w:val="auto"/>
              </w:rPr>
            </w:pPr>
            <w:r>
              <w:rPr>
                <w:rFonts w:ascii="Arial" w:cs="Arial" w:eastAsia="Arial" w:hAnsi="Arial"/>
                <w:sz w:val="21"/>
                <w:szCs w:val="21"/>
                <w:color w:val="auto"/>
              </w:rPr>
              <w:t>ATTEST:</w:t>
            </w:r>
          </w:p>
        </w:tc>
        <w:tc>
          <w:tcPr>
            <w:tcW w:w="5020" w:type="dxa"/>
            <w:vAlign w:val="bottom"/>
            <w:gridSpan w:val="3"/>
          </w:tcPr>
          <w:p>
            <w:pPr>
              <w:ind w:left="220"/>
              <w:spacing w:after="0"/>
              <w:rPr>
                <w:sz w:val="20"/>
                <w:szCs w:val="20"/>
                <w:color w:val="auto"/>
              </w:rPr>
            </w:pPr>
            <w:r>
              <w:rPr>
                <w:rFonts w:ascii="Arial" w:cs="Arial" w:eastAsia="Arial" w:hAnsi="Arial"/>
                <w:sz w:val="21"/>
                <w:szCs w:val="21"/>
                <w:color w:val="auto"/>
              </w:rPr>
              <w:t>MATSON NAVIGATION COMPANY, INC.</w:t>
            </w:r>
          </w:p>
        </w:tc>
      </w:tr>
      <w:tr>
        <w:trPr>
          <w:trHeight w:val="478"/>
        </w:trPr>
        <w:tc>
          <w:tcPr>
            <w:tcW w:w="600" w:type="dxa"/>
            <w:vAlign w:val="bottom"/>
            <w:gridSpan w:val="2"/>
          </w:tcPr>
          <w:p>
            <w:pPr>
              <w:spacing w:after="0"/>
              <w:rPr>
                <w:sz w:val="20"/>
                <w:szCs w:val="20"/>
                <w:color w:val="auto"/>
              </w:rPr>
            </w:pPr>
            <w:r>
              <w:rPr>
                <w:rFonts w:ascii="Arial" w:cs="Arial" w:eastAsia="Arial" w:hAnsi="Arial"/>
                <w:sz w:val="21"/>
                <w:szCs w:val="21"/>
                <w:color w:val="auto"/>
              </w:rPr>
              <w:t>By:</w:t>
            </w:r>
          </w:p>
        </w:tc>
        <w:tc>
          <w:tcPr>
            <w:tcW w:w="4300" w:type="dxa"/>
            <w:vAlign w:val="bottom"/>
            <w:tcBorders>
              <w:bottom w:val="single" w:sz="8" w:color="auto"/>
            </w:tcBorders>
          </w:tcPr>
          <w:p>
            <w:pPr>
              <w:spacing w:after="0"/>
              <w:rPr>
                <w:sz w:val="24"/>
                <w:szCs w:val="24"/>
                <w:color w:val="auto"/>
              </w:rPr>
            </w:pPr>
          </w:p>
        </w:tc>
        <w:tc>
          <w:tcPr>
            <w:tcW w:w="820" w:type="dxa"/>
            <w:vAlign w:val="bottom"/>
            <w:gridSpan w:val="2"/>
          </w:tcPr>
          <w:p>
            <w:pPr>
              <w:ind w:left="220"/>
              <w:spacing w:after="0"/>
              <w:rPr>
                <w:sz w:val="20"/>
                <w:szCs w:val="20"/>
                <w:color w:val="auto"/>
              </w:rPr>
            </w:pPr>
            <w:r>
              <w:rPr>
                <w:rFonts w:ascii="Arial" w:cs="Arial" w:eastAsia="Arial" w:hAnsi="Arial"/>
                <w:sz w:val="21"/>
                <w:szCs w:val="21"/>
                <w:color w:val="auto"/>
              </w:rPr>
              <w:t>By:</w:t>
            </w:r>
          </w:p>
        </w:tc>
        <w:tc>
          <w:tcPr>
            <w:tcW w:w="4200" w:type="dxa"/>
            <w:vAlign w:val="bottom"/>
            <w:tcBorders>
              <w:bottom w:val="single" w:sz="8" w:color="auto"/>
            </w:tcBorders>
          </w:tcPr>
          <w:p>
            <w:pPr>
              <w:spacing w:after="0"/>
              <w:rPr>
                <w:sz w:val="24"/>
                <w:szCs w:val="24"/>
                <w:color w:val="auto"/>
              </w:rPr>
            </w:pPr>
          </w:p>
        </w:tc>
      </w:tr>
      <w:tr>
        <w:trPr>
          <w:trHeight w:val="480"/>
        </w:trPr>
        <w:tc>
          <w:tcPr>
            <w:tcW w:w="4900" w:type="dxa"/>
            <w:vAlign w:val="bottom"/>
            <w:gridSpan w:val="3"/>
          </w:tcPr>
          <w:p>
            <w:pPr>
              <w:spacing w:after="0"/>
              <w:rPr>
                <w:sz w:val="20"/>
                <w:szCs w:val="20"/>
                <w:color w:val="auto"/>
              </w:rPr>
            </w:pPr>
            <w:r>
              <w:rPr>
                <w:rFonts w:ascii="Arial" w:cs="Arial" w:eastAsia="Arial" w:hAnsi="Arial"/>
                <w:sz w:val="21"/>
                <w:szCs w:val="21"/>
                <w:color w:val="auto"/>
              </w:rPr>
              <w:t>Name:</w:t>
            </w:r>
          </w:p>
        </w:tc>
        <w:tc>
          <w:tcPr>
            <w:tcW w:w="5020" w:type="dxa"/>
            <w:vAlign w:val="bottom"/>
            <w:gridSpan w:val="3"/>
          </w:tcPr>
          <w:p>
            <w:pPr>
              <w:ind w:left="220"/>
              <w:spacing w:after="0"/>
              <w:rPr>
                <w:sz w:val="20"/>
                <w:szCs w:val="20"/>
                <w:color w:val="auto"/>
              </w:rPr>
            </w:pPr>
            <w:r>
              <w:rPr>
                <w:rFonts w:ascii="Arial" w:cs="Arial" w:eastAsia="Arial" w:hAnsi="Arial"/>
                <w:sz w:val="21"/>
                <w:szCs w:val="21"/>
                <w:color w:val="auto"/>
              </w:rPr>
              <w:t>Name:</w:t>
            </w:r>
          </w:p>
        </w:tc>
      </w:tr>
      <w:tr>
        <w:trPr>
          <w:trHeight w:val="258"/>
        </w:trPr>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0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r>
      <w:tr>
        <w:trPr>
          <w:trHeight w:val="465"/>
        </w:trPr>
        <w:tc>
          <w:tcPr>
            <w:tcW w:w="4900" w:type="dxa"/>
            <w:vAlign w:val="bottom"/>
            <w:gridSpan w:val="3"/>
          </w:tcPr>
          <w:p>
            <w:pPr>
              <w:spacing w:after="0"/>
              <w:rPr>
                <w:sz w:val="20"/>
                <w:szCs w:val="20"/>
                <w:color w:val="auto"/>
              </w:rPr>
            </w:pPr>
            <w:r>
              <w:rPr>
                <w:rFonts w:ascii="Arial" w:cs="Arial" w:eastAsia="Arial" w:hAnsi="Arial"/>
                <w:sz w:val="21"/>
                <w:szCs w:val="21"/>
                <w:color w:val="auto"/>
              </w:rPr>
              <w:t>Title:  Assistant Secretary</w:t>
            </w:r>
          </w:p>
        </w:tc>
        <w:tc>
          <w:tcPr>
            <w:tcW w:w="5020" w:type="dxa"/>
            <w:vAlign w:val="bottom"/>
            <w:gridSpan w:val="3"/>
          </w:tcPr>
          <w:p>
            <w:pPr>
              <w:ind w:left="220"/>
              <w:spacing w:after="0"/>
              <w:rPr>
                <w:sz w:val="20"/>
                <w:szCs w:val="20"/>
                <w:color w:val="auto"/>
              </w:rPr>
            </w:pPr>
            <w:r>
              <w:rPr>
                <w:rFonts w:ascii="Arial" w:cs="Arial" w:eastAsia="Arial" w:hAnsi="Arial"/>
                <w:sz w:val="21"/>
                <w:szCs w:val="21"/>
                <w:color w:val="auto"/>
              </w:rPr>
              <w:t>Title:  Senior Vice President</w:t>
            </w:r>
          </w:p>
        </w:tc>
      </w:tr>
      <w:tr>
        <w:trPr>
          <w:trHeight w:val="258"/>
        </w:trPr>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0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2" w:right="9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64"/>
        </w:trPr>
        <w:tc>
          <w:tcPr>
            <w:tcW w:w="4800" w:type="dxa"/>
            <w:vAlign w:val="bottom"/>
            <w:gridSpan w:val="3"/>
          </w:tcPr>
          <w:p>
            <w:pPr>
              <w:spacing w:after="0"/>
              <w:rPr>
                <w:sz w:val="20"/>
                <w:szCs w:val="20"/>
                <w:color w:val="auto"/>
              </w:rPr>
            </w:pPr>
            <w:r>
              <w:rPr>
                <w:rFonts w:ascii="Arial" w:cs="Arial" w:eastAsia="Arial" w:hAnsi="Arial"/>
                <w:sz w:val="21"/>
                <w:szCs w:val="21"/>
                <w:color w:val="auto"/>
              </w:rPr>
              <w:t>ATTEST:</w:t>
            </w:r>
          </w:p>
        </w:tc>
        <w:tc>
          <w:tcPr>
            <w:tcW w:w="5120" w:type="dxa"/>
            <w:vAlign w:val="bottom"/>
            <w:gridSpan w:val="3"/>
          </w:tcPr>
          <w:p>
            <w:pPr>
              <w:ind w:left="280"/>
              <w:spacing w:after="0"/>
              <w:rPr>
                <w:sz w:val="20"/>
                <w:szCs w:val="20"/>
                <w:color w:val="auto"/>
              </w:rPr>
            </w:pPr>
            <w:r>
              <w:rPr>
                <w:rFonts w:ascii="Arial" w:cs="Arial" w:eastAsia="Arial" w:hAnsi="Arial"/>
                <w:sz w:val="21"/>
                <w:szCs w:val="21"/>
                <w:color w:val="auto"/>
              </w:rPr>
              <w:t>MATSON AGENCIES, INC.</w:t>
            </w:r>
          </w:p>
        </w:tc>
      </w:tr>
      <w:tr>
        <w:trPr>
          <w:trHeight w:val="478"/>
        </w:trPr>
        <w:tc>
          <w:tcPr>
            <w:tcW w:w="560" w:type="dxa"/>
            <w:vAlign w:val="bottom"/>
          </w:tcPr>
          <w:p>
            <w:pPr>
              <w:spacing w:after="0"/>
              <w:rPr>
                <w:sz w:val="20"/>
                <w:szCs w:val="20"/>
                <w:color w:val="auto"/>
              </w:rPr>
            </w:pPr>
            <w:r>
              <w:rPr>
                <w:rFonts w:ascii="Arial" w:cs="Arial" w:eastAsia="Arial" w:hAnsi="Arial"/>
                <w:sz w:val="21"/>
                <w:szCs w:val="21"/>
                <w:color w:val="auto"/>
              </w:rPr>
              <w:t>By:</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rPr>
              <w:t>By:</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480"/>
        </w:trPr>
        <w:tc>
          <w:tcPr>
            <w:tcW w:w="560" w:type="dxa"/>
            <w:vAlign w:val="bottom"/>
          </w:tcPr>
          <w:p>
            <w:pPr>
              <w:spacing w:after="0"/>
              <w:rPr>
                <w:sz w:val="20"/>
                <w:szCs w:val="20"/>
                <w:color w:val="auto"/>
              </w:rPr>
            </w:pPr>
            <w:r>
              <w:rPr>
                <w:rFonts w:ascii="Arial" w:cs="Arial" w:eastAsia="Arial" w:hAnsi="Arial"/>
                <w:sz w:val="21"/>
                <w:szCs w:val="21"/>
                <w:color w:val="auto"/>
                <w:w w:val="87"/>
              </w:rPr>
              <w:t>Name:</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w w:val="93"/>
              </w:rPr>
              <w:t>Name:</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258"/>
        </w:trPr>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1"/>
                <w:szCs w:val="21"/>
                <w:color w:val="auto"/>
              </w:rPr>
              <w:t>(print or type)</w:t>
            </w:r>
          </w:p>
        </w:tc>
      </w:tr>
      <w:tr>
        <w:trPr>
          <w:trHeight w:val="465"/>
        </w:trPr>
        <w:tc>
          <w:tcPr>
            <w:tcW w:w="560" w:type="dxa"/>
            <w:vAlign w:val="bottom"/>
          </w:tcPr>
          <w:p>
            <w:pPr>
              <w:spacing w:after="0"/>
              <w:rPr>
                <w:sz w:val="20"/>
                <w:szCs w:val="20"/>
                <w:color w:val="auto"/>
              </w:rPr>
            </w:pPr>
            <w:r>
              <w:rPr>
                <w:rFonts w:ascii="Arial" w:cs="Arial" w:eastAsia="Arial" w:hAnsi="Arial"/>
                <w:sz w:val="21"/>
                <w:szCs w:val="21"/>
                <w:color w:val="auto"/>
              </w:rPr>
              <w:t>Title:</w:t>
            </w:r>
          </w:p>
        </w:tc>
        <w:tc>
          <w:tcPr>
            <w:tcW w:w="4240" w:type="dxa"/>
            <w:vAlign w:val="bottom"/>
            <w:gridSpan w:val="2"/>
          </w:tcPr>
          <w:p>
            <w:pPr>
              <w:ind w:left="20"/>
              <w:spacing w:after="0"/>
              <w:rPr>
                <w:sz w:val="20"/>
                <w:szCs w:val="20"/>
                <w:color w:val="auto"/>
              </w:rPr>
            </w:pPr>
            <w:r>
              <w:rPr>
                <w:rFonts w:ascii="Arial" w:cs="Arial" w:eastAsia="Arial" w:hAnsi="Arial"/>
                <w:sz w:val="21"/>
                <w:szCs w:val="21"/>
                <w:color w:val="auto"/>
              </w:rPr>
              <w:t>Secretary</w:t>
            </w:r>
          </w:p>
        </w:tc>
        <w:tc>
          <w:tcPr>
            <w:tcW w:w="880" w:type="dxa"/>
            <w:vAlign w:val="bottom"/>
          </w:tcPr>
          <w:p>
            <w:pPr>
              <w:ind w:left="280"/>
              <w:spacing w:after="0"/>
              <w:rPr>
                <w:sz w:val="20"/>
                <w:szCs w:val="20"/>
                <w:color w:val="auto"/>
              </w:rPr>
            </w:pPr>
            <w:r>
              <w:rPr>
                <w:rFonts w:ascii="Arial" w:cs="Arial" w:eastAsia="Arial" w:hAnsi="Arial"/>
                <w:sz w:val="21"/>
                <w:szCs w:val="21"/>
                <w:color w:val="auto"/>
              </w:rPr>
              <w:t>Title:</w:t>
            </w:r>
          </w:p>
        </w:tc>
        <w:tc>
          <w:tcPr>
            <w:tcW w:w="4240" w:type="dxa"/>
            <w:vAlign w:val="bottom"/>
            <w:gridSpan w:val="2"/>
          </w:tcPr>
          <w:p>
            <w:pPr>
              <w:spacing w:after="0"/>
              <w:rPr>
                <w:sz w:val="20"/>
                <w:szCs w:val="20"/>
                <w:color w:val="auto"/>
              </w:rPr>
            </w:pPr>
            <w:r>
              <w:rPr>
                <w:rFonts w:ascii="Arial" w:cs="Arial" w:eastAsia="Arial" w:hAnsi="Arial"/>
                <w:sz w:val="21"/>
                <w:szCs w:val="21"/>
                <w:color w:val="auto"/>
              </w:rPr>
              <w:t>Vice President</w:t>
            </w:r>
          </w:p>
        </w:tc>
      </w:tr>
      <w:tr>
        <w:trPr>
          <w:trHeight w:val="258"/>
        </w:trPr>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424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auto"/>
              </w:rPr>
              <w:t>(print or type)</w:t>
            </w:r>
          </w:p>
        </w:tc>
      </w:tr>
      <w:tr>
        <w:trPr>
          <w:trHeight w:val="473"/>
        </w:trPr>
        <w:tc>
          <w:tcPr>
            <w:tcW w:w="4800" w:type="dxa"/>
            <w:vAlign w:val="bottom"/>
            <w:gridSpan w:val="3"/>
          </w:tcPr>
          <w:p>
            <w:pPr>
              <w:spacing w:after="0"/>
              <w:rPr>
                <w:sz w:val="20"/>
                <w:szCs w:val="20"/>
                <w:color w:val="auto"/>
              </w:rPr>
            </w:pPr>
            <w:r>
              <w:rPr>
                <w:rFonts w:ascii="Arial" w:cs="Arial" w:eastAsia="Arial" w:hAnsi="Arial"/>
                <w:sz w:val="21"/>
                <w:szCs w:val="21"/>
                <w:color w:val="auto"/>
              </w:rPr>
              <w:t>ATTEST:</w:t>
            </w:r>
          </w:p>
        </w:tc>
        <w:tc>
          <w:tcPr>
            <w:tcW w:w="5120" w:type="dxa"/>
            <w:vAlign w:val="bottom"/>
            <w:gridSpan w:val="3"/>
          </w:tcPr>
          <w:p>
            <w:pPr>
              <w:ind w:left="280"/>
              <w:spacing w:after="0"/>
              <w:rPr>
                <w:sz w:val="20"/>
                <w:szCs w:val="20"/>
                <w:color w:val="auto"/>
              </w:rPr>
            </w:pPr>
            <w:r>
              <w:rPr>
                <w:rFonts w:ascii="Arial" w:cs="Arial" w:eastAsia="Arial" w:hAnsi="Arial"/>
                <w:sz w:val="21"/>
                <w:szCs w:val="21"/>
                <w:color w:val="auto"/>
              </w:rPr>
              <w:t>MATSON FREIGHT AGENCIES, INC.</w:t>
            </w:r>
          </w:p>
        </w:tc>
      </w:tr>
      <w:tr>
        <w:trPr>
          <w:trHeight w:val="478"/>
        </w:trPr>
        <w:tc>
          <w:tcPr>
            <w:tcW w:w="560" w:type="dxa"/>
            <w:vAlign w:val="bottom"/>
          </w:tcPr>
          <w:p>
            <w:pPr>
              <w:spacing w:after="0"/>
              <w:rPr>
                <w:sz w:val="20"/>
                <w:szCs w:val="20"/>
                <w:color w:val="auto"/>
              </w:rPr>
            </w:pPr>
            <w:r>
              <w:rPr>
                <w:rFonts w:ascii="Arial" w:cs="Arial" w:eastAsia="Arial" w:hAnsi="Arial"/>
                <w:sz w:val="21"/>
                <w:szCs w:val="21"/>
                <w:color w:val="auto"/>
              </w:rPr>
              <w:t>By:</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rPr>
              <w:t>By:</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479"/>
        </w:trPr>
        <w:tc>
          <w:tcPr>
            <w:tcW w:w="560" w:type="dxa"/>
            <w:vAlign w:val="bottom"/>
          </w:tcPr>
          <w:p>
            <w:pPr>
              <w:spacing w:after="0"/>
              <w:rPr>
                <w:sz w:val="20"/>
                <w:szCs w:val="20"/>
                <w:color w:val="auto"/>
              </w:rPr>
            </w:pPr>
            <w:r>
              <w:rPr>
                <w:rFonts w:ascii="Arial" w:cs="Arial" w:eastAsia="Arial" w:hAnsi="Arial"/>
                <w:sz w:val="21"/>
                <w:szCs w:val="21"/>
                <w:color w:val="auto"/>
                <w:w w:val="87"/>
              </w:rPr>
              <w:t>Name:</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w w:val="93"/>
              </w:rPr>
              <w:t>Name:</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258"/>
        </w:trPr>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1"/>
                <w:szCs w:val="21"/>
                <w:color w:val="auto"/>
              </w:rPr>
              <w:t>(print or type)</w:t>
            </w:r>
          </w:p>
        </w:tc>
      </w:tr>
      <w:tr>
        <w:trPr>
          <w:trHeight w:val="465"/>
        </w:trPr>
        <w:tc>
          <w:tcPr>
            <w:tcW w:w="560" w:type="dxa"/>
            <w:vAlign w:val="bottom"/>
          </w:tcPr>
          <w:p>
            <w:pPr>
              <w:spacing w:after="0"/>
              <w:rPr>
                <w:sz w:val="20"/>
                <w:szCs w:val="20"/>
                <w:color w:val="auto"/>
              </w:rPr>
            </w:pPr>
            <w:r>
              <w:rPr>
                <w:rFonts w:ascii="Arial" w:cs="Arial" w:eastAsia="Arial" w:hAnsi="Arial"/>
                <w:sz w:val="21"/>
                <w:szCs w:val="21"/>
                <w:color w:val="auto"/>
              </w:rPr>
              <w:t>Title:</w:t>
            </w:r>
          </w:p>
        </w:tc>
        <w:tc>
          <w:tcPr>
            <w:tcW w:w="4240" w:type="dxa"/>
            <w:vAlign w:val="bottom"/>
            <w:gridSpan w:val="2"/>
          </w:tcPr>
          <w:p>
            <w:pPr>
              <w:ind w:left="20"/>
              <w:spacing w:after="0"/>
              <w:rPr>
                <w:sz w:val="20"/>
                <w:szCs w:val="20"/>
                <w:color w:val="auto"/>
              </w:rPr>
            </w:pPr>
            <w:r>
              <w:rPr>
                <w:rFonts w:ascii="Arial" w:cs="Arial" w:eastAsia="Arial" w:hAnsi="Arial"/>
                <w:sz w:val="21"/>
                <w:szCs w:val="21"/>
                <w:color w:val="auto"/>
              </w:rPr>
              <w:t>Secretary</w:t>
            </w:r>
          </w:p>
        </w:tc>
        <w:tc>
          <w:tcPr>
            <w:tcW w:w="880" w:type="dxa"/>
            <w:vAlign w:val="bottom"/>
          </w:tcPr>
          <w:p>
            <w:pPr>
              <w:ind w:left="280"/>
              <w:spacing w:after="0"/>
              <w:rPr>
                <w:sz w:val="20"/>
                <w:szCs w:val="20"/>
                <w:color w:val="auto"/>
              </w:rPr>
            </w:pPr>
            <w:r>
              <w:rPr>
                <w:rFonts w:ascii="Arial" w:cs="Arial" w:eastAsia="Arial" w:hAnsi="Arial"/>
                <w:sz w:val="21"/>
                <w:szCs w:val="21"/>
                <w:color w:val="auto"/>
              </w:rPr>
              <w:t>Title:</w:t>
            </w:r>
          </w:p>
        </w:tc>
        <w:tc>
          <w:tcPr>
            <w:tcW w:w="4240" w:type="dxa"/>
            <w:vAlign w:val="bottom"/>
            <w:gridSpan w:val="2"/>
          </w:tcPr>
          <w:p>
            <w:pPr>
              <w:spacing w:after="0"/>
              <w:rPr>
                <w:sz w:val="20"/>
                <w:szCs w:val="20"/>
                <w:color w:val="auto"/>
              </w:rPr>
            </w:pPr>
            <w:r>
              <w:rPr>
                <w:rFonts w:ascii="Arial" w:cs="Arial" w:eastAsia="Arial" w:hAnsi="Arial"/>
                <w:sz w:val="21"/>
                <w:szCs w:val="21"/>
                <w:color w:val="auto"/>
              </w:rPr>
              <w:t>Vice President</w:t>
            </w:r>
          </w:p>
        </w:tc>
      </w:tr>
      <w:tr>
        <w:trPr>
          <w:trHeight w:val="258"/>
        </w:trPr>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424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auto"/>
              </w:rPr>
              <w:t>(print or type)</w:t>
            </w:r>
          </w:p>
        </w:tc>
      </w:tr>
      <w:tr>
        <w:trPr>
          <w:trHeight w:val="451"/>
        </w:trPr>
        <w:tc>
          <w:tcPr>
            <w:tcW w:w="4800" w:type="dxa"/>
            <w:vAlign w:val="bottom"/>
            <w:gridSpan w:val="3"/>
          </w:tcPr>
          <w:p>
            <w:pPr>
              <w:spacing w:after="0"/>
              <w:rPr>
                <w:sz w:val="20"/>
                <w:szCs w:val="20"/>
                <w:color w:val="auto"/>
              </w:rPr>
            </w:pPr>
            <w:r>
              <w:rPr>
                <w:rFonts w:ascii="Arial" w:cs="Arial" w:eastAsia="Arial" w:hAnsi="Arial"/>
                <w:sz w:val="21"/>
                <w:szCs w:val="21"/>
                <w:color w:val="auto"/>
              </w:rPr>
              <w:t>ATTEST:</w:t>
            </w:r>
          </w:p>
        </w:tc>
        <w:tc>
          <w:tcPr>
            <w:tcW w:w="5120" w:type="dxa"/>
            <w:vAlign w:val="bottom"/>
            <w:gridSpan w:val="3"/>
          </w:tcPr>
          <w:p>
            <w:pPr>
              <w:ind w:left="280"/>
              <w:spacing w:after="0"/>
              <w:rPr>
                <w:sz w:val="20"/>
                <w:szCs w:val="20"/>
                <w:color w:val="auto"/>
              </w:rPr>
            </w:pPr>
            <w:r>
              <w:rPr>
                <w:rFonts w:ascii="Arial" w:cs="Arial" w:eastAsia="Arial" w:hAnsi="Arial"/>
                <w:sz w:val="21"/>
                <w:szCs w:val="21"/>
                <w:color w:val="auto"/>
              </w:rPr>
              <w:t>MATSON FREIGHT AGENCIES</w:t>
            </w:r>
          </w:p>
        </w:tc>
      </w:tr>
      <w:tr>
        <w:trPr>
          <w:trHeight w:val="264"/>
        </w:trPr>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21"/>
                <w:szCs w:val="21"/>
                <w:color w:val="auto"/>
              </w:rPr>
              <w:t>(EASTERN), INC.</w:t>
            </w:r>
          </w:p>
        </w:tc>
      </w:tr>
      <w:tr>
        <w:trPr>
          <w:trHeight w:val="478"/>
        </w:trPr>
        <w:tc>
          <w:tcPr>
            <w:tcW w:w="560" w:type="dxa"/>
            <w:vAlign w:val="bottom"/>
          </w:tcPr>
          <w:p>
            <w:pPr>
              <w:spacing w:after="0"/>
              <w:rPr>
                <w:sz w:val="20"/>
                <w:szCs w:val="20"/>
                <w:color w:val="auto"/>
              </w:rPr>
            </w:pPr>
            <w:r>
              <w:rPr>
                <w:rFonts w:ascii="Arial" w:cs="Arial" w:eastAsia="Arial" w:hAnsi="Arial"/>
                <w:sz w:val="21"/>
                <w:szCs w:val="21"/>
                <w:color w:val="auto"/>
              </w:rPr>
              <w:t>By:</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rPr>
              <w:t>By:</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480"/>
        </w:trPr>
        <w:tc>
          <w:tcPr>
            <w:tcW w:w="560" w:type="dxa"/>
            <w:vAlign w:val="bottom"/>
          </w:tcPr>
          <w:p>
            <w:pPr>
              <w:spacing w:after="0"/>
              <w:rPr>
                <w:sz w:val="20"/>
                <w:szCs w:val="20"/>
                <w:color w:val="auto"/>
              </w:rPr>
            </w:pPr>
            <w:r>
              <w:rPr>
                <w:rFonts w:ascii="Arial" w:cs="Arial" w:eastAsia="Arial" w:hAnsi="Arial"/>
                <w:sz w:val="21"/>
                <w:szCs w:val="21"/>
                <w:color w:val="auto"/>
                <w:w w:val="87"/>
              </w:rPr>
              <w:t>Name:</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w w:val="93"/>
              </w:rPr>
              <w:t>Name:</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258"/>
        </w:trPr>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1"/>
                <w:szCs w:val="21"/>
                <w:color w:val="auto"/>
              </w:rPr>
              <w:t>(print or type)</w:t>
            </w:r>
          </w:p>
        </w:tc>
      </w:tr>
      <w:tr>
        <w:trPr>
          <w:trHeight w:val="465"/>
        </w:trPr>
        <w:tc>
          <w:tcPr>
            <w:tcW w:w="560" w:type="dxa"/>
            <w:vAlign w:val="bottom"/>
          </w:tcPr>
          <w:p>
            <w:pPr>
              <w:spacing w:after="0"/>
              <w:rPr>
                <w:sz w:val="20"/>
                <w:szCs w:val="20"/>
                <w:color w:val="auto"/>
              </w:rPr>
            </w:pPr>
            <w:r>
              <w:rPr>
                <w:rFonts w:ascii="Arial" w:cs="Arial" w:eastAsia="Arial" w:hAnsi="Arial"/>
                <w:sz w:val="21"/>
                <w:szCs w:val="21"/>
                <w:color w:val="auto"/>
              </w:rPr>
              <w:t>Title:</w:t>
            </w:r>
          </w:p>
        </w:tc>
        <w:tc>
          <w:tcPr>
            <w:tcW w:w="4240" w:type="dxa"/>
            <w:vAlign w:val="bottom"/>
            <w:gridSpan w:val="2"/>
          </w:tcPr>
          <w:p>
            <w:pPr>
              <w:ind w:left="20"/>
              <w:spacing w:after="0"/>
              <w:rPr>
                <w:sz w:val="20"/>
                <w:szCs w:val="20"/>
                <w:color w:val="auto"/>
              </w:rPr>
            </w:pPr>
            <w:r>
              <w:rPr>
                <w:rFonts w:ascii="Arial" w:cs="Arial" w:eastAsia="Arial" w:hAnsi="Arial"/>
                <w:sz w:val="21"/>
                <w:szCs w:val="21"/>
                <w:color w:val="auto"/>
              </w:rPr>
              <w:t>Secretary</w:t>
            </w:r>
          </w:p>
        </w:tc>
        <w:tc>
          <w:tcPr>
            <w:tcW w:w="880" w:type="dxa"/>
            <w:vAlign w:val="bottom"/>
          </w:tcPr>
          <w:p>
            <w:pPr>
              <w:ind w:left="280"/>
              <w:spacing w:after="0"/>
              <w:rPr>
                <w:sz w:val="20"/>
                <w:szCs w:val="20"/>
                <w:color w:val="auto"/>
              </w:rPr>
            </w:pPr>
            <w:r>
              <w:rPr>
                <w:rFonts w:ascii="Arial" w:cs="Arial" w:eastAsia="Arial" w:hAnsi="Arial"/>
                <w:sz w:val="21"/>
                <w:szCs w:val="21"/>
                <w:color w:val="auto"/>
              </w:rPr>
              <w:t>Title:</w:t>
            </w:r>
          </w:p>
        </w:tc>
        <w:tc>
          <w:tcPr>
            <w:tcW w:w="4240" w:type="dxa"/>
            <w:vAlign w:val="bottom"/>
            <w:gridSpan w:val="2"/>
          </w:tcPr>
          <w:p>
            <w:pPr>
              <w:spacing w:after="0"/>
              <w:rPr>
                <w:sz w:val="20"/>
                <w:szCs w:val="20"/>
                <w:color w:val="auto"/>
              </w:rPr>
            </w:pPr>
            <w:r>
              <w:rPr>
                <w:rFonts w:ascii="Arial" w:cs="Arial" w:eastAsia="Arial" w:hAnsi="Arial"/>
                <w:sz w:val="21"/>
                <w:szCs w:val="21"/>
                <w:color w:val="auto"/>
              </w:rPr>
              <w:t>Vice President</w:t>
            </w:r>
          </w:p>
        </w:tc>
      </w:tr>
      <w:tr>
        <w:trPr>
          <w:trHeight w:val="258"/>
        </w:trPr>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424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auto"/>
              </w:rPr>
              <w:t>(print or type)</w:t>
            </w:r>
          </w:p>
        </w:tc>
      </w:tr>
      <w:tr>
        <w:trPr>
          <w:trHeight w:val="473"/>
        </w:trPr>
        <w:tc>
          <w:tcPr>
            <w:tcW w:w="4800" w:type="dxa"/>
            <w:vAlign w:val="bottom"/>
            <w:gridSpan w:val="3"/>
          </w:tcPr>
          <w:p>
            <w:pPr>
              <w:spacing w:after="0"/>
              <w:rPr>
                <w:sz w:val="20"/>
                <w:szCs w:val="20"/>
                <w:color w:val="auto"/>
              </w:rPr>
            </w:pPr>
            <w:r>
              <w:rPr>
                <w:rFonts w:ascii="Arial" w:cs="Arial" w:eastAsia="Arial" w:hAnsi="Arial"/>
                <w:sz w:val="21"/>
                <w:szCs w:val="21"/>
                <w:color w:val="auto"/>
              </w:rPr>
              <w:t>ATTEST:</w:t>
            </w:r>
          </w:p>
        </w:tc>
        <w:tc>
          <w:tcPr>
            <w:tcW w:w="5120" w:type="dxa"/>
            <w:vAlign w:val="bottom"/>
            <w:gridSpan w:val="3"/>
          </w:tcPr>
          <w:p>
            <w:pPr>
              <w:ind w:left="280"/>
              <w:spacing w:after="0"/>
              <w:rPr>
                <w:sz w:val="20"/>
                <w:szCs w:val="20"/>
                <w:color w:val="auto"/>
              </w:rPr>
            </w:pPr>
            <w:r>
              <w:rPr>
                <w:rFonts w:ascii="Arial" w:cs="Arial" w:eastAsia="Arial" w:hAnsi="Arial"/>
                <w:sz w:val="21"/>
                <w:szCs w:val="21"/>
                <w:color w:val="auto"/>
              </w:rPr>
              <w:t>MATSON INTERMODAL SYSTEM, INC.</w:t>
            </w:r>
          </w:p>
        </w:tc>
      </w:tr>
      <w:tr>
        <w:trPr>
          <w:trHeight w:val="478"/>
        </w:trPr>
        <w:tc>
          <w:tcPr>
            <w:tcW w:w="560" w:type="dxa"/>
            <w:vAlign w:val="bottom"/>
          </w:tcPr>
          <w:p>
            <w:pPr>
              <w:spacing w:after="0"/>
              <w:rPr>
                <w:sz w:val="20"/>
                <w:szCs w:val="20"/>
                <w:color w:val="auto"/>
              </w:rPr>
            </w:pPr>
            <w:r>
              <w:rPr>
                <w:rFonts w:ascii="Arial" w:cs="Arial" w:eastAsia="Arial" w:hAnsi="Arial"/>
                <w:sz w:val="21"/>
                <w:szCs w:val="21"/>
                <w:color w:val="auto"/>
              </w:rPr>
              <w:t>By:</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rPr>
              <w:t>By:</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480"/>
        </w:trPr>
        <w:tc>
          <w:tcPr>
            <w:tcW w:w="560" w:type="dxa"/>
            <w:vAlign w:val="bottom"/>
          </w:tcPr>
          <w:p>
            <w:pPr>
              <w:spacing w:after="0"/>
              <w:rPr>
                <w:sz w:val="20"/>
                <w:szCs w:val="20"/>
                <w:color w:val="auto"/>
              </w:rPr>
            </w:pPr>
            <w:r>
              <w:rPr>
                <w:rFonts w:ascii="Arial" w:cs="Arial" w:eastAsia="Arial" w:hAnsi="Arial"/>
                <w:sz w:val="21"/>
                <w:szCs w:val="21"/>
                <w:color w:val="auto"/>
                <w:w w:val="87"/>
              </w:rPr>
              <w:t>Name:</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w w:val="93"/>
              </w:rPr>
              <w:t>Name:</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258"/>
        </w:trPr>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1"/>
                <w:szCs w:val="21"/>
                <w:color w:val="auto"/>
              </w:rPr>
              <w:t>(print or type)</w:t>
            </w:r>
          </w:p>
        </w:tc>
      </w:tr>
      <w:tr>
        <w:trPr>
          <w:trHeight w:val="465"/>
        </w:trPr>
        <w:tc>
          <w:tcPr>
            <w:tcW w:w="560" w:type="dxa"/>
            <w:vAlign w:val="bottom"/>
          </w:tcPr>
          <w:p>
            <w:pPr>
              <w:spacing w:after="0"/>
              <w:rPr>
                <w:sz w:val="20"/>
                <w:szCs w:val="20"/>
                <w:color w:val="auto"/>
              </w:rPr>
            </w:pPr>
            <w:r>
              <w:rPr>
                <w:rFonts w:ascii="Arial" w:cs="Arial" w:eastAsia="Arial" w:hAnsi="Arial"/>
                <w:sz w:val="21"/>
                <w:szCs w:val="21"/>
                <w:color w:val="auto"/>
              </w:rPr>
              <w:t>Title:</w:t>
            </w:r>
          </w:p>
        </w:tc>
        <w:tc>
          <w:tcPr>
            <w:tcW w:w="4240" w:type="dxa"/>
            <w:vAlign w:val="bottom"/>
            <w:gridSpan w:val="2"/>
          </w:tcPr>
          <w:p>
            <w:pPr>
              <w:ind w:left="20"/>
              <w:spacing w:after="0"/>
              <w:rPr>
                <w:sz w:val="20"/>
                <w:szCs w:val="20"/>
                <w:color w:val="auto"/>
              </w:rPr>
            </w:pPr>
            <w:r>
              <w:rPr>
                <w:rFonts w:ascii="Arial" w:cs="Arial" w:eastAsia="Arial" w:hAnsi="Arial"/>
                <w:sz w:val="21"/>
                <w:szCs w:val="21"/>
                <w:color w:val="auto"/>
              </w:rPr>
              <w:t>Secretary</w:t>
            </w:r>
          </w:p>
        </w:tc>
        <w:tc>
          <w:tcPr>
            <w:tcW w:w="880" w:type="dxa"/>
            <w:vAlign w:val="bottom"/>
          </w:tcPr>
          <w:p>
            <w:pPr>
              <w:ind w:left="280"/>
              <w:spacing w:after="0"/>
              <w:rPr>
                <w:sz w:val="20"/>
                <w:szCs w:val="20"/>
                <w:color w:val="auto"/>
              </w:rPr>
            </w:pPr>
            <w:r>
              <w:rPr>
                <w:rFonts w:ascii="Arial" w:cs="Arial" w:eastAsia="Arial" w:hAnsi="Arial"/>
                <w:sz w:val="21"/>
                <w:szCs w:val="21"/>
                <w:color w:val="auto"/>
              </w:rPr>
              <w:t>Title:</w:t>
            </w:r>
          </w:p>
        </w:tc>
        <w:tc>
          <w:tcPr>
            <w:tcW w:w="4240" w:type="dxa"/>
            <w:vAlign w:val="bottom"/>
            <w:gridSpan w:val="2"/>
          </w:tcPr>
          <w:p>
            <w:pPr>
              <w:spacing w:after="0"/>
              <w:rPr>
                <w:sz w:val="20"/>
                <w:szCs w:val="20"/>
                <w:color w:val="auto"/>
              </w:rPr>
            </w:pPr>
            <w:r>
              <w:rPr>
                <w:rFonts w:ascii="Arial" w:cs="Arial" w:eastAsia="Arial" w:hAnsi="Arial"/>
                <w:sz w:val="21"/>
                <w:szCs w:val="21"/>
                <w:color w:val="auto"/>
              </w:rPr>
              <w:t>Vice President</w:t>
            </w:r>
          </w:p>
        </w:tc>
      </w:tr>
      <w:tr>
        <w:trPr>
          <w:trHeight w:val="258"/>
        </w:trPr>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424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auto"/>
              </w:rPr>
              <w:t>(print or type)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0" w:right="9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64"/>
        </w:trPr>
        <w:tc>
          <w:tcPr>
            <w:tcW w:w="4800" w:type="dxa"/>
            <w:vAlign w:val="bottom"/>
            <w:gridSpan w:val="3"/>
          </w:tcPr>
          <w:p>
            <w:pPr>
              <w:spacing w:after="0"/>
              <w:rPr>
                <w:sz w:val="20"/>
                <w:szCs w:val="20"/>
                <w:color w:val="auto"/>
              </w:rPr>
            </w:pPr>
            <w:r>
              <w:rPr>
                <w:rFonts w:ascii="Arial" w:cs="Arial" w:eastAsia="Arial" w:hAnsi="Arial"/>
                <w:sz w:val="21"/>
                <w:szCs w:val="21"/>
                <w:color w:val="auto"/>
              </w:rPr>
              <w:t>ATTEST:</w:t>
            </w:r>
          </w:p>
        </w:tc>
        <w:tc>
          <w:tcPr>
            <w:tcW w:w="5120" w:type="dxa"/>
            <w:vAlign w:val="bottom"/>
            <w:gridSpan w:val="3"/>
          </w:tcPr>
          <w:p>
            <w:pPr>
              <w:ind w:left="280"/>
              <w:spacing w:after="0"/>
              <w:rPr>
                <w:sz w:val="20"/>
                <w:szCs w:val="20"/>
                <w:color w:val="auto"/>
              </w:rPr>
            </w:pPr>
            <w:r>
              <w:rPr>
                <w:rFonts w:ascii="Arial" w:cs="Arial" w:eastAsia="Arial" w:hAnsi="Arial"/>
                <w:sz w:val="21"/>
                <w:szCs w:val="21"/>
                <w:color w:val="auto"/>
              </w:rPr>
              <w:t>MATSON LEASING COMPANY, INC.</w:t>
            </w:r>
          </w:p>
        </w:tc>
      </w:tr>
      <w:tr>
        <w:trPr>
          <w:trHeight w:val="478"/>
        </w:trPr>
        <w:tc>
          <w:tcPr>
            <w:tcW w:w="600" w:type="dxa"/>
            <w:vAlign w:val="bottom"/>
          </w:tcPr>
          <w:p>
            <w:pPr>
              <w:spacing w:after="0"/>
              <w:rPr>
                <w:sz w:val="20"/>
                <w:szCs w:val="20"/>
                <w:color w:val="auto"/>
              </w:rPr>
            </w:pPr>
            <w:r>
              <w:rPr>
                <w:rFonts w:ascii="Arial" w:cs="Arial" w:eastAsia="Arial" w:hAnsi="Arial"/>
                <w:sz w:val="21"/>
                <w:szCs w:val="21"/>
                <w:color w:val="auto"/>
              </w:rPr>
              <w:t>By:</w:t>
            </w:r>
          </w:p>
        </w:tc>
        <w:tc>
          <w:tcPr>
            <w:tcW w:w="6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rPr>
              <w:t>By:</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480"/>
        </w:trPr>
        <w:tc>
          <w:tcPr>
            <w:tcW w:w="600" w:type="dxa"/>
            <w:vAlign w:val="bottom"/>
          </w:tcPr>
          <w:p>
            <w:pPr>
              <w:spacing w:after="0"/>
              <w:rPr>
                <w:sz w:val="20"/>
                <w:szCs w:val="20"/>
                <w:color w:val="auto"/>
              </w:rPr>
            </w:pPr>
            <w:r>
              <w:rPr>
                <w:rFonts w:ascii="Arial" w:cs="Arial" w:eastAsia="Arial" w:hAnsi="Arial"/>
                <w:sz w:val="21"/>
                <w:szCs w:val="21"/>
                <w:color w:val="auto"/>
                <w:w w:val="93"/>
              </w:rPr>
              <w:t>Name:</w:t>
            </w:r>
          </w:p>
        </w:tc>
        <w:tc>
          <w:tcPr>
            <w:tcW w:w="6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w w:val="93"/>
              </w:rPr>
              <w:t>Name:</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140" w:type="dxa"/>
            <w:vAlign w:val="bottom"/>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1"/>
                <w:szCs w:val="21"/>
                <w:color w:val="auto"/>
              </w:rPr>
              <w:t>(print or type)</w:t>
            </w:r>
          </w:p>
        </w:tc>
      </w:tr>
      <w:tr>
        <w:trPr>
          <w:trHeight w:val="465"/>
        </w:trPr>
        <w:tc>
          <w:tcPr>
            <w:tcW w:w="600" w:type="dxa"/>
            <w:vAlign w:val="bottom"/>
          </w:tcPr>
          <w:p>
            <w:pPr>
              <w:spacing w:after="0"/>
              <w:rPr>
                <w:sz w:val="20"/>
                <w:szCs w:val="20"/>
                <w:color w:val="auto"/>
              </w:rPr>
            </w:pPr>
            <w:r>
              <w:rPr>
                <w:rFonts w:ascii="Arial" w:cs="Arial" w:eastAsia="Arial" w:hAnsi="Arial"/>
                <w:sz w:val="21"/>
                <w:szCs w:val="21"/>
                <w:color w:val="auto"/>
              </w:rPr>
              <w:t>Title:</w:t>
            </w:r>
          </w:p>
        </w:tc>
        <w:tc>
          <w:tcPr>
            <w:tcW w:w="4200" w:type="dxa"/>
            <w:vAlign w:val="bottom"/>
            <w:gridSpan w:val="2"/>
          </w:tcPr>
          <w:p>
            <w:pPr>
              <w:ind w:left="60"/>
              <w:spacing w:after="0"/>
              <w:rPr>
                <w:sz w:val="20"/>
                <w:szCs w:val="20"/>
                <w:color w:val="auto"/>
              </w:rPr>
            </w:pPr>
            <w:r>
              <w:rPr>
                <w:rFonts w:ascii="Arial" w:cs="Arial" w:eastAsia="Arial" w:hAnsi="Arial"/>
                <w:sz w:val="21"/>
                <w:szCs w:val="21"/>
                <w:color w:val="auto"/>
              </w:rPr>
              <w:t>Secretary</w:t>
            </w:r>
          </w:p>
        </w:tc>
        <w:tc>
          <w:tcPr>
            <w:tcW w:w="880" w:type="dxa"/>
            <w:vAlign w:val="bottom"/>
          </w:tcPr>
          <w:p>
            <w:pPr>
              <w:ind w:left="280"/>
              <w:spacing w:after="0"/>
              <w:rPr>
                <w:sz w:val="20"/>
                <w:szCs w:val="20"/>
                <w:color w:val="auto"/>
              </w:rPr>
            </w:pPr>
            <w:r>
              <w:rPr>
                <w:rFonts w:ascii="Arial" w:cs="Arial" w:eastAsia="Arial" w:hAnsi="Arial"/>
                <w:sz w:val="21"/>
                <w:szCs w:val="21"/>
                <w:color w:val="auto"/>
              </w:rPr>
              <w:t>Title:</w:t>
            </w:r>
          </w:p>
        </w:tc>
        <w:tc>
          <w:tcPr>
            <w:tcW w:w="4240" w:type="dxa"/>
            <w:vAlign w:val="bottom"/>
            <w:gridSpan w:val="2"/>
          </w:tcPr>
          <w:p>
            <w:pPr>
              <w:spacing w:after="0"/>
              <w:rPr>
                <w:sz w:val="20"/>
                <w:szCs w:val="20"/>
                <w:color w:val="auto"/>
              </w:rPr>
            </w:pPr>
            <w:r>
              <w:rPr>
                <w:rFonts w:ascii="Arial" w:cs="Arial" w:eastAsia="Arial" w:hAnsi="Arial"/>
                <w:sz w:val="21"/>
                <w:szCs w:val="21"/>
                <w:color w:val="auto"/>
              </w:rPr>
              <w:t>Controller</w:t>
            </w:r>
          </w:p>
        </w:tc>
      </w:tr>
      <w:tr>
        <w:trPr>
          <w:trHeight w:val="258"/>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1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424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auto"/>
              </w:rPr>
              <w:t>(print or type)</w:t>
            </w:r>
          </w:p>
        </w:tc>
      </w:tr>
      <w:tr>
        <w:trPr>
          <w:trHeight w:val="473"/>
        </w:trPr>
        <w:tc>
          <w:tcPr>
            <w:tcW w:w="4800" w:type="dxa"/>
            <w:vAlign w:val="bottom"/>
            <w:gridSpan w:val="3"/>
          </w:tcPr>
          <w:p>
            <w:pPr>
              <w:spacing w:after="0"/>
              <w:rPr>
                <w:sz w:val="20"/>
                <w:szCs w:val="20"/>
                <w:color w:val="auto"/>
              </w:rPr>
            </w:pPr>
            <w:r>
              <w:rPr>
                <w:rFonts w:ascii="Arial" w:cs="Arial" w:eastAsia="Arial" w:hAnsi="Arial"/>
                <w:sz w:val="21"/>
                <w:szCs w:val="21"/>
                <w:color w:val="auto"/>
              </w:rPr>
              <w:t>ATTEST:</w:t>
            </w:r>
          </w:p>
        </w:tc>
        <w:tc>
          <w:tcPr>
            <w:tcW w:w="5120" w:type="dxa"/>
            <w:vAlign w:val="bottom"/>
            <w:gridSpan w:val="3"/>
          </w:tcPr>
          <w:p>
            <w:pPr>
              <w:ind w:left="280"/>
              <w:spacing w:after="0"/>
              <w:rPr>
                <w:sz w:val="20"/>
                <w:szCs w:val="20"/>
                <w:color w:val="auto"/>
              </w:rPr>
            </w:pPr>
            <w:r>
              <w:rPr>
                <w:rFonts w:ascii="Arial" w:cs="Arial" w:eastAsia="Arial" w:hAnsi="Arial"/>
                <w:sz w:val="21"/>
                <w:szCs w:val="21"/>
                <w:color w:val="auto"/>
              </w:rPr>
              <w:t>MATSON SERVICES COMPANY, INC.</w:t>
            </w:r>
          </w:p>
        </w:tc>
      </w:tr>
      <w:tr>
        <w:trPr>
          <w:trHeight w:val="478"/>
        </w:trPr>
        <w:tc>
          <w:tcPr>
            <w:tcW w:w="600" w:type="dxa"/>
            <w:vAlign w:val="bottom"/>
          </w:tcPr>
          <w:p>
            <w:pPr>
              <w:spacing w:after="0"/>
              <w:rPr>
                <w:sz w:val="20"/>
                <w:szCs w:val="20"/>
                <w:color w:val="auto"/>
              </w:rPr>
            </w:pPr>
            <w:r>
              <w:rPr>
                <w:rFonts w:ascii="Arial" w:cs="Arial" w:eastAsia="Arial" w:hAnsi="Arial"/>
                <w:sz w:val="21"/>
                <w:szCs w:val="21"/>
                <w:color w:val="auto"/>
              </w:rPr>
              <w:t>By:</w:t>
            </w:r>
          </w:p>
        </w:tc>
        <w:tc>
          <w:tcPr>
            <w:tcW w:w="6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rPr>
              <w:t>By:</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479"/>
        </w:trPr>
        <w:tc>
          <w:tcPr>
            <w:tcW w:w="600" w:type="dxa"/>
            <w:vAlign w:val="bottom"/>
          </w:tcPr>
          <w:p>
            <w:pPr>
              <w:spacing w:after="0"/>
              <w:rPr>
                <w:sz w:val="20"/>
                <w:szCs w:val="20"/>
                <w:color w:val="auto"/>
              </w:rPr>
            </w:pPr>
            <w:r>
              <w:rPr>
                <w:rFonts w:ascii="Arial" w:cs="Arial" w:eastAsia="Arial" w:hAnsi="Arial"/>
                <w:sz w:val="21"/>
                <w:szCs w:val="21"/>
                <w:color w:val="auto"/>
                <w:w w:val="93"/>
              </w:rPr>
              <w:t>Name:</w:t>
            </w:r>
          </w:p>
        </w:tc>
        <w:tc>
          <w:tcPr>
            <w:tcW w:w="6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w w:val="93"/>
              </w:rPr>
              <w:t>Name:</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140" w:type="dxa"/>
            <w:vAlign w:val="bottom"/>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1"/>
                <w:szCs w:val="21"/>
                <w:color w:val="auto"/>
              </w:rPr>
              <w:t>(print or type)</w:t>
            </w:r>
          </w:p>
        </w:tc>
      </w:tr>
      <w:tr>
        <w:trPr>
          <w:trHeight w:val="465"/>
        </w:trPr>
        <w:tc>
          <w:tcPr>
            <w:tcW w:w="600" w:type="dxa"/>
            <w:vAlign w:val="bottom"/>
          </w:tcPr>
          <w:p>
            <w:pPr>
              <w:spacing w:after="0"/>
              <w:rPr>
                <w:sz w:val="20"/>
                <w:szCs w:val="20"/>
                <w:color w:val="auto"/>
              </w:rPr>
            </w:pPr>
            <w:r>
              <w:rPr>
                <w:rFonts w:ascii="Arial" w:cs="Arial" w:eastAsia="Arial" w:hAnsi="Arial"/>
                <w:sz w:val="21"/>
                <w:szCs w:val="21"/>
                <w:color w:val="auto"/>
              </w:rPr>
              <w:t>Title:</w:t>
            </w:r>
          </w:p>
        </w:tc>
        <w:tc>
          <w:tcPr>
            <w:tcW w:w="4200" w:type="dxa"/>
            <w:vAlign w:val="bottom"/>
            <w:gridSpan w:val="2"/>
          </w:tcPr>
          <w:p>
            <w:pPr>
              <w:ind w:left="60"/>
              <w:spacing w:after="0"/>
              <w:rPr>
                <w:sz w:val="20"/>
                <w:szCs w:val="20"/>
                <w:color w:val="auto"/>
              </w:rPr>
            </w:pPr>
            <w:r>
              <w:rPr>
                <w:rFonts w:ascii="Arial" w:cs="Arial" w:eastAsia="Arial" w:hAnsi="Arial"/>
                <w:sz w:val="21"/>
                <w:szCs w:val="21"/>
                <w:color w:val="auto"/>
              </w:rPr>
              <w:t>Secretary</w:t>
            </w:r>
          </w:p>
        </w:tc>
        <w:tc>
          <w:tcPr>
            <w:tcW w:w="880" w:type="dxa"/>
            <w:vAlign w:val="bottom"/>
          </w:tcPr>
          <w:p>
            <w:pPr>
              <w:ind w:left="280"/>
              <w:spacing w:after="0"/>
              <w:rPr>
                <w:sz w:val="20"/>
                <w:szCs w:val="20"/>
                <w:color w:val="auto"/>
              </w:rPr>
            </w:pPr>
            <w:r>
              <w:rPr>
                <w:rFonts w:ascii="Arial" w:cs="Arial" w:eastAsia="Arial" w:hAnsi="Arial"/>
                <w:sz w:val="21"/>
                <w:szCs w:val="21"/>
                <w:color w:val="auto"/>
              </w:rPr>
              <w:t>Title:</w:t>
            </w:r>
          </w:p>
        </w:tc>
        <w:tc>
          <w:tcPr>
            <w:tcW w:w="4240" w:type="dxa"/>
            <w:vAlign w:val="bottom"/>
            <w:gridSpan w:val="2"/>
          </w:tcPr>
          <w:p>
            <w:pPr>
              <w:spacing w:after="0"/>
              <w:rPr>
                <w:sz w:val="20"/>
                <w:szCs w:val="20"/>
                <w:color w:val="auto"/>
              </w:rPr>
            </w:pPr>
            <w:r>
              <w:rPr>
                <w:rFonts w:ascii="Arial" w:cs="Arial" w:eastAsia="Arial" w:hAnsi="Arial"/>
                <w:sz w:val="21"/>
                <w:szCs w:val="21"/>
                <w:color w:val="auto"/>
              </w:rPr>
              <w:t>Vice President</w:t>
            </w:r>
          </w:p>
        </w:tc>
      </w:tr>
      <w:tr>
        <w:trPr>
          <w:trHeight w:val="258"/>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1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424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auto"/>
              </w:rPr>
              <w:t>(print or type)</w:t>
            </w:r>
          </w:p>
        </w:tc>
      </w:tr>
      <w:tr>
        <w:trPr>
          <w:trHeight w:val="473"/>
        </w:trPr>
        <w:tc>
          <w:tcPr>
            <w:tcW w:w="4800" w:type="dxa"/>
            <w:vAlign w:val="bottom"/>
            <w:gridSpan w:val="3"/>
          </w:tcPr>
          <w:p>
            <w:pPr>
              <w:spacing w:after="0"/>
              <w:rPr>
                <w:sz w:val="20"/>
                <w:szCs w:val="20"/>
                <w:color w:val="auto"/>
              </w:rPr>
            </w:pPr>
            <w:r>
              <w:rPr>
                <w:rFonts w:ascii="Arial" w:cs="Arial" w:eastAsia="Arial" w:hAnsi="Arial"/>
                <w:sz w:val="21"/>
                <w:szCs w:val="21"/>
                <w:color w:val="auto"/>
              </w:rPr>
              <w:t>ATTEST:</w:t>
            </w:r>
          </w:p>
        </w:tc>
        <w:tc>
          <w:tcPr>
            <w:tcW w:w="5120" w:type="dxa"/>
            <w:vAlign w:val="bottom"/>
            <w:gridSpan w:val="3"/>
          </w:tcPr>
          <w:p>
            <w:pPr>
              <w:ind w:left="280"/>
              <w:spacing w:after="0"/>
              <w:rPr>
                <w:sz w:val="20"/>
                <w:szCs w:val="20"/>
                <w:color w:val="auto"/>
              </w:rPr>
            </w:pPr>
            <w:r>
              <w:rPr>
                <w:rFonts w:ascii="Arial" w:cs="Arial" w:eastAsia="Arial" w:hAnsi="Arial"/>
                <w:sz w:val="21"/>
                <w:szCs w:val="21"/>
                <w:color w:val="auto"/>
              </w:rPr>
              <w:t>MATSON TERMINALS, INC.</w:t>
            </w:r>
          </w:p>
        </w:tc>
      </w:tr>
      <w:tr>
        <w:trPr>
          <w:trHeight w:val="478"/>
        </w:trPr>
        <w:tc>
          <w:tcPr>
            <w:tcW w:w="600" w:type="dxa"/>
            <w:vAlign w:val="bottom"/>
          </w:tcPr>
          <w:p>
            <w:pPr>
              <w:spacing w:after="0"/>
              <w:rPr>
                <w:sz w:val="20"/>
                <w:szCs w:val="20"/>
                <w:color w:val="auto"/>
              </w:rPr>
            </w:pPr>
            <w:r>
              <w:rPr>
                <w:rFonts w:ascii="Arial" w:cs="Arial" w:eastAsia="Arial" w:hAnsi="Arial"/>
                <w:sz w:val="21"/>
                <w:szCs w:val="21"/>
                <w:color w:val="auto"/>
              </w:rPr>
              <w:t>By:</w:t>
            </w:r>
          </w:p>
        </w:tc>
        <w:tc>
          <w:tcPr>
            <w:tcW w:w="6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rPr>
              <w:t>By:</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480"/>
        </w:trPr>
        <w:tc>
          <w:tcPr>
            <w:tcW w:w="600" w:type="dxa"/>
            <w:vAlign w:val="bottom"/>
          </w:tcPr>
          <w:p>
            <w:pPr>
              <w:spacing w:after="0"/>
              <w:rPr>
                <w:sz w:val="20"/>
                <w:szCs w:val="20"/>
                <w:color w:val="auto"/>
              </w:rPr>
            </w:pPr>
            <w:r>
              <w:rPr>
                <w:rFonts w:ascii="Arial" w:cs="Arial" w:eastAsia="Arial" w:hAnsi="Arial"/>
                <w:sz w:val="21"/>
                <w:szCs w:val="21"/>
                <w:color w:val="auto"/>
                <w:w w:val="93"/>
              </w:rPr>
              <w:t>Name:</w:t>
            </w:r>
          </w:p>
        </w:tc>
        <w:tc>
          <w:tcPr>
            <w:tcW w:w="6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21"/>
                <w:szCs w:val="21"/>
                <w:color w:val="auto"/>
                <w:w w:val="93"/>
              </w:rPr>
              <w:t>Name:</w:t>
            </w:r>
          </w:p>
        </w:tc>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140" w:type="dxa"/>
            <w:vAlign w:val="bottom"/>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1"/>
                <w:szCs w:val="21"/>
                <w:color w:val="auto"/>
              </w:rPr>
              <w:t>(print or type)</w:t>
            </w:r>
          </w:p>
        </w:tc>
      </w:tr>
      <w:tr>
        <w:trPr>
          <w:trHeight w:val="465"/>
        </w:trPr>
        <w:tc>
          <w:tcPr>
            <w:tcW w:w="600" w:type="dxa"/>
            <w:vAlign w:val="bottom"/>
          </w:tcPr>
          <w:p>
            <w:pPr>
              <w:spacing w:after="0"/>
              <w:rPr>
                <w:sz w:val="20"/>
                <w:szCs w:val="20"/>
                <w:color w:val="auto"/>
              </w:rPr>
            </w:pPr>
            <w:r>
              <w:rPr>
                <w:rFonts w:ascii="Arial" w:cs="Arial" w:eastAsia="Arial" w:hAnsi="Arial"/>
                <w:sz w:val="21"/>
                <w:szCs w:val="21"/>
                <w:color w:val="auto"/>
              </w:rPr>
              <w:t>Title:</w:t>
            </w:r>
          </w:p>
        </w:tc>
        <w:tc>
          <w:tcPr>
            <w:tcW w:w="4200" w:type="dxa"/>
            <w:vAlign w:val="bottom"/>
            <w:gridSpan w:val="2"/>
          </w:tcPr>
          <w:p>
            <w:pPr>
              <w:ind w:left="60"/>
              <w:spacing w:after="0"/>
              <w:rPr>
                <w:sz w:val="20"/>
                <w:szCs w:val="20"/>
                <w:color w:val="auto"/>
              </w:rPr>
            </w:pPr>
            <w:r>
              <w:rPr>
                <w:rFonts w:ascii="Arial" w:cs="Arial" w:eastAsia="Arial" w:hAnsi="Arial"/>
                <w:sz w:val="21"/>
                <w:szCs w:val="21"/>
                <w:color w:val="auto"/>
              </w:rPr>
              <w:t>Secretary</w:t>
            </w:r>
          </w:p>
        </w:tc>
        <w:tc>
          <w:tcPr>
            <w:tcW w:w="880" w:type="dxa"/>
            <w:vAlign w:val="bottom"/>
          </w:tcPr>
          <w:p>
            <w:pPr>
              <w:ind w:left="280"/>
              <w:spacing w:after="0"/>
              <w:rPr>
                <w:sz w:val="20"/>
                <w:szCs w:val="20"/>
                <w:color w:val="auto"/>
              </w:rPr>
            </w:pPr>
            <w:r>
              <w:rPr>
                <w:rFonts w:ascii="Arial" w:cs="Arial" w:eastAsia="Arial" w:hAnsi="Arial"/>
                <w:sz w:val="21"/>
                <w:szCs w:val="21"/>
                <w:color w:val="auto"/>
              </w:rPr>
              <w:t>Title:</w:t>
            </w:r>
          </w:p>
        </w:tc>
        <w:tc>
          <w:tcPr>
            <w:tcW w:w="4240" w:type="dxa"/>
            <w:vAlign w:val="bottom"/>
            <w:gridSpan w:val="2"/>
          </w:tcPr>
          <w:p>
            <w:pPr>
              <w:spacing w:after="0"/>
              <w:rPr>
                <w:sz w:val="20"/>
                <w:szCs w:val="20"/>
                <w:color w:val="auto"/>
              </w:rPr>
            </w:pPr>
            <w:r>
              <w:rPr>
                <w:rFonts w:ascii="Arial" w:cs="Arial" w:eastAsia="Arial" w:hAnsi="Arial"/>
                <w:sz w:val="21"/>
                <w:szCs w:val="21"/>
                <w:color w:val="auto"/>
              </w:rPr>
              <w:t>Vice President</w:t>
            </w:r>
          </w:p>
        </w:tc>
      </w:tr>
      <w:tr>
        <w:trPr>
          <w:trHeight w:val="258"/>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1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880" w:type="dxa"/>
            <w:vAlign w:val="bottom"/>
          </w:tcPr>
          <w:p>
            <w:pPr>
              <w:spacing w:after="0"/>
              <w:rPr>
                <w:sz w:val="22"/>
                <w:szCs w:val="22"/>
                <w:color w:val="auto"/>
              </w:rPr>
            </w:pPr>
          </w:p>
        </w:tc>
        <w:tc>
          <w:tcPr>
            <w:tcW w:w="424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auto"/>
              </w:rPr>
              <w:t>(print or type)</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Approved as to form:</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9525</wp:posOffset>
            </wp:positionV>
            <wp:extent cx="27946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21"/>
          <w:szCs w:val="21"/>
          <w:color w:val="auto"/>
        </w:rPr>
        <w:t>for Assistant Chief Counsel</w:t>
      </w:r>
    </w:p>
    <w:p>
      <w:pPr>
        <w:spacing w:after="0" w:line="12" w:lineRule="exact"/>
        <w:rPr>
          <w:sz w:val="20"/>
          <w:szCs w:val="20"/>
          <w:color w:val="auto"/>
        </w:rPr>
      </w:pPr>
    </w:p>
    <w:p>
      <w:pPr>
        <w:ind w:left="400"/>
        <w:spacing w:after="0"/>
        <w:rPr>
          <w:sz w:val="20"/>
          <w:szCs w:val="20"/>
          <w:color w:val="auto"/>
        </w:rPr>
      </w:pPr>
      <w:r>
        <w:rPr>
          <w:rFonts w:ascii="Arial" w:cs="Arial" w:eastAsia="Arial" w:hAnsi="Arial"/>
          <w:sz w:val="21"/>
          <w:szCs w:val="21"/>
          <w:color w:val="auto"/>
        </w:rPr>
        <w:t>Maritime Administration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0" w:right="999" w:bottom="1440" w:gutter="0" w:footer="0" w:header="0"/>
        </w:sectPr>
      </w:pPr>
    </w:p>
    <w:bookmarkStart w:id="112" w:name="page113"/>
    <w:bookmarkEnd w:id="112"/>
    <w:p>
      <w:pPr>
        <w:ind w:left="7360"/>
        <w:spacing w:after="0"/>
        <w:rPr>
          <w:sz w:val="20"/>
          <w:szCs w:val="20"/>
          <w:color w:val="auto"/>
        </w:rPr>
      </w:pPr>
      <w:r>
        <w:rPr>
          <w:rFonts w:ascii="Arial" w:cs="Arial" w:eastAsia="Arial" w:hAnsi="Arial"/>
          <w:sz w:val="21"/>
          <w:szCs w:val="21"/>
          <w:color w:val="auto"/>
        </w:rPr>
        <w:t>Addendum No. 31</w:t>
      </w:r>
    </w:p>
    <w:p>
      <w:pPr>
        <w:spacing w:after="0" w:line="20" w:lineRule="exact"/>
        <w:rPr>
          <w:sz w:val="20"/>
          <w:szCs w:val="20"/>
          <w:color w:val="auto"/>
        </w:rPr>
      </w:pPr>
    </w:p>
    <w:p>
      <w:pPr>
        <w:ind w:left="7360"/>
        <w:spacing w:after="0"/>
        <w:rPr>
          <w:sz w:val="20"/>
          <w:szCs w:val="20"/>
          <w:color w:val="auto"/>
        </w:rPr>
      </w:pPr>
      <w:r>
        <w:rPr>
          <w:rFonts w:ascii="Arial" w:cs="Arial" w:eastAsia="Arial" w:hAnsi="Arial"/>
          <w:sz w:val="21"/>
          <w:szCs w:val="21"/>
          <w:color w:val="auto"/>
        </w:rPr>
        <w:t>Contract No. MA/CCF-316</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FORM OF ADDENDUM TO</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MARITIME ADMINISTRATION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CAPITAL CONSTRUCTION FUND AGREEMENT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WITH</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MATSON NAVIGATION COMPANY, INC.</w:t>
      </w:r>
    </w:p>
    <w:p>
      <w:pPr>
        <w:spacing w:after="0" w:line="227"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THIS AGREEMENT is made by and between the MARITIME ADMINISTRATOR (the “Administrator”), and MATSON NAVIGATION COMPANY, INC., a citizen of the United States (the “Contractor”), as an addendum to that certain Capital Construction Fund (“CCF’’) Agreement Contract No. MA/CCF-316 (the “Agreement”).</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auto"/>
        </w:rPr>
        <w:t>WHEREAS:</w:t>
      </w:r>
    </w:p>
    <w:p>
      <w:pPr>
        <w:spacing w:after="0" w:line="245" w:lineRule="exact"/>
        <w:rPr>
          <w:sz w:val="20"/>
          <w:szCs w:val="20"/>
          <w:color w:val="auto"/>
        </w:rPr>
      </w:pPr>
    </w:p>
    <w:p>
      <w:pPr>
        <w:ind w:firstLine="8"/>
        <w:spacing w:after="0" w:line="252" w:lineRule="auto"/>
        <w:tabs>
          <w:tab w:leader="none" w:pos="64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Administrator and the Contractor entered into the Agreement on September 21, 1976, under Section 607 of the Merchant Marine Act, 1936, as amended, now codified as Chapter 535 to Title 46 United States Code (the “Act”); and</w:t>
      </w:r>
    </w:p>
    <w:p>
      <w:pPr>
        <w:spacing w:after="0" w:line="211" w:lineRule="exact"/>
        <w:rPr>
          <w:rFonts w:ascii="Arial" w:cs="Arial" w:eastAsia="Arial" w:hAnsi="Arial"/>
          <w:sz w:val="21"/>
          <w:szCs w:val="21"/>
          <w:color w:val="auto"/>
        </w:rPr>
      </w:pPr>
    </w:p>
    <w:p>
      <w:pPr>
        <w:ind w:left="660" w:hanging="652"/>
        <w:spacing w:after="0"/>
        <w:tabs>
          <w:tab w:leader="none" w:pos="66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parties hereto desire to amend the Agreement as set forth in this Addendum.</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Administrator and the Contractor agree, effective as of August 26, 2005, as follows:</w:t>
      </w:r>
    </w:p>
    <w:p>
      <w:pPr>
        <w:spacing w:after="0" w:line="256" w:lineRule="exact"/>
        <w:rPr>
          <w:sz w:val="20"/>
          <w:szCs w:val="20"/>
          <w:color w:val="auto"/>
        </w:rPr>
      </w:pPr>
    </w:p>
    <w:p>
      <w:pPr>
        <w:ind w:right="420" w:firstLine="8"/>
        <w:spacing w:after="0" w:line="264" w:lineRule="auto"/>
        <w:tabs>
          <w:tab w:leader="none" w:pos="648"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Agreement is amended to add each of the following corporations to the Agreement, each of which is a wholly owned subsidiary of the Contractor:</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Matson Integrated Logistics,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Matson Terminals,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Matson Ventures, Inc.</w:t>
      </w:r>
    </w:p>
    <w:p>
      <w:pPr>
        <w:spacing w:after="0" w:line="227" w:lineRule="exact"/>
        <w:rPr>
          <w:sz w:val="20"/>
          <w:szCs w:val="20"/>
          <w:color w:val="auto"/>
        </w:rPr>
      </w:pPr>
    </w:p>
    <w:p>
      <w:pPr>
        <w:ind w:right="180" w:firstLine="8"/>
        <w:spacing w:after="0" w:line="264" w:lineRule="auto"/>
        <w:tabs>
          <w:tab w:leader="none" w:pos="648" w:val="left"/>
        </w:tabs>
        <w:numPr>
          <w:ilvl w:val="0"/>
          <w:numId w:val="140"/>
        </w:numPr>
        <w:rPr>
          <w:rFonts w:ascii="Arial" w:cs="Arial" w:eastAsia="Arial" w:hAnsi="Arial"/>
          <w:sz w:val="21"/>
          <w:szCs w:val="21"/>
          <w:color w:val="auto"/>
        </w:rPr>
      </w:pPr>
      <w:r>
        <w:rPr>
          <w:rFonts w:ascii="Arial" w:cs="Arial" w:eastAsia="Arial" w:hAnsi="Arial"/>
          <w:sz w:val="21"/>
          <w:szCs w:val="21"/>
          <w:color w:val="auto"/>
        </w:rPr>
        <w:t>Acceptance by each of the additional corporations of the obligations of the Agreement shall be established by its execution of the acceptance of the addendum.</w:t>
      </w:r>
    </w:p>
    <w:p>
      <w:pPr>
        <w:spacing w:after="0" w:line="198" w:lineRule="exact"/>
        <w:rPr>
          <w:sz w:val="20"/>
          <w:szCs w:val="20"/>
          <w:color w:val="auto"/>
        </w:rPr>
      </w:pPr>
    </w:p>
    <w:p>
      <w:pPr>
        <w:ind w:right="420" w:firstLine="8"/>
        <w:spacing w:after="0" w:line="264" w:lineRule="auto"/>
        <w:tabs>
          <w:tab w:leader="none" w:pos="648" w:val="left"/>
        </w:tabs>
        <w:numPr>
          <w:ilvl w:val="0"/>
          <w:numId w:val="141"/>
        </w:numPr>
        <w:rPr>
          <w:rFonts w:ascii="Arial" w:cs="Arial" w:eastAsia="Arial" w:hAnsi="Arial"/>
          <w:sz w:val="21"/>
          <w:szCs w:val="21"/>
          <w:color w:val="auto"/>
        </w:rPr>
      </w:pPr>
      <w:r>
        <w:rPr>
          <w:rFonts w:ascii="Arial" w:cs="Arial" w:eastAsia="Arial" w:hAnsi="Arial"/>
          <w:sz w:val="21"/>
          <w:szCs w:val="21"/>
          <w:color w:val="auto"/>
        </w:rPr>
        <w:t>Except as herein otherwise expressly provided, the Agreement, as heretofore amended, shall remain in full force and effect.</w:t>
      </w:r>
    </w:p>
    <w:p>
      <w:pPr>
        <w:spacing w:after="0" w:line="198" w:lineRule="exact"/>
        <w:rPr>
          <w:sz w:val="20"/>
          <w:szCs w:val="20"/>
          <w:color w:val="auto"/>
        </w:rPr>
      </w:pPr>
    </w:p>
    <w:p>
      <w:pPr>
        <w:ind w:right="260"/>
        <w:spacing w:after="0" w:line="264" w:lineRule="auto"/>
        <w:rPr>
          <w:sz w:val="20"/>
          <w:szCs w:val="20"/>
          <w:color w:val="auto"/>
        </w:rPr>
      </w:pPr>
      <w:r>
        <w:rPr>
          <w:rFonts w:ascii="Arial" w:cs="Arial" w:eastAsia="Arial" w:hAnsi="Arial"/>
          <w:sz w:val="21"/>
          <w:szCs w:val="21"/>
          <w:color w:val="auto"/>
        </w:rPr>
        <w:t>CONFIDENTIAL BUSINESS INFORMATION EXEMPT FROM FOIA DISCLOSURE PURSUANT TO 5 U.S.C. 552(b)(4)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459740</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96" w:right="1019" w:bottom="1440" w:gutter="0" w:footer="0" w:header="0"/>
        </w:sectPr>
      </w:pPr>
    </w:p>
    <w:bookmarkStart w:id="113" w:name="page114"/>
    <w:bookmarkEnd w:id="113"/>
    <w:p>
      <w:pPr>
        <w:ind w:right="120"/>
        <w:spacing w:after="0" w:line="264" w:lineRule="auto"/>
        <w:rPr>
          <w:sz w:val="20"/>
          <w:szCs w:val="20"/>
          <w:color w:val="auto"/>
        </w:rPr>
      </w:pPr>
      <w:r>
        <w:rPr>
          <w:rFonts w:ascii="Arial" w:cs="Arial" w:eastAsia="Arial" w:hAnsi="Arial"/>
          <w:sz w:val="21"/>
          <w:szCs w:val="21"/>
          <w:color w:val="auto"/>
        </w:rPr>
        <w:t>IN WITNESS WHEREOF, the parties have executed this Addendum No. 31 in four counterparts, effective as the date set forth hereinabove and actually on 22nd day of July, 2010.</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8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5100" w:type="dxa"/>
            <w:vAlign w:val="bottom"/>
            <w:gridSpan w:val="2"/>
          </w:tcPr>
          <w:p>
            <w:pPr>
              <w:ind w:left="220"/>
              <w:spacing w:after="0"/>
              <w:rPr>
                <w:sz w:val="20"/>
                <w:szCs w:val="20"/>
                <w:color w:val="auto"/>
              </w:rPr>
            </w:pPr>
            <w:r>
              <w:rPr>
                <w:rFonts w:ascii="Arial" w:cs="Arial" w:eastAsia="Arial" w:hAnsi="Arial"/>
                <w:sz w:val="21"/>
                <w:szCs w:val="21"/>
                <w:color w:val="auto"/>
              </w:rPr>
              <w:t>UNITED STATES OF AMERICA</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5100" w:type="dxa"/>
            <w:vAlign w:val="bottom"/>
            <w:gridSpan w:val="2"/>
          </w:tcPr>
          <w:p>
            <w:pPr>
              <w:ind w:left="220"/>
              <w:spacing w:after="0"/>
              <w:rPr>
                <w:sz w:val="20"/>
                <w:szCs w:val="20"/>
                <w:color w:val="auto"/>
              </w:rPr>
            </w:pPr>
            <w:r>
              <w:rPr>
                <w:rFonts w:ascii="Arial" w:cs="Arial" w:eastAsia="Arial" w:hAnsi="Arial"/>
                <w:sz w:val="21"/>
                <w:szCs w:val="21"/>
                <w:color w:val="auto"/>
              </w:rPr>
              <w:t>SECRETARY OF TRANSPORTATION</w:t>
            </w:r>
          </w:p>
        </w:tc>
        <w:tc>
          <w:tcPr>
            <w:tcW w:w="0" w:type="dxa"/>
            <w:vAlign w:val="bottom"/>
          </w:tcPr>
          <w:p>
            <w:pPr>
              <w:spacing w:after="0"/>
              <w:rPr>
                <w:sz w:val="1"/>
                <w:szCs w:val="1"/>
                <w:color w:val="auto"/>
              </w:rPr>
            </w:pPr>
          </w:p>
        </w:tc>
      </w:tr>
      <w:tr>
        <w:trPr>
          <w:trHeight w:val="264"/>
        </w:trPr>
        <w:tc>
          <w:tcPr>
            <w:tcW w:w="4720" w:type="dxa"/>
            <w:vAlign w:val="bottom"/>
            <w:gridSpan w:val="2"/>
            <w:vMerge w:val="restart"/>
          </w:tcPr>
          <w:p>
            <w:pPr>
              <w:spacing w:after="0"/>
              <w:rPr>
                <w:sz w:val="20"/>
                <w:szCs w:val="20"/>
                <w:color w:val="auto"/>
              </w:rPr>
            </w:pPr>
            <w:r>
              <w:rPr>
                <w:rFonts w:ascii="Arial" w:cs="Arial" w:eastAsia="Arial" w:hAnsi="Arial"/>
                <w:sz w:val="21"/>
                <w:szCs w:val="21"/>
                <w:color w:val="auto"/>
              </w:rPr>
              <w:t>ATTEST:</w:t>
            </w:r>
          </w:p>
        </w:tc>
        <w:tc>
          <w:tcPr>
            <w:tcW w:w="5100" w:type="dxa"/>
            <w:vAlign w:val="bottom"/>
            <w:gridSpan w:val="2"/>
          </w:tcPr>
          <w:p>
            <w:pPr>
              <w:ind w:left="220"/>
              <w:spacing w:after="0"/>
              <w:rPr>
                <w:sz w:val="20"/>
                <w:szCs w:val="20"/>
                <w:color w:val="auto"/>
              </w:rPr>
            </w:pPr>
            <w:r>
              <w:rPr>
                <w:rFonts w:ascii="Arial" w:cs="Arial" w:eastAsia="Arial" w:hAnsi="Arial"/>
                <w:sz w:val="21"/>
                <w:szCs w:val="21"/>
                <w:color w:val="auto"/>
              </w:rPr>
              <w:t>MARITIME ADMINISTRATION</w:t>
            </w:r>
          </w:p>
        </w:tc>
        <w:tc>
          <w:tcPr>
            <w:tcW w:w="0" w:type="dxa"/>
            <w:vAlign w:val="bottom"/>
          </w:tcPr>
          <w:p>
            <w:pPr>
              <w:spacing w:after="0"/>
              <w:rPr>
                <w:sz w:val="1"/>
                <w:szCs w:val="1"/>
                <w:color w:val="auto"/>
              </w:rPr>
            </w:pPr>
          </w:p>
        </w:tc>
      </w:tr>
      <w:tr>
        <w:trPr>
          <w:trHeight w:val="243"/>
        </w:trPr>
        <w:tc>
          <w:tcPr>
            <w:tcW w:w="472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1"/>
        </w:trPr>
        <w:tc>
          <w:tcPr>
            <w:tcW w:w="4720" w:type="dxa"/>
            <w:vAlign w:val="bottom"/>
            <w:gridSpan w:val="2"/>
          </w:tcPr>
          <w:p>
            <w:pPr>
              <w:spacing w:after="0"/>
              <w:rPr>
                <w:sz w:val="20"/>
                <w:szCs w:val="20"/>
                <w:color w:val="auto"/>
              </w:rPr>
            </w:pPr>
            <w:r>
              <w:rPr>
                <w:rFonts w:ascii="Arial" w:cs="Arial" w:eastAsia="Arial" w:hAnsi="Arial"/>
                <w:sz w:val="21"/>
                <w:szCs w:val="21"/>
                <w:color w:val="auto"/>
              </w:rPr>
              <w:t>By:</w:t>
            </w:r>
          </w:p>
        </w:tc>
        <w:tc>
          <w:tcPr>
            <w:tcW w:w="5100" w:type="dxa"/>
            <w:vAlign w:val="bottom"/>
            <w:gridSpan w:val="2"/>
          </w:tcPr>
          <w:p>
            <w:pPr>
              <w:ind w:left="220"/>
              <w:spacing w:after="0"/>
              <w:rPr>
                <w:sz w:val="20"/>
                <w:szCs w:val="20"/>
                <w:color w:val="auto"/>
              </w:rPr>
            </w:pPr>
            <w:r>
              <w:rPr>
                <w:rFonts w:ascii="Arial" w:cs="Arial" w:eastAsia="Arial" w:hAnsi="Arial"/>
                <w:sz w:val="21"/>
                <w:szCs w:val="21"/>
                <w:color w:val="auto"/>
              </w:rPr>
              <w:t>By:</w:t>
            </w:r>
          </w:p>
        </w:tc>
        <w:tc>
          <w:tcPr>
            <w:tcW w:w="0" w:type="dxa"/>
            <w:vAlign w:val="bottom"/>
          </w:tcPr>
          <w:p>
            <w:pPr>
              <w:spacing w:after="0"/>
              <w:rPr>
                <w:sz w:val="1"/>
                <w:szCs w:val="1"/>
                <w:color w:val="auto"/>
              </w:rPr>
            </w:pPr>
          </w:p>
        </w:tc>
      </w:tr>
      <w:tr>
        <w:trPr>
          <w:trHeight w:val="258"/>
        </w:trPr>
        <w:tc>
          <w:tcPr>
            <w:tcW w:w="580" w:type="dxa"/>
            <w:vAlign w:val="bottom"/>
          </w:tcPr>
          <w:p>
            <w:pPr>
              <w:spacing w:after="0"/>
              <w:rPr>
                <w:sz w:val="22"/>
                <w:szCs w:val="22"/>
                <w:color w:val="auto"/>
              </w:rPr>
            </w:pPr>
          </w:p>
        </w:tc>
        <w:tc>
          <w:tcPr>
            <w:tcW w:w="41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Assistant Secretary</w:t>
            </w:r>
          </w:p>
        </w:tc>
        <w:tc>
          <w:tcPr>
            <w:tcW w:w="920" w:type="dxa"/>
            <w:vAlign w:val="bottom"/>
          </w:tcPr>
          <w:p>
            <w:pPr>
              <w:spacing w:after="0"/>
              <w:rPr>
                <w:sz w:val="22"/>
                <w:szCs w:val="22"/>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Contracting Officer</w:t>
            </w:r>
          </w:p>
        </w:tc>
        <w:tc>
          <w:tcPr>
            <w:tcW w:w="0" w:type="dxa"/>
            <w:vAlign w:val="bottom"/>
          </w:tcPr>
          <w:p>
            <w:pPr>
              <w:spacing w:after="0"/>
              <w:rPr>
                <w:sz w:val="1"/>
                <w:szCs w:val="1"/>
                <w:color w:val="auto"/>
              </w:rPr>
            </w:pPr>
          </w:p>
        </w:tc>
      </w:tr>
      <w:tr>
        <w:trPr>
          <w:trHeight w:val="716"/>
        </w:trPr>
        <w:tc>
          <w:tcPr>
            <w:tcW w:w="4720" w:type="dxa"/>
            <w:vAlign w:val="bottom"/>
            <w:gridSpan w:val="2"/>
            <w:vMerge w:val="restart"/>
          </w:tcPr>
          <w:p>
            <w:pPr>
              <w:spacing w:after="0"/>
              <w:rPr>
                <w:sz w:val="20"/>
                <w:szCs w:val="20"/>
                <w:color w:val="auto"/>
              </w:rPr>
            </w:pPr>
            <w:r>
              <w:rPr>
                <w:rFonts w:ascii="Arial" w:cs="Arial" w:eastAsia="Arial" w:hAnsi="Arial"/>
                <w:sz w:val="21"/>
                <w:szCs w:val="21"/>
                <w:color w:val="auto"/>
              </w:rPr>
              <w:t>ATTEST:</w:t>
            </w:r>
          </w:p>
        </w:tc>
        <w:tc>
          <w:tcPr>
            <w:tcW w:w="5100" w:type="dxa"/>
            <w:vAlign w:val="bottom"/>
            <w:gridSpan w:val="2"/>
          </w:tcPr>
          <w:p>
            <w:pPr>
              <w:ind w:left="280"/>
              <w:spacing w:after="0"/>
              <w:rPr>
                <w:sz w:val="20"/>
                <w:szCs w:val="20"/>
                <w:color w:val="auto"/>
              </w:rPr>
            </w:pPr>
            <w:r>
              <w:rPr>
                <w:rFonts w:ascii="Arial" w:cs="Arial" w:eastAsia="Arial" w:hAnsi="Arial"/>
                <w:sz w:val="21"/>
                <w:szCs w:val="21"/>
                <w:color w:val="auto"/>
              </w:rPr>
              <w:t>MATSON NAVIGATION COMPANY, INC.</w:t>
            </w:r>
          </w:p>
        </w:tc>
        <w:tc>
          <w:tcPr>
            <w:tcW w:w="0" w:type="dxa"/>
            <w:vAlign w:val="bottom"/>
          </w:tcPr>
          <w:p>
            <w:pPr>
              <w:spacing w:after="0"/>
              <w:rPr>
                <w:sz w:val="1"/>
                <w:szCs w:val="1"/>
                <w:color w:val="auto"/>
              </w:rPr>
            </w:pPr>
          </w:p>
        </w:tc>
      </w:tr>
      <w:tr>
        <w:trPr>
          <w:trHeight w:val="243"/>
        </w:trPr>
        <w:tc>
          <w:tcPr>
            <w:tcW w:w="472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8"/>
        </w:trPr>
        <w:tc>
          <w:tcPr>
            <w:tcW w:w="580" w:type="dxa"/>
            <w:vAlign w:val="bottom"/>
          </w:tcPr>
          <w:p>
            <w:pPr>
              <w:spacing w:after="0"/>
              <w:rPr>
                <w:sz w:val="20"/>
                <w:szCs w:val="20"/>
                <w:color w:val="auto"/>
              </w:rPr>
            </w:pPr>
            <w:r>
              <w:rPr>
                <w:rFonts w:ascii="Arial" w:cs="Arial" w:eastAsia="Arial" w:hAnsi="Arial"/>
                <w:sz w:val="21"/>
                <w:szCs w:val="21"/>
                <w:color w:val="auto"/>
              </w:rPr>
              <w:t>By:</w:t>
            </w:r>
          </w:p>
        </w:tc>
        <w:tc>
          <w:tcPr>
            <w:tcW w:w="4140" w:type="dxa"/>
            <w:vAlign w:val="bottom"/>
            <w:tcBorders>
              <w:bottom w:val="single" w:sz="8" w:color="auto"/>
            </w:tcBorders>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21"/>
                <w:szCs w:val="21"/>
                <w:color w:val="auto"/>
              </w:rPr>
              <w:t>By:</w:t>
            </w:r>
          </w:p>
        </w:tc>
        <w:tc>
          <w:tcPr>
            <w:tcW w:w="4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720" w:type="dxa"/>
            <w:vAlign w:val="bottom"/>
            <w:gridSpan w:val="2"/>
          </w:tcPr>
          <w:p>
            <w:pPr>
              <w:spacing w:after="0"/>
              <w:rPr>
                <w:sz w:val="20"/>
                <w:szCs w:val="20"/>
                <w:color w:val="auto"/>
              </w:rPr>
            </w:pPr>
            <w:r>
              <w:rPr>
                <w:rFonts w:ascii="Arial" w:cs="Arial" w:eastAsia="Arial" w:hAnsi="Arial"/>
                <w:sz w:val="21"/>
                <w:szCs w:val="21"/>
                <w:color w:val="auto"/>
              </w:rPr>
              <w:t>Name:</w:t>
            </w:r>
          </w:p>
        </w:tc>
        <w:tc>
          <w:tcPr>
            <w:tcW w:w="5100" w:type="dxa"/>
            <w:vAlign w:val="bottom"/>
            <w:gridSpan w:val="2"/>
          </w:tcPr>
          <w:p>
            <w:pPr>
              <w:ind w:left="220"/>
              <w:spacing w:after="0"/>
              <w:rPr>
                <w:sz w:val="20"/>
                <w:szCs w:val="20"/>
                <w:color w:val="auto"/>
              </w:rPr>
            </w:pPr>
            <w:r>
              <w:rPr>
                <w:rFonts w:ascii="Arial" w:cs="Arial" w:eastAsia="Arial" w:hAnsi="Arial"/>
                <w:sz w:val="21"/>
                <w:szCs w:val="21"/>
                <w:color w:val="auto"/>
              </w:rPr>
              <w:t>Name:</w:t>
            </w:r>
          </w:p>
        </w:tc>
        <w:tc>
          <w:tcPr>
            <w:tcW w:w="0" w:type="dxa"/>
            <w:vAlign w:val="bottom"/>
          </w:tcPr>
          <w:p>
            <w:pPr>
              <w:spacing w:after="0"/>
              <w:rPr>
                <w:sz w:val="1"/>
                <w:szCs w:val="1"/>
                <w:color w:val="auto"/>
              </w:rPr>
            </w:pPr>
          </w:p>
        </w:tc>
      </w:tr>
      <w:tr>
        <w:trPr>
          <w:trHeight w:val="258"/>
        </w:trPr>
        <w:tc>
          <w:tcPr>
            <w:tcW w:w="580" w:type="dxa"/>
            <w:vAlign w:val="bottom"/>
          </w:tcPr>
          <w:p>
            <w:pPr>
              <w:spacing w:after="0"/>
              <w:rPr>
                <w:sz w:val="22"/>
                <w:szCs w:val="22"/>
                <w:color w:val="auto"/>
              </w:rPr>
            </w:pPr>
          </w:p>
        </w:tc>
        <w:tc>
          <w:tcPr>
            <w:tcW w:w="41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920" w:type="dxa"/>
            <w:vAlign w:val="bottom"/>
          </w:tcPr>
          <w:p>
            <w:pPr>
              <w:spacing w:after="0"/>
              <w:rPr>
                <w:sz w:val="22"/>
                <w:szCs w:val="22"/>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0" w:type="dxa"/>
            <w:vAlign w:val="bottom"/>
          </w:tcPr>
          <w:p>
            <w:pPr>
              <w:spacing w:after="0"/>
              <w:rPr>
                <w:sz w:val="1"/>
                <w:szCs w:val="1"/>
                <w:color w:val="auto"/>
              </w:rPr>
            </w:pPr>
          </w:p>
        </w:tc>
      </w:tr>
      <w:tr>
        <w:trPr>
          <w:trHeight w:val="465"/>
        </w:trPr>
        <w:tc>
          <w:tcPr>
            <w:tcW w:w="4720" w:type="dxa"/>
            <w:vAlign w:val="bottom"/>
            <w:gridSpan w:val="2"/>
          </w:tcPr>
          <w:p>
            <w:pPr>
              <w:spacing w:after="0"/>
              <w:rPr>
                <w:sz w:val="20"/>
                <w:szCs w:val="20"/>
                <w:color w:val="auto"/>
              </w:rPr>
            </w:pPr>
            <w:r>
              <w:rPr>
                <w:rFonts w:ascii="Arial" w:cs="Arial" w:eastAsia="Arial" w:hAnsi="Arial"/>
                <w:sz w:val="21"/>
                <w:szCs w:val="21"/>
                <w:color w:val="auto"/>
              </w:rPr>
              <w:t>Title:  Assistant Secretary</w:t>
            </w:r>
          </w:p>
        </w:tc>
        <w:tc>
          <w:tcPr>
            <w:tcW w:w="5100" w:type="dxa"/>
            <w:vAlign w:val="bottom"/>
            <w:gridSpan w:val="2"/>
          </w:tcPr>
          <w:p>
            <w:pPr>
              <w:ind w:left="220"/>
              <w:spacing w:after="0"/>
              <w:rPr>
                <w:sz w:val="20"/>
                <w:szCs w:val="20"/>
                <w:color w:val="auto"/>
              </w:rPr>
            </w:pPr>
            <w:r>
              <w:rPr>
                <w:rFonts w:ascii="Arial" w:cs="Arial" w:eastAsia="Arial" w:hAnsi="Arial"/>
                <w:sz w:val="21"/>
                <w:szCs w:val="21"/>
                <w:color w:val="auto"/>
              </w:rPr>
              <w:t>Title:   President</w:t>
            </w:r>
          </w:p>
        </w:tc>
        <w:tc>
          <w:tcPr>
            <w:tcW w:w="0" w:type="dxa"/>
            <w:vAlign w:val="bottom"/>
          </w:tcPr>
          <w:p>
            <w:pPr>
              <w:spacing w:after="0"/>
              <w:rPr>
                <w:sz w:val="1"/>
                <w:szCs w:val="1"/>
                <w:color w:val="auto"/>
              </w:rPr>
            </w:pPr>
          </w:p>
        </w:tc>
      </w:tr>
      <w:tr>
        <w:trPr>
          <w:trHeight w:val="258"/>
        </w:trPr>
        <w:tc>
          <w:tcPr>
            <w:tcW w:w="580" w:type="dxa"/>
            <w:vAlign w:val="bottom"/>
          </w:tcPr>
          <w:p>
            <w:pPr>
              <w:spacing w:after="0"/>
              <w:rPr>
                <w:sz w:val="22"/>
                <w:szCs w:val="22"/>
                <w:color w:val="auto"/>
              </w:rPr>
            </w:pPr>
          </w:p>
        </w:tc>
        <w:tc>
          <w:tcPr>
            <w:tcW w:w="41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920" w:type="dxa"/>
            <w:vAlign w:val="bottom"/>
          </w:tcPr>
          <w:p>
            <w:pPr>
              <w:spacing w:after="0"/>
              <w:rPr>
                <w:sz w:val="22"/>
                <w:szCs w:val="22"/>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(print or type)</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080" w:type="dxa"/>
            <w:vAlign w:val="bottom"/>
            <w:gridSpan w:val="4"/>
          </w:tcPr>
          <w:p>
            <w:pPr>
              <w:spacing w:after="0"/>
              <w:rPr>
                <w:sz w:val="20"/>
                <w:szCs w:val="20"/>
                <w:color w:val="auto"/>
              </w:rPr>
            </w:pPr>
            <w:r>
              <w:rPr>
                <w:rFonts w:ascii="Arial" w:cs="Arial" w:eastAsia="Arial" w:hAnsi="Arial"/>
                <w:sz w:val="21"/>
                <w:szCs w:val="21"/>
                <w:color w:val="auto"/>
              </w:rPr>
              <w:t>ADDENDUM ACCEPTED</w:t>
            </w:r>
          </w:p>
        </w:tc>
      </w:tr>
      <w:tr>
        <w:trPr>
          <w:trHeight w:val="20"/>
        </w:trPr>
        <w:tc>
          <w:tcPr>
            <w:tcW w:w="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93"/>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100" w:type="dxa"/>
            <w:vAlign w:val="bottom"/>
            <w:gridSpan w:val="3"/>
          </w:tcPr>
          <w:p>
            <w:pPr>
              <w:ind w:left="220"/>
              <w:spacing w:after="0"/>
              <w:rPr>
                <w:sz w:val="20"/>
                <w:szCs w:val="20"/>
                <w:color w:val="auto"/>
              </w:rPr>
            </w:pPr>
            <w:r>
              <w:rPr>
                <w:rFonts w:ascii="Arial" w:cs="Arial" w:eastAsia="Arial" w:hAnsi="Arial"/>
                <w:sz w:val="21"/>
                <w:szCs w:val="21"/>
                <w:color w:val="auto"/>
              </w:rPr>
              <w:t>MATSON INTEGRATED LOGISTICS, INC.</w:t>
            </w:r>
          </w:p>
        </w:tc>
      </w:tr>
      <w:tr>
        <w:trPr>
          <w:trHeight w:val="264"/>
        </w:trPr>
        <w:tc>
          <w:tcPr>
            <w:tcW w:w="9820" w:type="dxa"/>
            <w:vAlign w:val="bottom"/>
            <w:gridSpan w:val="6"/>
          </w:tcPr>
          <w:p>
            <w:pPr>
              <w:ind w:left="40"/>
              <w:spacing w:after="0"/>
              <w:rPr>
                <w:sz w:val="20"/>
                <w:szCs w:val="20"/>
                <w:color w:val="auto"/>
              </w:rPr>
            </w:pPr>
            <w:r>
              <w:rPr>
                <w:rFonts w:ascii="Arial" w:cs="Arial" w:eastAsia="Arial" w:hAnsi="Arial"/>
                <w:sz w:val="21"/>
                <w:szCs w:val="21"/>
                <w:color w:val="auto"/>
              </w:rPr>
              <w:t>ATTEST:</w:t>
            </w:r>
          </w:p>
        </w:tc>
      </w:tr>
      <w:tr>
        <w:trPr>
          <w:trHeight w:val="478"/>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21"/>
                <w:szCs w:val="21"/>
                <w:color w:val="auto"/>
              </w:rPr>
              <w:t>By:</w:t>
            </w:r>
          </w:p>
        </w:tc>
        <w:tc>
          <w:tcPr>
            <w:tcW w:w="4180" w:type="dxa"/>
            <w:vAlign w:val="bottom"/>
            <w:tcBorders>
              <w:bottom w:val="single" w:sz="8" w:color="auto"/>
            </w:tcBorders>
            <w:gridSpan w:val="2"/>
          </w:tcPr>
          <w:p>
            <w:pPr>
              <w:spacing w:after="0"/>
              <w:rPr>
                <w:sz w:val="24"/>
                <w:szCs w:val="24"/>
                <w:color w:val="auto"/>
              </w:rPr>
            </w:pPr>
          </w:p>
        </w:tc>
      </w:tr>
      <w:tr>
        <w:trPr>
          <w:trHeight w:val="480"/>
        </w:trPr>
        <w:tc>
          <w:tcPr>
            <w:tcW w:w="580" w:type="dxa"/>
            <w:vAlign w:val="bottom"/>
          </w:tcPr>
          <w:p>
            <w:pPr>
              <w:spacing w:after="0"/>
              <w:rPr>
                <w:sz w:val="20"/>
                <w:szCs w:val="20"/>
                <w:color w:val="auto"/>
              </w:rPr>
            </w:pPr>
            <w:r>
              <w:rPr>
                <w:rFonts w:ascii="Arial" w:cs="Arial" w:eastAsia="Arial" w:hAnsi="Arial"/>
                <w:sz w:val="21"/>
                <w:szCs w:val="21"/>
                <w:color w:val="auto"/>
              </w:rPr>
              <w:t>By:</w:t>
            </w:r>
          </w:p>
        </w:tc>
        <w:tc>
          <w:tcPr>
            <w:tcW w:w="3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21"/>
                <w:szCs w:val="21"/>
                <w:color w:val="auto"/>
              </w:rPr>
              <w:t>Name:</w:t>
            </w:r>
          </w:p>
        </w:tc>
        <w:tc>
          <w:tcPr>
            <w:tcW w:w="4180" w:type="dxa"/>
            <w:vAlign w:val="bottom"/>
            <w:tcBorders>
              <w:bottom w:val="single" w:sz="8" w:color="auto"/>
            </w:tcBorders>
            <w:gridSpan w:val="2"/>
          </w:tcPr>
          <w:p>
            <w:pPr>
              <w:spacing w:after="0"/>
              <w:rPr>
                <w:sz w:val="24"/>
                <w:szCs w:val="24"/>
                <w:color w:val="auto"/>
              </w:rPr>
            </w:pPr>
          </w:p>
        </w:tc>
      </w:tr>
      <w:tr>
        <w:trPr>
          <w:trHeight w:val="480"/>
        </w:trPr>
        <w:tc>
          <w:tcPr>
            <w:tcW w:w="580" w:type="dxa"/>
            <w:vAlign w:val="bottom"/>
          </w:tcPr>
          <w:p>
            <w:pPr>
              <w:spacing w:after="0"/>
              <w:rPr>
                <w:sz w:val="20"/>
                <w:szCs w:val="20"/>
                <w:color w:val="auto"/>
              </w:rPr>
            </w:pPr>
            <w:r>
              <w:rPr>
                <w:rFonts w:ascii="Arial" w:cs="Arial" w:eastAsia="Arial" w:hAnsi="Arial"/>
                <w:sz w:val="21"/>
                <w:szCs w:val="21"/>
                <w:color w:val="auto"/>
                <w:w w:val="90"/>
              </w:rPr>
              <w:t>Name:</w:t>
            </w:r>
          </w:p>
        </w:tc>
        <w:tc>
          <w:tcPr>
            <w:tcW w:w="3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100" w:type="dxa"/>
            <w:vAlign w:val="bottom"/>
            <w:gridSpan w:val="3"/>
          </w:tcPr>
          <w:p>
            <w:pPr>
              <w:ind w:left="220"/>
              <w:spacing w:after="0"/>
              <w:rPr>
                <w:sz w:val="20"/>
                <w:szCs w:val="20"/>
                <w:color w:val="auto"/>
              </w:rPr>
            </w:pPr>
            <w:r>
              <w:rPr>
                <w:rFonts w:ascii="Arial" w:cs="Arial" w:eastAsia="Arial" w:hAnsi="Arial"/>
                <w:sz w:val="21"/>
                <w:szCs w:val="21"/>
                <w:color w:val="auto"/>
              </w:rPr>
              <w:t>Title:   Chairman of the Board &amp; President</w:t>
            </w:r>
          </w:p>
        </w:tc>
      </w:tr>
      <w:tr>
        <w:trPr>
          <w:trHeight w:val="479"/>
        </w:trPr>
        <w:tc>
          <w:tcPr>
            <w:tcW w:w="580" w:type="dxa"/>
            <w:vAlign w:val="bottom"/>
          </w:tcPr>
          <w:p>
            <w:pPr>
              <w:spacing w:after="0"/>
              <w:rPr>
                <w:sz w:val="20"/>
                <w:szCs w:val="20"/>
                <w:color w:val="auto"/>
              </w:rPr>
            </w:pPr>
            <w:r>
              <w:rPr>
                <w:rFonts w:ascii="Arial" w:cs="Arial" w:eastAsia="Arial" w:hAnsi="Arial"/>
                <w:sz w:val="21"/>
                <w:szCs w:val="21"/>
                <w:color w:val="auto"/>
              </w:rPr>
              <w:t>Title:</w:t>
            </w:r>
          </w:p>
        </w:tc>
        <w:tc>
          <w:tcPr>
            <w:tcW w:w="4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1"/>
                <w:szCs w:val="21"/>
                <w:color w:val="auto"/>
              </w:rPr>
              <w:t>Assistant Secretary</w:t>
            </w:r>
          </w:p>
        </w:tc>
        <w:tc>
          <w:tcPr>
            <w:tcW w:w="920" w:type="dxa"/>
            <w:vAlign w:val="bottom"/>
          </w:tcPr>
          <w:p>
            <w:pPr>
              <w:spacing w:after="0"/>
              <w:rPr>
                <w:sz w:val="24"/>
                <w:szCs w:val="24"/>
                <w:color w:val="auto"/>
              </w:rPr>
            </w:pPr>
          </w:p>
        </w:tc>
        <w:tc>
          <w:tcPr>
            <w:tcW w:w="4180" w:type="dxa"/>
            <w:vAlign w:val="bottom"/>
            <w:tcBorders>
              <w:top w:val="single" w:sz="8" w:color="auto"/>
            </w:tcBorders>
            <w:gridSpan w:val="2"/>
          </w:tcPr>
          <w:p>
            <w:pPr>
              <w:spacing w:after="0"/>
              <w:rPr>
                <w:sz w:val="24"/>
                <w:szCs w:val="24"/>
                <w:color w:val="auto"/>
              </w:rPr>
            </w:pPr>
          </w:p>
        </w:tc>
      </w:tr>
    </w:tbl>
    <w:p>
      <w:pPr>
        <w:spacing w:after="0" w:line="230" w:lineRule="exact"/>
        <w:rPr>
          <w:sz w:val="20"/>
          <w:szCs w:val="20"/>
          <w:color w:val="auto"/>
        </w:rPr>
      </w:pPr>
    </w:p>
    <w:p>
      <w:pPr>
        <w:ind w:right="240"/>
        <w:spacing w:after="0" w:line="264" w:lineRule="auto"/>
        <w:rPr>
          <w:sz w:val="20"/>
          <w:szCs w:val="20"/>
          <w:color w:val="auto"/>
        </w:rPr>
      </w:pPr>
      <w:r>
        <w:rPr>
          <w:rFonts w:ascii="Arial" w:cs="Arial" w:eastAsia="Arial" w:hAnsi="Arial"/>
          <w:sz w:val="21"/>
          <w:szCs w:val="21"/>
          <w:color w:val="auto"/>
        </w:rPr>
        <w:t>CONFIDENTIAL BUSINESS INFORMATION EXEMPT FROM FOIA DISCLOSURE PURSUANT TO 5 U.S.C. 552(b)(4)</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487045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882" w:right="10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64"/>
        </w:trPr>
        <w:tc>
          <w:tcPr>
            <w:tcW w:w="64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5200" w:type="dxa"/>
            <w:vAlign w:val="bottom"/>
            <w:gridSpan w:val="2"/>
          </w:tcPr>
          <w:p>
            <w:pPr>
              <w:ind w:left="240"/>
              <w:spacing w:after="0"/>
              <w:rPr>
                <w:sz w:val="20"/>
                <w:szCs w:val="20"/>
                <w:color w:val="auto"/>
              </w:rPr>
            </w:pPr>
            <w:r>
              <w:rPr>
                <w:rFonts w:ascii="Arial" w:cs="Arial" w:eastAsia="Arial" w:hAnsi="Arial"/>
                <w:sz w:val="21"/>
                <w:szCs w:val="21"/>
                <w:color w:val="auto"/>
              </w:rPr>
              <w:t>MATSON TERMINALS, INC.</w:t>
            </w:r>
          </w:p>
        </w:tc>
      </w:tr>
      <w:tr>
        <w:trPr>
          <w:trHeight w:val="478"/>
        </w:trPr>
        <w:tc>
          <w:tcPr>
            <w:tcW w:w="4720" w:type="dxa"/>
            <w:vAlign w:val="bottom"/>
            <w:gridSpan w:val="2"/>
          </w:tcPr>
          <w:p>
            <w:pPr>
              <w:spacing w:after="0"/>
              <w:rPr>
                <w:sz w:val="20"/>
                <w:szCs w:val="20"/>
                <w:color w:val="auto"/>
              </w:rPr>
            </w:pPr>
            <w:r>
              <w:rPr>
                <w:rFonts w:ascii="Arial" w:cs="Arial" w:eastAsia="Arial" w:hAnsi="Arial"/>
                <w:sz w:val="21"/>
                <w:szCs w:val="21"/>
                <w:color w:val="auto"/>
              </w:rPr>
              <w:t>ATTEST:</w:t>
            </w:r>
          </w:p>
        </w:tc>
        <w:tc>
          <w:tcPr>
            <w:tcW w:w="820" w:type="dxa"/>
            <w:vAlign w:val="bottom"/>
          </w:tcPr>
          <w:p>
            <w:pPr>
              <w:ind w:left="240"/>
              <w:spacing w:after="0"/>
              <w:rPr>
                <w:sz w:val="20"/>
                <w:szCs w:val="20"/>
                <w:color w:val="auto"/>
              </w:rPr>
            </w:pPr>
            <w:r>
              <w:rPr>
                <w:rFonts w:ascii="Arial" w:cs="Arial" w:eastAsia="Arial" w:hAnsi="Arial"/>
                <w:sz w:val="21"/>
                <w:szCs w:val="21"/>
                <w:color w:val="auto"/>
              </w:rPr>
              <w:t>By:</w:t>
            </w:r>
          </w:p>
        </w:tc>
        <w:tc>
          <w:tcPr>
            <w:tcW w:w="4380" w:type="dxa"/>
            <w:vAlign w:val="bottom"/>
            <w:tcBorders>
              <w:bottom w:val="single" w:sz="8" w:color="auto"/>
            </w:tcBorders>
          </w:tcPr>
          <w:p>
            <w:pPr>
              <w:spacing w:after="0"/>
              <w:rPr>
                <w:sz w:val="24"/>
                <w:szCs w:val="24"/>
                <w:color w:val="auto"/>
              </w:rPr>
            </w:pPr>
          </w:p>
        </w:tc>
      </w:tr>
      <w:tr>
        <w:trPr>
          <w:trHeight w:val="479"/>
        </w:trPr>
        <w:tc>
          <w:tcPr>
            <w:tcW w:w="640" w:type="dxa"/>
            <w:vAlign w:val="bottom"/>
          </w:tcPr>
          <w:p>
            <w:pPr>
              <w:spacing w:after="0"/>
              <w:rPr>
                <w:sz w:val="20"/>
                <w:szCs w:val="20"/>
                <w:color w:val="auto"/>
              </w:rPr>
            </w:pPr>
            <w:r>
              <w:rPr>
                <w:rFonts w:ascii="Arial" w:cs="Arial" w:eastAsia="Arial" w:hAnsi="Arial"/>
                <w:sz w:val="21"/>
                <w:szCs w:val="21"/>
                <w:color w:val="auto"/>
              </w:rPr>
              <w:t>By:</w:t>
            </w:r>
          </w:p>
        </w:tc>
        <w:tc>
          <w:tcPr>
            <w:tcW w:w="4080" w:type="dxa"/>
            <w:vAlign w:val="bottom"/>
            <w:tcBorders>
              <w:bottom w:val="single" w:sz="8" w:color="auto"/>
            </w:tcBorders>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21"/>
                <w:szCs w:val="21"/>
                <w:color w:val="auto"/>
                <w:w w:val="90"/>
              </w:rPr>
              <w:t>Name:</w:t>
            </w:r>
          </w:p>
        </w:tc>
        <w:tc>
          <w:tcPr>
            <w:tcW w:w="4380" w:type="dxa"/>
            <w:vAlign w:val="bottom"/>
            <w:tcBorders>
              <w:bottom w:val="single" w:sz="8" w:color="auto"/>
            </w:tcBorders>
          </w:tcPr>
          <w:p>
            <w:pPr>
              <w:spacing w:after="0"/>
              <w:rPr>
                <w:sz w:val="24"/>
                <w:szCs w:val="24"/>
                <w:color w:val="auto"/>
              </w:rPr>
            </w:pPr>
          </w:p>
        </w:tc>
      </w:tr>
      <w:tr>
        <w:trPr>
          <w:trHeight w:val="479"/>
        </w:trPr>
        <w:tc>
          <w:tcPr>
            <w:tcW w:w="640" w:type="dxa"/>
            <w:vAlign w:val="bottom"/>
          </w:tcPr>
          <w:p>
            <w:pPr>
              <w:spacing w:after="0"/>
              <w:rPr>
                <w:sz w:val="20"/>
                <w:szCs w:val="20"/>
                <w:color w:val="auto"/>
              </w:rPr>
            </w:pPr>
            <w:r>
              <w:rPr>
                <w:rFonts w:ascii="Arial" w:cs="Arial" w:eastAsia="Arial" w:hAnsi="Arial"/>
                <w:sz w:val="21"/>
                <w:szCs w:val="21"/>
                <w:color w:val="auto"/>
              </w:rPr>
              <w:t>Name:</w:t>
            </w:r>
          </w:p>
        </w:tc>
        <w:tc>
          <w:tcPr>
            <w:tcW w:w="4080" w:type="dxa"/>
            <w:vAlign w:val="bottom"/>
            <w:tcBorders>
              <w:bottom w:val="single" w:sz="8" w:color="auto"/>
            </w:tcBorders>
          </w:tcPr>
          <w:p>
            <w:pPr>
              <w:spacing w:after="0"/>
              <w:rPr>
                <w:sz w:val="24"/>
                <w:szCs w:val="24"/>
                <w:color w:val="auto"/>
              </w:rPr>
            </w:pPr>
          </w:p>
        </w:tc>
        <w:tc>
          <w:tcPr>
            <w:tcW w:w="820" w:type="dxa"/>
            <w:vAlign w:val="bottom"/>
          </w:tcPr>
          <w:p>
            <w:pPr>
              <w:ind w:left="240"/>
              <w:spacing w:after="0"/>
              <w:rPr>
                <w:sz w:val="20"/>
                <w:szCs w:val="20"/>
                <w:color w:val="auto"/>
              </w:rPr>
            </w:pPr>
            <w:r>
              <w:rPr>
                <w:rFonts w:ascii="Arial" w:cs="Arial" w:eastAsia="Arial" w:hAnsi="Arial"/>
                <w:sz w:val="21"/>
                <w:szCs w:val="21"/>
                <w:color w:val="auto"/>
              </w:rPr>
              <w:t>Title:</w:t>
            </w:r>
          </w:p>
        </w:tc>
        <w:tc>
          <w:tcPr>
            <w:tcW w:w="43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Chairman of the Board and President</w:t>
            </w:r>
          </w:p>
        </w:tc>
      </w:tr>
      <w:tr>
        <w:trPr>
          <w:trHeight w:val="480"/>
        </w:trPr>
        <w:tc>
          <w:tcPr>
            <w:tcW w:w="640" w:type="dxa"/>
            <w:vAlign w:val="bottom"/>
          </w:tcPr>
          <w:p>
            <w:pPr>
              <w:spacing w:after="0"/>
              <w:rPr>
                <w:sz w:val="20"/>
                <w:szCs w:val="20"/>
                <w:color w:val="auto"/>
              </w:rPr>
            </w:pPr>
            <w:r>
              <w:rPr>
                <w:rFonts w:ascii="Arial" w:cs="Arial" w:eastAsia="Arial" w:hAnsi="Arial"/>
                <w:sz w:val="21"/>
                <w:szCs w:val="21"/>
                <w:color w:val="auto"/>
              </w:rPr>
              <w:t>Title:</w:t>
            </w:r>
          </w:p>
        </w:tc>
        <w:tc>
          <w:tcPr>
            <w:tcW w:w="40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Assistant Secretary</w:t>
            </w:r>
          </w:p>
        </w:tc>
        <w:tc>
          <w:tcPr>
            <w:tcW w:w="82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474"/>
        </w:trPr>
        <w:tc>
          <w:tcPr>
            <w:tcW w:w="6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200" w:type="dxa"/>
            <w:vAlign w:val="bottom"/>
            <w:gridSpan w:val="2"/>
          </w:tcPr>
          <w:p>
            <w:pPr>
              <w:ind w:left="220"/>
              <w:spacing w:after="0"/>
              <w:rPr>
                <w:sz w:val="20"/>
                <w:szCs w:val="20"/>
                <w:color w:val="auto"/>
              </w:rPr>
            </w:pPr>
            <w:r>
              <w:rPr>
                <w:rFonts w:ascii="Arial" w:cs="Arial" w:eastAsia="Arial" w:hAnsi="Arial"/>
                <w:sz w:val="21"/>
                <w:szCs w:val="21"/>
                <w:color w:val="auto"/>
              </w:rPr>
              <w:t>MATSON VENTURES, INC.</w:t>
            </w:r>
          </w:p>
        </w:tc>
      </w:tr>
      <w:tr>
        <w:trPr>
          <w:trHeight w:val="478"/>
        </w:trPr>
        <w:tc>
          <w:tcPr>
            <w:tcW w:w="4720" w:type="dxa"/>
            <w:vAlign w:val="bottom"/>
            <w:gridSpan w:val="2"/>
          </w:tcPr>
          <w:p>
            <w:pPr>
              <w:spacing w:after="0"/>
              <w:rPr>
                <w:sz w:val="20"/>
                <w:szCs w:val="20"/>
                <w:color w:val="auto"/>
              </w:rPr>
            </w:pPr>
            <w:r>
              <w:rPr>
                <w:rFonts w:ascii="Arial" w:cs="Arial" w:eastAsia="Arial" w:hAnsi="Arial"/>
                <w:sz w:val="21"/>
                <w:szCs w:val="21"/>
                <w:color w:val="auto"/>
              </w:rPr>
              <w:t>ATTEST:</w:t>
            </w:r>
          </w:p>
        </w:tc>
        <w:tc>
          <w:tcPr>
            <w:tcW w:w="820" w:type="dxa"/>
            <w:vAlign w:val="bottom"/>
          </w:tcPr>
          <w:p>
            <w:pPr>
              <w:ind w:left="220"/>
              <w:spacing w:after="0"/>
              <w:rPr>
                <w:sz w:val="20"/>
                <w:szCs w:val="20"/>
                <w:color w:val="auto"/>
              </w:rPr>
            </w:pPr>
            <w:r>
              <w:rPr>
                <w:rFonts w:ascii="Arial" w:cs="Arial" w:eastAsia="Arial" w:hAnsi="Arial"/>
                <w:sz w:val="21"/>
                <w:szCs w:val="21"/>
                <w:color w:val="auto"/>
              </w:rPr>
              <w:t>By:</w:t>
            </w:r>
          </w:p>
        </w:tc>
        <w:tc>
          <w:tcPr>
            <w:tcW w:w="4380" w:type="dxa"/>
            <w:vAlign w:val="bottom"/>
            <w:tcBorders>
              <w:bottom w:val="single" w:sz="8" w:color="auto"/>
            </w:tcBorders>
          </w:tcPr>
          <w:p>
            <w:pPr>
              <w:spacing w:after="0"/>
              <w:rPr>
                <w:sz w:val="24"/>
                <w:szCs w:val="24"/>
                <w:color w:val="auto"/>
              </w:rPr>
            </w:pPr>
          </w:p>
        </w:tc>
      </w:tr>
      <w:tr>
        <w:trPr>
          <w:trHeight w:val="479"/>
        </w:trPr>
        <w:tc>
          <w:tcPr>
            <w:tcW w:w="640" w:type="dxa"/>
            <w:vAlign w:val="bottom"/>
          </w:tcPr>
          <w:p>
            <w:pPr>
              <w:spacing w:after="0"/>
              <w:rPr>
                <w:sz w:val="20"/>
                <w:szCs w:val="20"/>
                <w:color w:val="auto"/>
              </w:rPr>
            </w:pPr>
            <w:r>
              <w:rPr>
                <w:rFonts w:ascii="Arial" w:cs="Arial" w:eastAsia="Arial" w:hAnsi="Arial"/>
                <w:sz w:val="21"/>
                <w:szCs w:val="21"/>
                <w:color w:val="auto"/>
              </w:rPr>
              <w:t>By:</w:t>
            </w:r>
          </w:p>
        </w:tc>
        <w:tc>
          <w:tcPr>
            <w:tcW w:w="4080" w:type="dxa"/>
            <w:vAlign w:val="bottom"/>
            <w:tcBorders>
              <w:bottom w:val="single" w:sz="8" w:color="auto"/>
            </w:tcBorders>
          </w:tcPr>
          <w:p>
            <w:pPr>
              <w:spacing w:after="0"/>
              <w:rPr>
                <w:sz w:val="24"/>
                <w:szCs w:val="24"/>
                <w:color w:val="auto"/>
              </w:rPr>
            </w:pPr>
          </w:p>
        </w:tc>
        <w:tc>
          <w:tcPr>
            <w:tcW w:w="820" w:type="dxa"/>
            <w:vAlign w:val="bottom"/>
          </w:tcPr>
          <w:p>
            <w:pPr>
              <w:ind w:left="220"/>
              <w:spacing w:after="0"/>
              <w:rPr>
                <w:sz w:val="20"/>
                <w:szCs w:val="20"/>
                <w:color w:val="auto"/>
              </w:rPr>
            </w:pPr>
            <w:r>
              <w:rPr>
                <w:rFonts w:ascii="Arial" w:cs="Arial" w:eastAsia="Arial" w:hAnsi="Arial"/>
                <w:sz w:val="21"/>
                <w:szCs w:val="21"/>
                <w:color w:val="auto"/>
                <w:w w:val="93"/>
              </w:rPr>
              <w:t>Name:</w:t>
            </w:r>
          </w:p>
        </w:tc>
        <w:tc>
          <w:tcPr>
            <w:tcW w:w="4380" w:type="dxa"/>
            <w:vAlign w:val="bottom"/>
            <w:tcBorders>
              <w:bottom w:val="single" w:sz="8" w:color="auto"/>
            </w:tcBorders>
          </w:tcPr>
          <w:p>
            <w:pPr>
              <w:spacing w:after="0"/>
              <w:rPr>
                <w:sz w:val="24"/>
                <w:szCs w:val="24"/>
                <w:color w:val="auto"/>
              </w:rPr>
            </w:pPr>
          </w:p>
        </w:tc>
      </w:tr>
      <w:tr>
        <w:trPr>
          <w:trHeight w:val="466"/>
        </w:trPr>
        <w:tc>
          <w:tcPr>
            <w:tcW w:w="640" w:type="dxa"/>
            <w:vAlign w:val="bottom"/>
          </w:tcPr>
          <w:p>
            <w:pPr>
              <w:spacing w:after="0"/>
              <w:rPr>
                <w:sz w:val="20"/>
                <w:szCs w:val="20"/>
                <w:color w:val="auto"/>
              </w:rPr>
            </w:pPr>
            <w:r>
              <w:rPr>
                <w:rFonts w:ascii="Arial" w:cs="Arial" w:eastAsia="Arial" w:hAnsi="Arial"/>
                <w:sz w:val="21"/>
                <w:szCs w:val="21"/>
                <w:color w:val="auto"/>
              </w:rPr>
              <w:t>Name:</w:t>
            </w:r>
          </w:p>
        </w:tc>
        <w:tc>
          <w:tcPr>
            <w:tcW w:w="4080" w:type="dxa"/>
            <w:vAlign w:val="bottom"/>
            <w:tcBorders>
              <w:bottom w:val="single" w:sz="8" w:color="auto"/>
            </w:tcBorders>
          </w:tcPr>
          <w:p>
            <w:pPr>
              <w:spacing w:after="0"/>
              <w:rPr>
                <w:sz w:val="24"/>
                <w:szCs w:val="24"/>
                <w:color w:val="auto"/>
              </w:rPr>
            </w:pPr>
          </w:p>
        </w:tc>
        <w:tc>
          <w:tcPr>
            <w:tcW w:w="820" w:type="dxa"/>
            <w:vAlign w:val="bottom"/>
          </w:tcPr>
          <w:p>
            <w:pPr>
              <w:ind w:left="220"/>
              <w:spacing w:after="0"/>
              <w:rPr>
                <w:sz w:val="20"/>
                <w:szCs w:val="20"/>
                <w:color w:val="auto"/>
              </w:rPr>
            </w:pPr>
            <w:r>
              <w:rPr>
                <w:rFonts w:ascii="Arial" w:cs="Arial" w:eastAsia="Arial" w:hAnsi="Arial"/>
                <w:sz w:val="21"/>
                <w:szCs w:val="21"/>
                <w:color w:val="auto"/>
              </w:rPr>
              <w:t>Title:</w:t>
            </w:r>
          </w:p>
        </w:tc>
        <w:tc>
          <w:tcPr>
            <w:tcW w:w="43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Chairman of the Board and President</w:t>
            </w:r>
          </w:p>
        </w:tc>
      </w:tr>
      <w:tr>
        <w:trPr>
          <w:trHeight w:val="480"/>
        </w:trPr>
        <w:tc>
          <w:tcPr>
            <w:tcW w:w="640" w:type="dxa"/>
            <w:vAlign w:val="bottom"/>
          </w:tcPr>
          <w:p>
            <w:pPr>
              <w:spacing w:after="0"/>
              <w:rPr>
                <w:sz w:val="20"/>
                <w:szCs w:val="20"/>
                <w:color w:val="auto"/>
              </w:rPr>
            </w:pPr>
            <w:r>
              <w:rPr>
                <w:rFonts w:ascii="Arial" w:cs="Arial" w:eastAsia="Arial" w:hAnsi="Arial"/>
                <w:sz w:val="21"/>
                <w:szCs w:val="21"/>
                <w:color w:val="auto"/>
              </w:rPr>
              <w:t>Title:</w:t>
            </w:r>
          </w:p>
        </w:tc>
        <w:tc>
          <w:tcPr>
            <w:tcW w:w="40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Assistant Secretary</w:t>
            </w:r>
          </w:p>
        </w:tc>
        <w:tc>
          <w:tcPr>
            <w:tcW w:w="820" w:type="dxa"/>
            <w:vAlign w:val="bottom"/>
          </w:tcPr>
          <w:p>
            <w:pPr>
              <w:spacing w:after="0"/>
              <w:rPr>
                <w:sz w:val="24"/>
                <w:szCs w:val="24"/>
                <w:color w:val="auto"/>
              </w:rPr>
            </w:pPr>
          </w:p>
        </w:tc>
        <w:tc>
          <w:tcPr>
            <w:tcW w:w="4380" w:type="dxa"/>
            <w:vAlign w:val="bottom"/>
          </w:tcPr>
          <w:p>
            <w:pPr>
              <w:spacing w:after="0"/>
              <w:rPr>
                <w:sz w:val="24"/>
                <w:szCs w:val="24"/>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1"/>
          <w:szCs w:val="21"/>
          <w:color w:val="auto"/>
        </w:rPr>
        <w:t>Approved as to form:</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9525</wp:posOffset>
            </wp:positionV>
            <wp:extent cx="27260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21"/>
          <w:szCs w:val="21"/>
          <w:color w:val="auto"/>
        </w:rPr>
        <w:t>Assistant Chief Counsel</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21"/>
          <w:szCs w:val="21"/>
          <w:color w:val="auto"/>
        </w:rPr>
        <w:t>Maritime Administration</w:t>
      </w:r>
    </w:p>
    <w:p>
      <w:pPr>
        <w:spacing w:after="0" w:line="227" w:lineRule="exact"/>
        <w:rPr>
          <w:sz w:val="20"/>
          <w:szCs w:val="20"/>
          <w:color w:val="auto"/>
        </w:rPr>
      </w:pPr>
    </w:p>
    <w:p>
      <w:pPr>
        <w:ind w:right="280"/>
        <w:spacing w:after="0" w:line="264" w:lineRule="auto"/>
        <w:rPr>
          <w:sz w:val="20"/>
          <w:szCs w:val="20"/>
          <w:color w:val="auto"/>
        </w:rPr>
      </w:pPr>
      <w:r>
        <w:rPr>
          <w:rFonts w:ascii="Arial" w:cs="Arial" w:eastAsia="Arial" w:hAnsi="Arial"/>
          <w:sz w:val="21"/>
          <w:szCs w:val="21"/>
          <w:color w:val="auto"/>
        </w:rPr>
        <w:t>CONFIDENTIAL BUSINESS INFORMATION EXEMPT FROM FOIA DISCLOSURE PURSUANT TO 5 U.S.C. 552(b)(4)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0" w:right="999" w:bottom="1440" w:gutter="0" w:footer="0" w:header="0"/>
        </w:sectPr>
      </w:pPr>
    </w:p>
    <w:bookmarkStart w:id="115" w:name="page116"/>
    <w:bookmarkEnd w:id="115"/>
    <w:p>
      <w:pPr>
        <w:jc w:val="right"/>
        <w:spacing w:after="0"/>
        <w:rPr>
          <w:sz w:val="20"/>
          <w:szCs w:val="20"/>
          <w:color w:val="auto"/>
        </w:rPr>
      </w:pPr>
      <w:r>
        <w:rPr>
          <w:rFonts w:ascii="Arial" w:cs="Arial" w:eastAsia="Arial" w:hAnsi="Arial"/>
          <w:sz w:val="21"/>
          <w:szCs w:val="21"/>
          <w:color w:val="auto"/>
        </w:rPr>
        <w:t>Addendum No. 33</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Contract No. MA/CCF-316</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Recommendation</w:t>
      </w:r>
    </w:p>
    <w:p>
      <w:pPr>
        <w:spacing w:after="0" w:line="245"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It is recommended with respect to the request from Matson Navigation Company, Inc. (MatNav), pursuant to 46 CFR Part 390, that the Associate Administrator for Business and Finance Development take the following actions with respect to Capital Construction Fund Agreement (CCF), Contract No. MA/CCF-316, effective as of the date of the acquisition of Horizon Lines, Inc. by MatNav.</w:t>
      </w:r>
    </w:p>
    <w:p>
      <w:pPr>
        <w:spacing w:after="0" w:line="213" w:lineRule="exact"/>
        <w:rPr>
          <w:sz w:val="20"/>
          <w:szCs w:val="20"/>
          <w:color w:val="auto"/>
        </w:rPr>
      </w:pPr>
    </w:p>
    <w:p>
      <w:pPr>
        <w:ind w:left="420" w:right="240" w:hanging="412"/>
        <w:spacing w:after="0" w:line="252" w:lineRule="auto"/>
        <w:tabs>
          <w:tab w:leader="none" w:pos="42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Approve adding the following companies as parties to the CCF: Horizon Lines, Inc., Horizon Lines Holding Corp., Horizon Lines, LLC, Horizon Lines of Alaska, LLC, Horizon Lines Merchant Vessels, LLC and Horizon Lines Alaska Vessels, LLC.</w:t>
      </w:r>
    </w:p>
    <w:p>
      <w:pPr>
        <w:spacing w:after="0" w:line="211" w:lineRule="exact"/>
        <w:rPr>
          <w:sz w:val="20"/>
          <w:szCs w:val="20"/>
          <w:color w:val="auto"/>
        </w:rPr>
      </w:pPr>
    </w:p>
    <w:p>
      <w:pPr>
        <w:ind w:left="420" w:right="20" w:hanging="412"/>
        <w:spacing w:after="0" w:line="283" w:lineRule="auto"/>
        <w:tabs>
          <w:tab w:leader="none" w:pos="42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Approve replacing the existing Schedule A with the attached revised Schedule A that adds three D-7 Vessels, the HORIZON ANCHORAGE (O.N. 910306), the HORIZON KODIAK (O.N. 910308) and HORIZON TACOMA (O.N. 910307) and one SL-18 containership the HORIZON CONSUMER (O.N. 552818) (the Vessels), which will be acquired by MatNav from Horizon Lines, Inc., as eligible agreement vessels.</w:t>
      </w:r>
    </w:p>
    <w:p>
      <w:pPr>
        <w:spacing w:after="0" w:line="184" w:lineRule="exact"/>
        <w:rPr>
          <w:sz w:val="20"/>
          <w:szCs w:val="20"/>
          <w:color w:val="auto"/>
        </w:rPr>
      </w:pPr>
    </w:p>
    <w:p>
      <w:pPr>
        <w:jc w:val="both"/>
        <w:ind w:left="420" w:right="220" w:hanging="412"/>
        <w:spacing w:after="0" w:line="292" w:lineRule="auto"/>
        <w:tabs>
          <w:tab w:leader="none" w:pos="42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Approve replacing the existing Schedule B-I with the attached revised Schedule B-I that adds acquisition of the Vessels as a qualified program objective and adds updates the estimated costs and amount to be withdrawn from the CCF for two unnamed 3600–TEU container vessels that are currently under construction.</w:t>
      </w:r>
    </w:p>
    <w:p>
      <w:pPr>
        <w:spacing w:after="0" w:line="175" w:lineRule="exact"/>
        <w:rPr>
          <w:sz w:val="20"/>
          <w:szCs w:val="20"/>
          <w:color w:val="auto"/>
        </w:rPr>
      </w:pPr>
    </w:p>
    <w:p>
      <w:pPr>
        <w:ind w:left="420" w:right="40" w:hanging="419"/>
        <w:spacing w:after="0" w:line="249" w:lineRule="auto"/>
        <w:tabs>
          <w:tab w:leader="none" w:pos="400" w:val="left"/>
        </w:tabs>
        <w:rPr>
          <w:sz w:val="20"/>
          <w:szCs w:val="20"/>
          <w:color w:val="auto"/>
        </w:rPr>
      </w:pPr>
      <w:r>
        <w:rPr>
          <w:rFonts w:ascii="Arial" w:cs="Arial" w:eastAsia="Arial" w:hAnsi="Arial"/>
          <w:sz w:val="21"/>
          <w:szCs w:val="21"/>
          <w:color w:val="auto"/>
        </w:rPr>
        <w:t>IV.</w:t>
        <w:tab/>
        <w:t>Approve replacing the existing Schedule B-III with the attached revised Schedule B-III that adds reconstruction of the HORIZON ANCHORAGE, HORIZON KODIAK and HORIZON TACOMA (installation of exhaust gas cleaning systems) and reconstruction of the HORIZON CONSUMER (re-engining) as program qualified objectives.</w:t>
      </w:r>
    </w:p>
    <w:p>
      <w:pPr>
        <w:spacing w:after="0" w:line="213" w:lineRule="exact"/>
        <w:rPr>
          <w:sz w:val="20"/>
          <w:szCs w:val="20"/>
          <w:color w:val="auto"/>
        </w:rPr>
      </w:pPr>
    </w:p>
    <w:p>
      <w:pPr>
        <w:ind w:left="420" w:right="100" w:hanging="412"/>
        <w:spacing w:after="0" w:line="260" w:lineRule="auto"/>
        <w:tabs>
          <w:tab w:leader="none" w:pos="4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Approve replacing the existing Schedule B-IV with the attached revised Schedule B-IV that adds repayment of principal portion of acquisition-related indebtedness on the Vessels as well as repayment of the principal portion of reconstruction-related indebtedness of the HORIZON ACHORAGE, the HORIZON KODIAK and HORIZON TACOMA as a qualified program objective. Note that MatNav has demonstrated to the satisfaction of the Maritime Administration that the indebtedness has been incurred in direct connection with the acquisition or reconstruction of a qualified agreement vessel.</w:t>
      </w:r>
    </w:p>
    <w:p>
      <w:pPr>
        <w:spacing w:after="0" w:line="206" w:lineRule="exact"/>
        <w:rPr>
          <w:rFonts w:ascii="Arial" w:cs="Arial" w:eastAsia="Arial" w:hAnsi="Arial"/>
          <w:sz w:val="20"/>
          <w:szCs w:val="20"/>
          <w:color w:val="auto"/>
        </w:rPr>
      </w:pPr>
    </w:p>
    <w:p>
      <w:pPr>
        <w:ind w:left="420" w:right="20"/>
        <w:spacing w:after="0" w:line="252" w:lineRule="auto"/>
        <w:rPr>
          <w:rFonts w:ascii="Arial" w:cs="Arial" w:eastAsia="Arial" w:hAnsi="Arial"/>
          <w:sz w:val="20"/>
          <w:szCs w:val="20"/>
          <w:color w:val="auto"/>
        </w:rPr>
      </w:pPr>
      <w:r>
        <w:rPr>
          <w:rFonts w:ascii="Arial" w:cs="Arial" w:eastAsia="Arial" w:hAnsi="Arial"/>
          <w:sz w:val="21"/>
          <w:szCs w:val="21"/>
          <w:color w:val="auto"/>
        </w:rPr>
        <w:t>Note that the acquisition-related indebtedness and reconstruction-related indebtedness placed on the Vessels is to a related party. Determine that no portion of the repayment of the indebtedness constitutes a dividend, return of capital or a contribution of capital under the Internal Revenue Code.</w:t>
      </w:r>
    </w:p>
    <w:p>
      <w:pPr>
        <w:spacing w:after="0" w:line="211" w:lineRule="exact"/>
        <w:rPr>
          <w:rFonts w:ascii="Arial" w:cs="Arial" w:eastAsia="Arial" w:hAnsi="Arial"/>
          <w:sz w:val="20"/>
          <w:szCs w:val="20"/>
          <w:color w:val="auto"/>
        </w:rPr>
      </w:pPr>
    </w:p>
    <w:p>
      <w:pPr>
        <w:ind w:left="420" w:right="80"/>
        <w:spacing w:after="0" w:line="249" w:lineRule="auto"/>
        <w:rPr>
          <w:rFonts w:ascii="Arial" w:cs="Arial" w:eastAsia="Arial" w:hAnsi="Arial"/>
          <w:sz w:val="20"/>
          <w:szCs w:val="20"/>
          <w:color w:val="auto"/>
        </w:rPr>
      </w:pPr>
      <w:r>
        <w:rPr>
          <w:rFonts w:ascii="Arial" w:cs="Arial" w:eastAsia="Arial" w:hAnsi="Arial"/>
          <w:sz w:val="21"/>
          <w:szCs w:val="21"/>
          <w:color w:val="auto"/>
        </w:rPr>
        <w:t>Grant MatNav permission, pursuant to 46 CFR 390.10(b)(1), to make non-qualified withdrawals to pay the principal portion of qualified vessel acquisition indebtedness if (a) the tax basis in the Vessels has been reduced to zero and (b) any remaining tax basis reduction pertaining to the withdrawal has been applied to all of the other vessels, if any, then owned by MatNav or its subsidiaries.</w:t>
      </w:r>
    </w:p>
    <w:p>
      <w:pPr>
        <w:spacing w:after="0" w:line="213" w:lineRule="exact"/>
        <w:rPr>
          <w:sz w:val="20"/>
          <w:szCs w:val="20"/>
          <w:color w:val="auto"/>
        </w:rPr>
      </w:pPr>
    </w:p>
    <w:p>
      <w:pPr>
        <w:ind w:left="420" w:right="280" w:hanging="419"/>
        <w:spacing w:after="0" w:line="264" w:lineRule="auto"/>
        <w:tabs>
          <w:tab w:leader="none" w:pos="400" w:val="left"/>
        </w:tabs>
        <w:rPr>
          <w:sz w:val="20"/>
          <w:szCs w:val="20"/>
          <w:color w:val="auto"/>
        </w:rPr>
      </w:pPr>
      <w:r>
        <w:rPr>
          <w:rFonts w:ascii="Arial" w:cs="Arial" w:eastAsia="Arial" w:hAnsi="Arial"/>
          <w:sz w:val="21"/>
          <w:szCs w:val="21"/>
          <w:color w:val="auto"/>
        </w:rPr>
        <w:t>VI.</w:t>
        <w:tab/>
        <w:t>Require that MatNav sign below indicating its acceptance of addendum No. 33 and incorporating the foregoing into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751205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2" w:right="999" w:bottom="1440" w:gutter="0" w:footer="0" w:header="0"/>
        </w:sectPr>
      </w:pPr>
    </w:p>
    <w:bookmarkStart w:id="116" w:name="page117"/>
    <w:bookmarkEnd w:id="116"/>
    <w:p>
      <w:pPr>
        <w:ind w:left="5180"/>
        <w:spacing w:after="0"/>
        <w:rPr>
          <w:sz w:val="20"/>
          <w:szCs w:val="20"/>
          <w:color w:val="auto"/>
        </w:rPr>
      </w:pPr>
      <w:r>
        <w:rPr>
          <w:rFonts w:ascii="Arial" w:cs="Arial" w:eastAsia="Arial" w:hAnsi="Arial"/>
          <w:sz w:val="21"/>
          <w:szCs w:val="21"/>
          <w:color w:val="auto"/>
        </w:rPr>
        <w:t>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318135</wp:posOffset>
            </wp:positionV>
            <wp:extent cx="30086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Owen Doherty, Associate</w:t>
      </w:r>
    </w:p>
    <w:p>
      <w:pPr>
        <w:spacing w:after="0" w:line="20"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Administrator for Business and</w:t>
      </w:r>
    </w:p>
    <w:p>
      <w:pPr>
        <w:spacing w:after="0" w:line="2"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Finance Development</w:t>
      </w:r>
    </w:p>
    <w:p>
      <w:pPr>
        <w:spacing w:after="0" w:line="362"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9525</wp:posOffset>
            </wp:positionV>
            <wp:extent cx="26485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38"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color w:val="auto"/>
        </w:rPr>
        <w:t>Accepted as Addendum No. 33 to Capital Construction Fund Agreement No. MA/CCF-316, as of the date that MatNav acquires Horizon Lines,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gridSpan w:val="3"/>
          </w:tcPr>
          <w:p>
            <w:pPr>
              <w:spacing w:after="0"/>
              <w:rPr>
                <w:sz w:val="20"/>
                <w:szCs w:val="20"/>
                <w:color w:val="auto"/>
              </w:rPr>
            </w:pPr>
            <w:r>
              <w:rPr>
                <w:rFonts w:ascii="Arial" w:cs="Arial" w:eastAsia="Arial" w:hAnsi="Arial"/>
                <w:sz w:val="21"/>
                <w:szCs w:val="21"/>
                <w:color w:val="auto"/>
              </w:rPr>
              <w:t>Matson Navigation Company, Inc.</w:t>
            </w:r>
          </w:p>
        </w:tc>
        <w:tc>
          <w:tcPr>
            <w:tcW w:w="4960" w:type="dxa"/>
            <w:vAlign w:val="bottom"/>
            <w:gridSpan w:val="3"/>
          </w:tcPr>
          <w:p>
            <w:pPr>
              <w:ind w:left="220"/>
              <w:spacing w:after="0"/>
              <w:rPr>
                <w:sz w:val="20"/>
                <w:szCs w:val="20"/>
                <w:color w:val="auto"/>
              </w:rPr>
            </w:pPr>
            <w:r>
              <w:rPr>
                <w:rFonts w:ascii="Arial" w:cs="Arial" w:eastAsia="Arial" w:hAnsi="Arial"/>
                <w:sz w:val="21"/>
                <w:szCs w:val="21"/>
                <w:color w:val="auto"/>
              </w:rPr>
              <w:t>Matson Terminals, Inc.</w:t>
            </w:r>
          </w:p>
        </w:tc>
      </w:tr>
      <w:tr>
        <w:trPr>
          <w:trHeight w:val="478"/>
        </w:trPr>
        <w:tc>
          <w:tcPr>
            <w:tcW w:w="480" w:type="dxa"/>
            <w:vAlign w:val="bottom"/>
          </w:tcPr>
          <w:p>
            <w:pPr>
              <w:spacing w:after="0"/>
              <w:rPr>
                <w:sz w:val="20"/>
                <w:szCs w:val="20"/>
                <w:color w:val="auto"/>
              </w:rPr>
            </w:pPr>
            <w:r>
              <w:rPr>
                <w:rFonts w:ascii="Arial" w:cs="Arial" w:eastAsia="Arial" w:hAnsi="Arial"/>
                <w:sz w:val="21"/>
                <w:szCs w:val="21"/>
                <w:color w:val="auto"/>
              </w:rPr>
              <w:t>By:</w:t>
            </w:r>
          </w:p>
        </w:tc>
        <w:tc>
          <w:tcPr>
            <w:tcW w:w="4480" w:type="dxa"/>
            <w:vAlign w:val="bottom"/>
            <w:tcBorders>
              <w:bottom w:val="single" w:sz="8" w:color="auto"/>
            </w:tcBorders>
            <w:gridSpan w:val="2"/>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21"/>
                <w:szCs w:val="21"/>
                <w:color w:val="auto"/>
              </w:rPr>
              <w:t>By:</w:t>
            </w:r>
          </w:p>
        </w:tc>
        <w:tc>
          <w:tcPr>
            <w:tcW w:w="4200" w:type="dxa"/>
            <w:vAlign w:val="bottom"/>
            <w:tcBorders>
              <w:bottom w:val="single" w:sz="8" w:color="auto"/>
            </w:tcBorders>
          </w:tcPr>
          <w:p>
            <w:pPr>
              <w:spacing w:after="0"/>
              <w:rPr>
                <w:sz w:val="24"/>
                <w:szCs w:val="24"/>
                <w:color w:val="auto"/>
              </w:rPr>
            </w:pPr>
          </w:p>
        </w:tc>
      </w:tr>
      <w:tr>
        <w:trPr>
          <w:trHeight w:val="480"/>
        </w:trPr>
        <w:tc>
          <w:tcPr>
            <w:tcW w:w="4960" w:type="dxa"/>
            <w:vAlign w:val="bottom"/>
            <w:gridSpan w:val="3"/>
          </w:tcPr>
          <w:p>
            <w:pPr>
              <w:spacing w:after="0"/>
              <w:rPr>
                <w:sz w:val="20"/>
                <w:szCs w:val="20"/>
                <w:color w:val="auto"/>
              </w:rPr>
            </w:pPr>
            <w:r>
              <w:rPr>
                <w:rFonts w:ascii="Arial" w:cs="Arial" w:eastAsia="Arial" w:hAnsi="Arial"/>
                <w:sz w:val="21"/>
                <w:szCs w:val="21"/>
                <w:color w:val="auto"/>
                <w:w w:val="97"/>
              </w:rPr>
              <w:t>Title: Senior Vice President and Chief Financial Officer</w:t>
            </w:r>
          </w:p>
        </w:tc>
        <w:tc>
          <w:tcPr>
            <w:tcW w:w="4960" w:type="dxa"/>
            <w:vAlign w:val="bottom"/>
            <w:gridSpan w:val="3"/>
          </w:tcPr>
          <w:p>
            <w:pPr>
              <w:ind w:left="220"/>
              <w:spacing w:after="0"/>
              <w:rPr>
                <w:sz w:val="20"/>
                <w:szCs w:val="20"/>
                <w:color w:val="auto"/>
              </w:rPr>
            </w:pPr>
            <w:r>
              <w:rPr>
                <w:rFonts w:ascii="Arial" w:cs="Arial" w:eastAsia="Arial" w:hAnsi="Arial"/>
                <w:sz w:val="21"/>
                <w:szCs w:val="21"/>
                <w:color w:val="auto"/>
              </w:rPr>
              <w:t>Title: Vice President and Chief Financial Officer</w:t>
            </w:r>
          </w:p>
        </w:tc>
      </w:tr>
      <w:tr>
        <w:trPr>
          <w:trHeight w:val="20"/>
        </w:trPr>
        <w:tc>
          <w:tcPr>
            <w:tcW w:w="480" w:type="dxa"/>
            <w:vAlign w:val="bottom"/>
          </w:tcPr>
          <w:p>
            <w:pPr>
              <w:spacing w:after="0" w:line="20" w:lineRule="exact"/>
              <w:rPr>
                <w:sz w:val="1"/>
                <w:szCs w:val="1"/>
                <w:color w:val="auto"/>
              </w:rPr>
            </w:pPr>
          </w:p>
        </w:tc>
        <w:tc>
          <w:tcPr>
            <w:tcW w:w="44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20" w:type="dxa"/>
            <w:vAlign w:val="bottom"/>
            <w:gridSpan w:val="2"/>
            <w:shd w:val="clear" w:color="auto" w:fill="000000"/>
          </w:tcPr>
          <w:p>
            <w:pPr>
              <w:spacing w:after="0" w:line="20" w:lineRule="exact"/>
              <w:rPr>
                <w:sz w:val="1"/>
                <w:szCs w:val="1"/>
                <w:color w:val="auto"/>
              </w:rPr>
            </w:pPr>
          </w:p>
        </w:tc>
      </w:tr>
      <w:tr>
        <w:trPr>
          <w:trHeight w:val="466"/>
        </w:trPr>
        <w:tc>
          <w:tcPr>
            <w:tcW w:w="4960" w:type="dxa"/>
            <w:vAlign w:val="bottom"/>
            <w:gridSpan w:val="3"/>
          </w:tcPr>
          <w:p>
            <w:pPr>
              <w:spacing w:after="0"/>
              <w:rPr>
                <w:sz w:val="20"/>
                <w:szCs w:val="20"/>
                <w:color w:val="auto"/>
              </w:rPr>
            </w:pPr>
            <w:r>
              <w:rPr>
                <w:rFonts w:ascii="Arial" w:cs="Arial" w:eastAsia="Arial" w:hAnsi="Arial"/>
                <w:sz w:val="21"/>
                <w:szCs w:val="21"/>
                <w:color w:val="auto"/>
              </w:rPr>
              <w:t>Matson Logistics, Inc.</w:t>
            </w:r>
          </w:p>
        </w:tc>
        <w:tc>
          <w:tcPr>
            <w:tcW w:w="4960" w:type="dxa"/>
            <w:vAlign w:val="bottom"/>
            <w:gridSpan w:val="3"/>
          </w:tcPr>
          <w:p>
            <w:pPr>
              <w:ind w:left="220"/>
              <w:spacing w:after="0"/>
              <w:rPr>
                <w:sz w:val="20"/>
                <w:szCs w:val="20"/>
                <w:color w:val="auto"/>
              </w:rPr>
            </w:pPr>
            <w:r>
              <w:rPr>
                <w:rFonts w:ascii="Arial" w:cs="Arial" w:eastAsia="Arial" w:hAnsi="Arial"/>
                <w:sz w:val="21"/>
                <w:szCs w:val="21"/>
                <w:color w:val="auto"/>
              </w:rPr>
              <w:t>Matson Ventures, Inc.</w:t>
            </w:r>
          </w:p>
        </w:tc>
      </w:tr>
      <w:tr>
        <w:trPr>
          <w:trHeight w:val="264"/>
        </w:trPr>
        <w:tc>
          <w:tcPr>
            <w:tcW w:w="4960" w:type="dxa"/>
            <w:vAlign w:val="bottom"/>
            <w:gridSpan w:val="3"/>
          </w:tcPr>
          <w:p>
            <w:pPr>
              <w:spacing w:after="0"/>
              <w:rPr>
                <w:sz w:val="20"/>
                <w:szCs w:val="20"/>
                <w:color w:val="auto"/>
              </w:rPr>
            </w:pPr>
            <w:r>
              <w:rPr>
                <w:rFonts w:ascii="Arial" w:cs="Arial" w:eastAsia="Arial" w:hAnsi="Arial"/>
                <w:sz w:val="21"/>
                <w:szCs w:val="21"/>
                <w:color w:val="auto"/>
              </w:rPr>
              <w:t>(fka Matson Integrated Logistics, Inc.)</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r>
      <w:tr>
        <w:trPr>
          <w:trHeight w:val="478"/>
        </w:trPr>
        <w:tc>
          <w:tcPr>
            <w:tcW w:w="480" w:type="dxa"/>
            <w:vAlign w:val="bottom"/>
          </w:tcPr>
          <w:p>
            <w:pPr>
              <w:spacing w:after="0"/>
              <w:rPr>
                <w:sz w:val="20"/>
                <w:szCs w:val="20"/>
                <w:color w:val="auto"/>
              </w:rPr>
            </w:pPr>
            <w:r>
              <w:rPr>
                <w:rFonts w:ascii="Arial" w:cs="Arial" w:eastAsia="Arial" w:hAnsi="Arial"/>
                <w:sz w:val="21"/>
                <w:szCs w:val="21"/>
                <w:color w:val="auto"/>
              </w:rPr>
              <w:t>By:</w:t>
            </w:r>
          </w:p>
        </w:tc>
        <w:tc>
          <w:tcPr>
            <w:tcW w:w="4480" w:type="dxa"/>
            <w:vAlign w:val="bottom"/>
            <w:tcBorders>
              <w:bottom w:val="single" w:sz="8" w:color="auto"/>
            </w:tcBorders>
            <w:gridSpan w:val="2"/>
          </w:tcPr>
          <w:p>
            <w:pPr>
              <w:spacing w:after="0"/>
              <w:rPr>
                <w:sz w:val="24"/>
                <w:szCs w:val="24"/>
                <w:color w:val="auto"/>
              </w:rPr>
            </w:pPr>
          </w:p>
        </w:tc>
        <w:tc>
          <w:tcPr>
            <w:tcW w:w="760" w:type="dxa"/>
            <w:vAlign w:val="bottom"/>
            <w:gridSpan w:val="2"/>
          </w:tcPr>
          <w:p>
            <w:pPr>
              <w:ind w:left="220"/>
              <w:spacing w:after="0"/>
              <w:rPr>
                <w:sz w:val="20"/>
                <w:szCs w:val="20"/>
                <w:color w:val="auto"/>
              </w:rPr>
            </w:pPr>
            <w:r>
              <w:rPr>
                <w:rFonts w:ascii="Arial" w:cs="Arial" w:eastAsia="Arial" w:hAnsi="Arial"/>
                <w:sz w:val="21"/>
                <w:szCs w:val="21"/>
                <w:color w:val="auto"/>
              </w:rPr>
              <w:t>By:</w:t>
            </w:r>
          </w:p>
        </w:tc>
        <w:tc>
          <w:tcPr>
            <w:tcW w:w="4200" w:type="dxa"/>
            <w:vAlign w:val="bottom"/>
            <w:tcBorders>
              <w:bottom w:val="single" w:sz="8" w:color="auto"/>
            </w:tcBorders>
          </w:tcPr>
          <w:p>
            <w:pPr>
              <w:spacing w:after="0"/>
              <w:rPr>
                <w:sz w:val="24"/>
                <w:szCs w:val="24"/>
                <w:color w:val="auto"/>
              </w:rPr>
            </w:pPr>
          </w:p>
        </w:tc>
      </w:tr>
      <w:tr>
        <w:trPr>
          <w:trHeight w:val="479"/>
        </w:trPr>
        <w:tc>
          <w:tcPr>
            <w:tcW w:w="4960" w:type="dxa"/>
            <w:vAlign w:val="bottom"/>
            <w:gridSpan w:val="3"/>
          </w:tcPr>
          <w:p>
            <w:pPr>
              <w:spacing w:after="0"/>
              <w:rPr>
                <w:sz w:val="20"/>
                <w:szCs w:val="20"/>
                <w:color w:val="auto"/>
              </w:rPr>
            </w:pPr>
            <w:r>
              <w:rPr>
                <w:rFonts w:ascii="Arial" w:cs="Arial" w:eastAsia="Arial" w:hAnsi="Arial"/>
                <w:sz w:val="21"/>
                <w:szCs w:val="21"/>
                <w:color w:val="auto"/>
              </w:rPr>
              <w:t>Title: Vice President and Chief Financial Officer</w:t>
            </w:r>
          </w:p>
        </w:tc>
        <w:tc>
          <w:tcPr>
            <w:tcW w:w="4960" w:type="dxa"/>
            <w:vAlign w:val="bottom"/>
            <w:gridSpan w:val="3"/>
          </w:tcPr>
          <w:p>
            <w:pPr>
              <w:ind w:left="220"/>
              <w:spacing w:after="0"/>
              <w:rPr>
                <w:sz w:val="20"/>
                <w:szCs w:val="20"/>
                <w:color w:val="auto"/>
              </w:rPr>
            </w:pPr>
            <w:r>
              <w:rPr>
                <w:rFonts w:ascii="Arial" w:cs="Arial" w:eastAsia="Arial" w:hAnsi="Arial"/>
                <w:sz w:val="21"/>
                <w:szCs w:val="21"/>
                <w:color w:val="auto"/>
              </w:rPr>
              <w:t>Title: Vice President and Chief Financial Officer</w:t>
            </w:r>
          </w:p>
        </w:tc>
      </w:tr>
      <w:tr>
        <w:trPr>
          <w:trHeight w:val="1688"/>
        </w:trPr>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40" w:type="dxa"/>
            <w:vAlign w:val="bottom"/>
            <w:tcBorders>
              <w:top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920"/>
          </w:cols>
          <w:pgMar w:left="980" w:top="896" w:right="999" w:bottom="1440" w:gutter="0" w:footer="0" w:header="0"/>
        </w:sectPr>
      </w:pPr>
    </w:p>
    <w:bookmarkStart w:id="117" w:name="page118"/>
    <w:bookmarkEnd w:id="117"/>
    <w:p>
      <w:pPr>
        <w:ind w:left="8380"/>
        <w:spacing w:after="0"/>
        <w:rPr>
          <w:sz w:val="20"/>
          <w:szCs w:val="20"/>
          <w:color w:val="auto"/>
        </w:rPr>
      </w:pPr>
      <w:r>
        <w:rPr>
          <w:rFonts w:ascii="Arial" w:cs="Arial" w:eastAsia="Arial" w:hAnsi="Arial"/>
          <w:sz w:val="18"/>
          <w:szCs w:val="18"/>
          <w:b w:val="1"/>
          <w:bCs w:val="1"/>
          <w:color w:val="auto"/>
        </w:rPr>
        <w:t>EXHIBIT 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80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9"/>
              </w:rPr>
              <w:t>MATSON, INC.</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6840" w:type="dxa"/>
            <w:vAlign w:val="bottom"/>
            <w:gridSpan w:val="3"/>
          </w:tcPr>
          <w:p>
            <w:pPr>
              <w:jc w:val="center"/>
              <w:ind w:left="2394"/>
              <w:spacing w:after="0"/>
              <w:rPr>
                <w:sz w:val="20"/>
                <w:szCs w:val="20"/>
                <w:color w:val="auto"/>
              </w:rPr>
            </w:pPr>
            <w:r>
              <w:rPr>
                <w:rFonts w:ascii="Arial" w:cs="Arial" w:eastAsia="Arial" w:hAnsi="Arial"/>
                <w:sz w:val="18"/>
                <w:szCs w:val="18"/>
                <w:b w:val="1"/>
                <w:bCs w:val="1"/>
                <w:color w:val="auto"/>
                <w:w w:val="88"/>
              </w:rPr>
              <w:t>Subsidiaries as of December 31, 2021</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vMerge w:val="restart"/>
          </w:tcPr>
          <w:p>
            <w:pPr>
              <w:spacing w:after="0"/>
              <w:rPr>
                <w:sz w:val="24"/>
                <w:szCs w:val="24"/>
                <w:color w:val="auto"/>
              </w:rPr>
            </w:pPr>
          </w:p>
        </w:tc>
        <w:tc>
          <w:tcPr>
            <w:tcW w:w="4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ABHI-Crockett, Inc.</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Hawaii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spacing w:after="0"/>
              <w:rPr>
                <w:sz w:val="20"/>
                <w:szCs w:val="20"/>
                <w:color w:val="auto"/>
              </w:rPr>
            </w:pPr>
            <w:r>
              <w:rPr>
                <w:rFonts w:ascii="Arial" w:cs="Arial" w:eastAsia="Arial" w:hAnsi="Arial"/>
                <w:sz w:val="17"/>
                <w:szCs w:val="17"/>
                <w:color w:val="auto"/>
              </w:rPr>
              <w:t>Matson Navigation Company, Inc.</w:t>
            </w:r>
          </w:p>
        </w:tc>
        <w:tc>
          <w:tcPr>
            <w:tcW w:w="2500" w:type="dxa"/>
            <w:vAlign w:val="bottom"/>
          </w:tcPr>
          <w:p>
            <w:pPr>
              <w:ind w:left="740"/>
              <w:spacing w:after="0"/>
              <w:rPr>
                <w:sz w:val="20"/>
                <w:szCs w:val="20"/>
                <w:color w:val="auto"/>
              </w:rPr>
            </w:pPr>
            <w:r>
              <w:rPr>
                <w:rFonts w:ascii="Arial" w:cs="Arial" w:eastAsia="Arial" w:hAnsi="Arial"/>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Arial" w:cs="Arial" w:eastAsia="Arial" w:hAnsi="Arial"/>
                <w:sz w:val="17"/>
                <w:szCs w:val="17"/>
                <w:color w:val="auto"/>
              </w:rPr>
              <w:t>Matson Alaska, Inc.</w:t>
            </w:r>
          </w:p>
        </w:tc>
        <w:tc>
          <w:tcPr>
            <w:tcW w:w="2500" w:type="dxa"/>
            <w:vAlign w:val="bottom"/>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700"/>
              <w:spacing w:after="0"/>
              <w:rPr>
                <w:sz w:val="20"/>
                <w:szCs w:val="20"/>
                <w:color w:val="auto"/>
              </w:rPr>
            </w:pPr>
            <w:r>
              <w:rPr>
                <w:rFonts w:ascii="Arial" w:cs="Arial" w:eastAsia="Arial" w:hAnsi="Arial"/>
                <w:sz w:val="17"/>
                <w:szCs w:val="17"/>
                <w:color w:val="auto"/>
              </w:rPr>
              <w:t>Horizon Lines Holding Corp.</w:t>
            </w:r>
          </w:p>
        </w:tc>
        <w:tc>
          <w:tcPr>
            <w:tcW w:w="2500" w:type="dxa"/>
            <w:vAlign w:val="bottom"/>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940"/>
              <w:spacing w:after="0"/>
              <w:rPr>
                <w:sz w:val="20"/>
                <w:szCs w:val="20"/>
                <w:color w:val="auto"/>
              </w:rPr>
            </w:pPr>
            <w:r>
              <w:rPr>
                <w:rFonts w:ascii="Arial" w:cs="Arial" w:eastAsia="Arial" w:hAnsi="Arial"/>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Arial" w:cs="Arial" w:eastAsia="Arial" w:hAnsi="Arial"/>
                <w:sz w:val="17"/>
                <w:szCs w:val="17"/>
                <w:color w:val="auto"/>
              </w:rPr>
              <w:t>Horizon Lines of Puerto Rico, LLC</w:t>
            </w:r>
          </w:p>
        </w:tc>
        <w:tc>
          <w:tcPr>
            <w:tcW w:w="2500" w:type="dxa"/>
            <w:vAlign w:val="bottom"/>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Arial" w:cs="Arial" w:eastAsia="Arial" w:hAnsi="Arial"/>
                <w:sz w:val="17"/>
                <w:szCs w:val="17"/>
                <w:color w:val="auto"/>
              </w:rPr>
              <w:t>HLPR Holding Corp.</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Arial" w:cs="Arial" w:eastAsia="Arial" w:hAnsi="Arial"/>
                <w:sz w:val="17"/>
                <w:szCs w:val="17"/>
                <w:color w:val="auto"/>
              </w:rPr>
              <w:t>Horizon Logistics, LLC</w:t>
            </w:r>
          </w:p>
        </w:tc>
        <w:tc>
          <w:tcPr>
            <w:tcW w:w="2500" w:type="dxa"/>
            <w:vAlign w:val="bottom"/>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580"/>
              <w:spacing w:after="0"/>
              <w:rPr>
                <w:sz w:val="20"/>
                <w:szCs w:val="20"/>
                <w:color w:val="auto"/>
              </w:rPr>
            </w:pPr>
            <w:r>
              <w:rPr>
                <w:rFonts w:ascii="Arial" w:cs="Arial" w:eastAsia="Arial" w:hAnsi="Arial"/>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Arial" w:cs="Arial" w:eastAsia="Arial" w:hAnsi="Arial"/>
                <w:sz w:val="17"/>
                <w:szCs w:val="17"/>
                <w:color w:val="auto"/>
              </w:rPr>
              <w:t>Horizon Services Group, LLC</w:t>
            </w:r>
          </w:p>
        </w:tc>
        <w:tc>
          <w:tcPr>
            <w:tcW w:w="2500" w:type="dxa"/>
            <w:vAlign w:val="bottom"/>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Arial" w:cs="Arial" w:eastAsia="Arial" w:hAnsi="Arial"/>
                <w:sz w:val="17"/>
                <w:szCs w:val="17"/>
                <w:color w:val="auto"/>
              </w:rPr>
              <w:t>Aero Logistics, LLC</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Arial" w:cs="Arial" w:eastAsia="Arial" w:hAnsi="Arial"/>
                <w:sz w:val="17"/>
                <w:szCs w:val="17"/>
                <w:color w:val="auto"/>
              </w:rPr>
              <w:t>Horizon Lines, LLC</w:t>
            </w:r>
          </w:p>
        </w:tc>
        <w:tc>
          <w:tcPr>
            <w:tcW w:w="2500" w:type="dxa"/>
            <w:vAlign w:val="bottom"/>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580"/>
              <w:spacing w:after="0"/>
              <w:rPr>
                <w:sz w:val="20"/>
                <w:szCs w:val="20"/>
                <w:color w:val="auto"/>
              </w:rPr>
            </w:pPr>
            <w:r>
              <w:rPr>
                <w:rFonts w:ascii="Arial" w:cs="Arial" w:eastAsia="Arial" w:hAnsi="Arial"/>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Arial" w:cs="Arial" w:eastAsia="Arial" w:hAnsi="Arial"/>
                <w:sz w:val="17"/>
                <w:szCs w:val="17"/>
                <w:color w:val="auto"/>
              </w:rPr>
              <w:t>Horizon Lines of Guam, LLC</w:t>
            </w:r>
          </w:p>
        </w:tc>
        <w:tc>
          <w:tcPr>
            <w:tcW w:w="2500" w:type="dxa"/>
            <w:vAlign w:val="bottom"/>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Arial" w:cs="Arial" w:eastAsia="Arial" w:hAnsi="Arial"/>
                <w:sz w:val="17"/>
                <w:szCs w:val="17"/>
                <w:color w:val="auto"/>
              </w:rPr>
              <w:t>Horizon Lines Vessels, LLC</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Arial" w:cs="Arial" w:eastAsia="Arial" w:hAnsi="Arial"/>
                <w:sz w:val="17"/>
                <w:szCs w:val="17"/>
                <w:color w:val="auto"/>
              </w:rPr>
              <w:t>H-L Distribution Service, LLC</w:t>
            </w:r>
          </w:p>
        </w:tc>
        <w:tc>
          <w:tcPr>
            <w:tcW w:w="2500" w:type="dxa"/>
            <w:vAlign w:val="bottom"/>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Arial" w:cs="Arial" w:eastAsia="Arial" w:hAnsi="Arial"/>
                <w:sz w:val="17"/>
                <w:szCs w:val="17"/>
                <w:color w:val="auto"/>
              </w:rPr>
              <w:t>Matson Navigation Company of Alaska, LLC</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2400"/>
              <w:spacing w:after="0"/>
              <w:rPr>
                <w:sz w:val="20"/>
                <w:szCs w:val="20"/>
                <w:color w:val="auto"/>
              </w:rPr>
            </w:pPr>
            <w:r>
              <w:rPr>
                <w:rFonts w:ascii="Arial" w:cs="Arial" w:eastAsia="Arial" w:hAnsi="Arial"/>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2560"/>
              <w:spacing w:after="0"/>
              <w:rPr>
                <w:sz w:val="20"/>
                <w:szCs w:val="20"/>
                <w:color w:val="auto"/>
              </w:rPr>
            </w:pPr>
            <w:r>
              <w:rPr>
                <w:rFonts w:ascii="Arial" w:cs="Arial" w:eastAsia="Arial" w:hAnsi="Arial"/>
                <w:sz w:val="17"/>
                <w:szCs w:val="17"/>
                <w:color w:val="auto"/>
              </w:rPr>
              <w:t>Horizon Lines Merchant Vessels, LLC</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060"/>
              <w:spacing w:after="0"/>
              <w:rPr>
                <w:sz w:val="20"/>
                <w:szCs w:val="20"/>
                <w:color w:val="auto"/>
              </w:rPr>
            </w:pPr>
            <w:r>
              <w:rPr>
                <w:rFonts w:ascii="Arial" w:cs="Arial" w:eastAsia="Arial" w:hAnsi="Arial"/>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220"/>
              <w:spacing w:after="0"/>
              <w:rPr>
                <w:sz w:val="20"/>
                <w:szCs w:val="20"/>
                <w:color w:val="auto"/>
              </w:rPr>
            </w:pPr>
            <w:r>
              <w:rPr>
                <w:rFonts w:ascii="Arial" w:cs="Arial" w:eastAsia="Arial" w:hAnsi="Arial"/>
                <w:sz w:val="17"/>
                <w:szCs w:val="17"/>
                <w:color w:val="auto"/>
              </w:rPr>
              <w:t>Horizon Lines Alaska Vessels, LLC</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220"/>
              <w:spacing w:after="0"/>
              <w:rPr>
                <w:sz w:val="20"/>
                <w:szCs w:val="20"/>
                <w:color w:val="auto"/>
              </w:rPr>
            </w:pPr>
            <w:r>
              <w:rPr>
                <w:rFonts w:ascii="Arial" w:cs="Arial" w:eastAsia="Arial" w:hAnsi="Arial"/>
                <w:sz w:val="17"/>
                <w:szCs w:val="17"/>
                <w:color w:val="auto"/>
              </w:rPr>
              <w:t>Horizon Lines Alaska Terminals, LLC</w:t>
            </w:r>
          </w:p>
        </w:tc>
        <w:tc>
          <w:tcPr>
            <w:tcW w:w="2500" w:type="dxa"/>
            <w:vAlign w:val="bottom"/>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Matson Logistics, Inc.</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520"/>
              <w:spacing w:after="0"/>
              <w:rPr>
                <w:sz w:val="20"/>
                <w:szCs w:val="20"/>
                <w:color w:val="auto"/>
              </w:rPr>
            </w:pPr>
            <w:r>
              <w:rPr>
                <w:rFonts w:ascii="Arial" w:cs="Arial" w:eastAsia="Arial" w:hAnsi="Arial"/>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700"/>
              <w:spacing w:after="0"/>
              <w:rPr>
                <w:sz w:val="20"/>
                <w:szCs w:val="20"/>
                <w:color w:val="auto"/>
              </w:rPr>
            </w:pPr>
            <w:r>
              <w:rPr>
                <w:rFonts w:ascii="Arial" w:cs="Arial" w:eastAsia="Arial" w:hAnsi="Arial"/>
                <w:sz w:val="17"/>
                <w:szCs w:val="17"/>
                <w:color w:val="auto"/>
              </w:rPr>
              <w:t>Matson Logistics Services, LLC</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700"/>
              <w:spacing w:after="0"/>
              <w:rPr>
                <w:sz w:val="20"/>
                <w:szCs w:val="20"/>
                <w:color w:val="auto"/>
              </w:rPr>
            </w:pPr>
            <w:r>
              <w:rPr>
                <w:rFonts w:ascii="Arial" w:cs="Arial" w:eastAsia="Arial" w:hAnsi="Arial"/>
                <w:sz w:val="17"/>
                <w:szCs w:val="17"/>
                <w:color w:val="auto"/>
              </w:rPr>
              <w:t>Matson Logistics Warehousing, Inc.</w:t>
            </w:r>
          </w:p>
        </w:tc>
        <w:tc>
          <w:tcPr>
            <w:tcW w:w="2500" w:type="dxa"/>
            <w:vAlign w:val="bottom"/>
          </w:tcPr>
          <w:p>
            <w:pPr>
              <w:ind w:left="740"/>
              <w:spacing w:after="0"/>
              <w:rPr>
                <w:sz w:val="20"/>
                <w:szCs w:val="20"/>
                <w:color w:val="auto"/>
              </w:rPr>
            </w:pPr>
            <w:r>
              <w:rPr>
                <w:rFonts w:ascii="Arial" w:cs="Arial" w:eastAsia="Arial" w:hAnsi="Arial"/>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700"/>
              <w:spacing w:after="0"/>
              <w:rPr>
                <w:sz w:val="20"/>
                <w:szCs w:val="20"/>
                <w:color w:val="auto"/>
              </w:rPr>
            </w:pPr>
            <w:r>
              <w:rPr>
                <w:rFonts w:ascii="Arial" w:cs="Arial" w:eastAsia="Arial" w:hAnsi="Arial"/>
                <w:sz w:val="17"/>
                <w:szCs w:val="17"/>
                <w:color w:val="auto"/>
              </w:rPr>
              <w:t>Span Intermediate, LLC</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920"/>
              <w:spacing w:after="0"/>
              <w:rPr>
                <w:sz w:val="20"/>
                <w:szCs w:val="20"/>
                <w:color w:val="auto"/>
              </w:rPr>
            </w:pPr>
            <w:r>
              <w:rPr>
                <w:rFonts w:ascii="Arial" w:cs="Arial" w:eastAsia="Arial" w:hAnsi="Arial"/>
                <w:sz w:val="17"/>
                <w:szCs w:val="17"/>
                <w:color w:val="auto"/>
              </w:rPr>
              <w:t>Subsidiary:</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Arial" w:cs="Arial" w:eastAsia="Arial" w:hAnsi="Arial"/>
                <w:sz w:val="17"/>
                <w:szCs w:val="17"/>
                <w:color w:val="auto"/>
              </w:rPr>
              <w:t>Span Acquisition Co., LLC</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580"/>
              <w:spacing w:after="0"/>
              <w:rPr>
                <w:sz w:val="20"/>
                <w:szCs w:val="20"/>
                <w:color w:val="auto"/>
              </w:rPr>
            </w:pPr>
            <w:r>
              <w:rPr>
                <w:rFonts w:ascii="Arial" w:cs="Arial" w:eastAsia="Arial" w:hAnsi="Arial"/>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Arial" w:cs="Arial" w:eastAsia="Arial" w:hAnsi="Arial"/>
                <w:sz w:val="17"/>
                <w:szCs w:val="17"/>
                <w:color w:val="auto"/>
              </w:rPr>
              <w:t>Span-Alaska Transportation, LLC</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Washington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Arial" w:cs="Arial" w:eastAsia="Arial" w:hAnsi="Arial"/>
                <w:sz w:val="17"/>
                <w:szCs w:val="17"/>
                <w:color w:val="auto"/>
              </w:rPr>
              <w:t>Alaska Freight Express, LLC</w:t>
            </w:r>
          </w:p>
        </w:tc>
        <w:tc>
          <w:tcPr>
            <w:tcW w:w="2500" w:type="dxa"/>
            <w:vAlign w:val="bottom"/>
          </w:tcPr>
          <w:p>
            <w:pPr>
              <w:ind w:left="740"/>
              <w:spacing w:after="0"/>
              <w:rPr>
                <w:sz w:val="20"/>
                <w:szCs w:val="20"/>
                <w:color w:val="auto"/>
              </w:rPr>
            </w:pPr>
            <w:r>
              <w:rPr>
                <w:rFonts w:ascii="Arial" w:cs="Arial" w:eastAsia="Arial" w:hAnsi="Arial"/>
                <w:sz w:val="17"/>
                <w:szCs w:val="17"/>
                <w:color w:val="auto"/>
              </w:rPr>
              <w:t>Washington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Arial" w:cs="Arial" w:eastAsia="Arial" w:hAnsi="Arial"/>
                <w:sz w:val="17"/>
                <w:szCs w:val="17"/>
                <w:color w:val="auto"/>
              </w:rPr>
              <w:t>Midnight Sun Transportation Services, LLC</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Alaska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Arial" w:cs="Arial" w:eastAsia="Arial" w:hAnsi="Arial"/>
                <w:sz w:val="17"/>
                <w:szCs w:val="17"/>
                <w:color w:val="auto"/>
              </w:rPr>
              <w:t>Matson Navigation Vessels, LLC</w:t>
            </w:r>
          </w:p>
        </w:tc>
        <w:tc>
          <w:tcPr>
            <w:tcW w:w="2500" w:type="dxa"/>
            <w:vAlign w:val="bottom"/>
          </w:tcPr>
          <w:p>
            <w:pPr>
              <w:ind w:left="740"/>
              <w:spacing w:after="0"/>
              <w:rPr>
                <w:sz w:val="20"/>
                <w:szCs w:val="20"/>
                <w:color w:val="auto"/>
              </w:rPr>
            </w:pPr>
            <w:r>
              <w:rPr>
                <w:rFonts w:ascii="Arial" w:cs="Arial" w:eastAsia="Arial" w:hAnsi="Arial"/>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Matson Terminals, Inc.</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Arial" w:cs="Arial" w:eastAsia="Arial" w:hAnsi="Arial"/>
                <w:sz w:val="17"/>
                <w:szCs w:val="17"/>
                <w:color w:val="auto"/>
              </w:rPr>
              <w:t>Matson Ventures, Inc.</w:t>
            </w:r>
          </w:p>
        </w:tc>
        <w:tc>
          <w:tcPr>
            <w:tcW w:w="2500" w:type="dxa"/>
            <w:vAlign w:val="bottom"/>
          </w:tcPr>
          <w:p>
            <w:pPr>
              <w:ind w:left="740"/>
              <w:spacing w:after="0"/>
              <w:rPr>
                <w:sz w:val="20"/>
                <w:szCs w:val="20"/>
                <w:color w:val="auto"/>
              </w:rPr>
            </w:pPr>
            <w:r>
              <w:rPr>
                <w:rFonts w:ascii="Arial" w:cs="Arial" w:eastAsia="Arial" w:hAnsi="Arial"/>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Matson Logistics (Shanghai) Co., Ltd.</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Arial" w:cs="Arial" w:eastAsia="Arial" w:hAnsi="Arial"/>
                <w:sz w:val="17"/>
                <w:szCs w:val="17"/>
                <w:color w:val="auto"/>
              </w:rPr>
              <w:t>Matson Shipping (Hong Kong) Limited</w:t>
            </w:r>
          </w:p>
        </w:tc>
        <w:tc>
          <w:tcPr>
            <w:tcW w:w="2500" w:type="dxa"/>
            <w:vAlign w:val="bottom"/>
          </w:tcPr>
          <w:p>
            <w:pPr>
              <w:ind w:left="740"/>
              <w:spacing w:after="0"/>
              <w:rPr>
                <w:sz w:val="20"/>
                <w:szCs w:val="20"/>
                <w:color w:val="auto"/>
              </w:rPr>
            </w:pPr>
            <w:r>
              <w:rPr>
                <w:rFonts w:ascii="Arial" w:cs="Arial" w:eastAsia="Arial" w:hAnsi="Arial"/>
                <w:sz w:val="17"/>
                <w:szCs w:val="17"/>
                <w:color w:val="auto"/>
              </w:rPr>
              <w:t>Hong Kong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Matson Shipping (Shanghai) Co., Ltd.</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Arial" w:cs="Arial" w:eastAsia="Arial" w:hAnsi="Arial"/>
                <w:sz w:val="17"/>
                <w:szCs w:val="17"/>
                <w:color w:val="auto"/>
              </w:rPr>
              <w:t>Matson Logistics Limited</w:t>
            </w:r>
          </w:p>
        </w:tc>
        <w:tc>
          <w:tcPr>
            <w:tcW w:w="2500" w:type="dxa"/>
            <w:vAlign w:val="bottom"/>
          </w:tcPr>
          <w:p>
            <w:pPr>
              <w:ind w:left="740"/>
              <w:spacing w:after="0"/>
              <w:rPr>
                <w:sz w:val="20"/>
                <w:szCs w:val="20"/>
                <w:color w:val="auto"/>
              </w:rPr>
            </w:pPr>
            <w:r>
              <w:rPr>
                <w:rFonts w:ascii="Arial" w:cs="Arial" w:eastAsia="Arial" w:hAnsi="Arial"/>
                <w:sz w:val="17"/>
                <w:szCs w:val="17"/>
                <w:color w:val="auto"/>
              </w:rPr>
              <w:t>Hong Kong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Matson Shipping Japan KK</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Japan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Arial" w:cs="Arial" w:eastAsia="Arial" w:hAnsi="Arial"/>
                <w:sz w:val="17"/>
                <w:szCs w:val="17"/>
                <w:color w:val="auto"/>
              </w:rPr>
              <w:t>Matson South Pacific Holdco Limited</w:t>
            </w:r>
          </w:p>
        </w:tc>
        <w:tc>
          <w:tcPr>
            <w:tcW w:w="2500" w:type="dxa"/>
            <w:vAlign w:val="bottom"/>
          </w:tcPr>
          <w:p>
            <w:pPr>
              <w:ind w:left="740"/>
              <w:spacing w:after="0"/>
              <w:rPr>
                <w:sz w:val="20"/>
                <w:szCs w:val="20"/>
                <w:color w:val="auto"/>
              </w:rPr>
            </w:pPr>
            <w:r>
              <w:rPr>
                <w:rFonts w:ascii="Arial" w:cs="Arial" w:eastAsia="Arial" w:hAnsi="Arial"/>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Subsidiary:</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700"/>
              <w:spacing w:after="0"/>
              <w:rPr>
                <w:sz w:val="20"/>
                <w:szCs w:val="20"/>
                <w:color w:val="auto"/>
              </w:rPr>
            </w:pPr>
            <w:r>
              <w:rPr>
                <w:rFonts w:ascii="Arial" w:cs="Arial" w:eastAsia="Arial" w:hAnsi="Arial"/>
                <w:sz w:val="17"/>
                <w:szCs w:val="17"/>
                <w:color w:val="auto"/>
              </w:rPr>
              <w:t>Matson South Pacific Limited</w:t>
            </w:r>
          </w:p>
        </w:tc>
        <w:tc>
          <w:tcPr>
            <w:tcW w:w="2500" w:type="dxa"/>
            <w:vAlign w:val="bottom"/>
          </w:tcPr>
          <w:p>
            <w:pPr>
              <w:ind w:left="740"/>
              <w:spacing w:after="0"/>
              <w:rPr>
                <w:sz w:val="20"/>
                <w:szCs w:val="20"/>
                <w:color w:val="auto"/>
              </w:rPr>
            </w:pPr>
            <w:r>
              <w:rPr>
                <w:rFonts w:ascii="Arial" w:cs="Arial" w:eastAsia="Arial" w:hAnsi="Arial"/>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880"/>
              <w:spacing w:after="0"/>
              <w:rPr>
                <w:sz w:val="20"/>
                <w:szCs w:val="20"/>
                <w:color w:val="auto"/>
              </w:rPr>
            </w:pPr>
            <w:r>
              <w:rPr>
                <w:rFonts w:ascii="Arial" w:cs="Arial" w:eastAsia="Arial" w:hAnsi="Arial"/>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Arial" w:cs="Arial" w:eastAsia="Arial" w:hAnsi="Arial"/>
                <w:sz w:val="17"/>
                <w:szCs w:val="17"/>
                <w:color w:val="auto"/>
              </w:rPr>
              <w:t>Matson Cook Islands Limited</w:t>
            </w:r>
          </w:p>
        </w:tc>
        <w:tc>
          <w:tcPr>
            <w:tcW w:w="2500" w:type="dxa"/>
            <w:vAlign w:val="bottom"/>
          </w:tcPr>
          <w:p>
            <w:pPr>
              <w:ind w:left="740"/>
              <w:spacing w:after="0"/>
              <w:rPr>
                <w:sz w:val="20"/>
                <w:szCs w:val="20"/>
                <w:color w:val="auto"/>
              </w:rPr>
            </w:pPr>
            <w:r>
              <w:rPr>
                <w:rFonts w:ascii="Arial" w:cs="Arial" w:eastAsia="Arial" w:hAnsi="Arial"/>
                <w:sz w:val="17"/>
                <w:szCs w:val="17"/>
                <w:color w:val="auto"/>
              </w:rPr>
              <w:t>Cook Islands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Arial" w:cs="Arial" w:eastAsia="Arial" w:hAnsi="Arial"/>
                <w:sz w:val="17"/>
                <w:szCs w:val="17"/>
                <w:color w:val="auto"/>
              </w:rPr>
              <w:t>Tranz Pacific Ship Management Limited</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Arial" w:cs="Arial" w:eastAsia="Arial" w:hAnsi="Arial"/>
                <w:sz w:val="17"/>
                <w:szCs w:val="17"/>
                <w:color w:val="auto"/>
              </w:rPr>
              <w:t>Island Chief Shipping Limited</w:t>
            </w:r>
          </w:p>
        </w:tc>
        <w:tc>
          <w:tcPr>
            <w:tcW w:w="2500" w:type="dxa"/>
            <w:vAlign w:val="bottom"/>
          </w:tcPr>
          <w:p>
            <w:pPr>
              <w:ind w:left="740"/>
              <w:spacing w:after="0"/>
              <w:rPr>
                <w:sz w:val="20"/>
                <w:szCs w:val="20"/>
                <w:color w:val="auto"/>
              </w:rPr>
            </w:pPr>
            <w:r>
              <w:rPr>
                <w:rFonts w:ascii="Arial" w:cs="Arial" w:eastAsia="Arial" w:hAnsi="Arial"/>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Arial" w:cs="Arial" w:eastAsia="Arial" w:hAnsi="Arial"/>
                <w:sz w:val="17"/>
                <w:szCs w:val="17"/>
                <w:color w:val="auto"/>
              </w:rPr>
              <w:t>Liloa II Shipping Limited</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Arial" w:cs="Arial" w:eastAsia="Arial" w:hAnsi="Arial"/>
                <w:sz w:val="17"/>
                <w:szCs w:val="17"/>
                <w:color w:val="auto"/>
              </w:rPr>
              <w:t>Olomana Shipping Limited</w:t>
            </w:r>
          </w:p>
        </w:tc>
        <w:tc>
          <w:tcPr>
            <w:tcW w:w="2500" w:type="dxa"/>
            <w:vAlign w:val="bottom"/>
          </w:tcPr>
          <w:p>
            <w:pPr>
              <w:ind w:left="740"/>
              <w:spacing w:after="0"/>
              <w:rPr>
                <w:sz w:val="20"/>
                <w:szCs w:val="20"/>
                <w:color w:val="auto"/>
              </w:rPr>
            </w:pPr>
            <w:r>
              <w:rPr>
                <w:rFonts w:ascii="Arial" w:cs="Arial" w:eastAsia="Arial" w:hAnsi="Arial"/>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Arial" w:cs="Arial" w:eastAsia="Arial" w:hAnsi="Arial"/>
                <w:sz w:val="17"/>
                <w:szCs w:val="17"/>
                <w:color w:val="auto"/>
              </w:rPr>
              <w:t>Papa Mau Shipping Limited</w:t>
            </w:r>
          </w:p>
        </w:tc>
        <w:tc>
          <w:tcPr>
            <w:tcW w:w="25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21" w:right="1259" w:bottom="1440" w:gutter="0" w:footer="0" w:header="0"/>
        </w:sectPr>
      </w:pPr>
    </w:p>
    <w:bookmarkStart w:id="118" w:name="page119"/>
    <w:bookmarkEnd w:id="118"/>
    <w:p>
      <w:pPr>
        <w:jc w:val="right"/>
        <w:ind w:right="59"/>
        <w:spacing w:after="0"/>
        <w:rPr>
          <w:sz w:val="20"/>
          <w:szCs w:val="20"/>
          <w:color w:val="auto"/>
        </w:rPr>
      </w:pPr>
      <w:r>
        <w:rPr>
          <w:rFonts w:ascii="Arial" w:cs="Arial" w:eastAsia="Arial" w:hAnsi="Arial"/>
          <w:sz w:val="18"/>
          <w:szCs w:val="18"/>
          <w:b w:val="1"/>
          <w:bCs w:val="1"/>
          <w:color w:val="auto"/>
        </w:rPr>
        <w:t>EXHIBIT 23</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left="40" w:right="159"/>
        <w:spacing w:after="0" w:line="238" w:lineRule="auto"/>
        <w:rPr>
          <w:sz w:val="20"/>
          <w:szCs w:val="20"/>
          <w:color w:val="auto"/>
        </w:rPr>
      </w:pPr>
      <w:r>
        <w:rPr>
          <w:rFonts w:ascii="Arial" w:cs="Arial" w:eastAsia="Arial" w:hAnsi="Arial"/>
          <w:sz w:val="18"/>
          <w:szCs w:val="18"/>
          <w:color w:val="auto"/>
        </w:rPr>
        <w:t>We consent to the incorporation by reference in Registration Statement Nos. 333-258289; 333-212194; 333-184623; 333-121194, as amended by Post-Effective Amendment No.1 filed on April 26, 2007 and as further amended by Post-Effective Amendment No. 2 filed on June 7, 2012; 333-166539, as amended by Post-Effective Amendment No.1 filed on June 7, 2012; 333-142384, as amended by Post-Effective Amendment No.1 filed on June 7, 2012; and 333-69197, as amended by Post-Effective Amendment No.1 filed on June 7, 2012 on Form S-8 of our report dated February 25, 2022, relating to the consolidated financial statements of Matson, Inc. and subsidiaries and the effectiveness of Matson, Inc. and subsidiaries’ internal control over financial reporting appearing in this Annual Report on Form 10-K for the year ended December 31, 2021.</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89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Francisco, California</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9" w:name="page120"/>
    <w:bookmarkEnd w:id="11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Matthew J. Cox, certify that:</w:t>
      </w:r>
    </w:p>
    <w:p>
      <w:pPr>
        <w:spacing w:after="0" w:line="198" w:lineRule="exact"/>
        <w:rPr>
          <w:sz w:val="20"/>
          <w:szCs w:val="20"/>
          <w:color w:val="auto"/>
        </w:rPr>
      </w:pPr>
    </w:p>
    <w:p>
      <w:pPr>
        <w:ind w:left="680" w:hanging="636"/>
        <w:spacing w:after="0"/>
        <w:tabs>
          <w:tab w:leader="none" w:pos="6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198" w:lineRule="exact"/>
        <w:rPr>
          <w:rFonts w:ascii="Arial" w:cs="Arial" w:eastAsia="Arial" w:hAnsi="Arial"/>
          <w:sz w:val="18"/>
          <w:szCs w:val="18"/>
          <w:color w:val="auto"/>
        </w:rPr>
      </w:pPr>
    </w:p>
    <w:p>
      <w:pPr>
        <w:ind w:left="40" w:right="79" w:firstLine="4"/>
        <w:spacing w:after="0" w:line="248" w:lineRule="auto"/>
        <w:tabs>
          <w:tab w:leader="none" w:pos="67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40" w:right="239" w:firstLine="4"/>
        <w:spacing w:after="0" w:line="248" w:lineRule="auto"/>
        <w:tabs>
          <w:tab w:leader="none" w:pos="67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40" w:right="239" w:firstLine="4"/>
        <w:spacing w:after="0" w:line="270" w:lineRule="auto"/>
        <w:tabs>
          <w:tab w:leader="none" w:pos="66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40" w:right="99" w:firstLine="652"/>
        <w:spacing w:after="0" w:line="243" w:lineRule="auto"/>
        <w:tabs>
          <w:tab w:leader="none" w:pos="120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40" w:right="519" w:firstLine="652"/>
        <w:spacing w:after="0" w:line="243" w:lineRule="auto"/>
        <w:tabs>
          <w:tab w:leader="none" w:pos="121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40" w:right="99" w:firstLine="652"/>
        <w:spacing w:after="0" w:line="248" w:lineRule="auto"/>
        <w:tabs>
          <w:tab w:leader="none" w:pos="120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40" w:right="99" w:firstLine="652"/>
        <w:spacing w:after="0" w:line="243" w:lineRule="auto"/>
        <w:tabs>
          <w:tab w:leader="none" w:pos="121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40" w:right="99" w:firstLine="4"/>
        <w:spacing w:after="0" w:line="248" w:lineRule="auto"/>
        <w:tabs>
          <w:tab w:leader="none" w:pos="66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40" w:right="119" w:firstLine="652"/>
        <w:spacing w:after="0" w:line="248" w:lineRule="auto"/>
        <w:tabs>
          <w:tab w:leader="none" w:pos="119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40" w:right="239" w:firstLine="652"/>
        <w:spacing w:after="0" w:line="261" w:lineRule="auto"/>
        <w:tabs>
          <w:tab w:leader="none" w:pos="120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6350</wp:posOffset>
            </wp:positionV>
            <wp:extent cx="26314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Matthew J. Cox, Chairman and</w:t>
      </w:r>
    </w:p>
    <w:p>
      <w:pPr>
        <w:ind w:left="48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0" w:name="page121"/>
    <w:bookmarkEnd w:id="12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Joel M. Wine, certify that:</w:t>
      </w:r>
    </w:p>
    <w:p>
      <w:pPr>
        <w:spacing w:after="0" w:line="198" w:lineRule="exact"/>
        <w:rPr>
          <w:sz w:val="20"/>
          <w:szCs w:val="20"/>
          <w:color w:val="auto"/>
        </w:rPr>
      </w:pPr>
    </w:p>
    <w:p>
      <w:pPr>
        <w:ind w:left="680" w:hanging="630"/>
        <w:spacing w:after="0"/>
        <w:tabs>
          <w:tab w:leader="none" w:pos="6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198" w:lineRule="exact"/>
        <w:rPr>
          <w:rFonts w:ascii="Arial" w:cs="Arial" w:eastAsia="Arial" w:hAnsi="Arial"/>
          <w:sz w:val="18"/>
          <w:szCs w:val="18"/>
          <w:color w:val="auto"/>
        </w:rPr>
      </w:pPr>
    </w:p>
    <w:p>
      <w:pPr>
        <w:ind w:left="60" w:right="79" w:hanging="10"/>
        <w:spacing w:after="0" w:line="248" w:lineRule="auto"/>
        <w:tabs>
          <w:tab w:leader="none" w:pos="69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60" w:right="239" w:hanging="10"/>
        <w:spacing w:after="0" w:line="248" w:lineRule="auto"/>
        <w:tabs>
          <w:tab w:leader="none" w:pos="69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60" w:right="239" w:hanging="10"/>
        <w:spacing w:after="0" w:line="270" w:lineRule="auto"/>
        <w:tabs>
          <w:tab w:leader="none" w:pos="68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60" w:right="79" w:firstLine="638"/>
        <w:spacing w:after="0" w:line="243" w:lineRule="auto"/>
        <w:tabs>
          <w:tab w:leader="none" w:pos="126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60" w:right="459" w:firstLine="638"/>
        <w:spacing w:after="0" w:line="243" w:lineRule="auto"/>
        <w:tabs>
          <w:tab w:leader="none" w:pos="127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60" w:right="79" w:firstLine="638"/>
        <w:spacing w:after="0" w:line="248" w:lineRule="auto"/>
        <w:tabs>
          <w:tab w:leader="none" w:pos="126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0" w:right="459" w:firstLine="638"/>
        <w:spacing w:after="0" w:line="243" w:lineRule="auto"/>
        <w:tabs>
          <w:tab w:leader="none" w:pos="127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60" w:right="99" w:hanging="10"/>
        <w:spacing w:after="0" w:line="248" w:lineRule="auto"/>
        <w:tabs>
          <w:tab w:leader="none" w:pos="68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60" w:right="119" w:firstLine="638"/>
        <w:spacing w:after="0" w:line="248" w:lineRule="auto"/>
        <w:tabs>
          <w:tab w:leader="none" w:pos="125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60" w:right="179" w:firstLine="638"/>
        <w:spacing w:after="0" w:line="261" w:lineRule="auto"/>
        <w:tabs>
          <w:tab w:leader="none" w:pos="126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6350</wp:posOffset>
            </wp:positionV>
            <wp:extent cx="25888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2">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Joel M. Wine, Executive Vice President</w:t>
      </w:r>
    </w:p>
    <w:p>
      <w:pPr>
        <w:ind w:left="4880"/>
        <w:spacing w:after="0" w:line="234" w:lineRule="auto"/>
        <w:rPr>
          <w:sz w:val="20"/>
          <w:szCs w:val="20"/>
          <w:color w:val="auto"/>
        </w:rPr>
      </w:pPr>
      <w:r>
        <w:rPr>
          <w:rFonts w:ascii="Arial" w:cs="Arial" w:eastAsia="Arial" w:hAnsi="Arial"/>
          <w:sz w:val="18"/>
          <w:szCs w:val="18"/>
          <w:color w:val="auto"/>
        </w:rPr>
        <w:t>and Chief Financial Officer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1" w:name="page122"/>
    <w:bookmarkEnd w:id="121"/>
    <w:p>
      <w:pPr>
        <w:jc w:val="right"/>
        <w:ind w:right="59"/>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In connection with the Annual Report of Matson, Inc. (the “Company”) on Form 10-K for the fiscal year ended December 31, 2021 as filed with the Securities and Exchange Commission on the date hereof (the “Report”), Matthew J. Cox, as Chairman and Chief Executive Officer of the Company, and Joel M. Wine, as Executive Vice President and Chief Financial Officer of the Company, hereby certify, pursuant to 18 U.S.C. Section 1350, as adopted pursuant to Section 906 of the Sarbanes-Oxley Act of 2002, that to their knowledge:</w:t>
      </w:r>
    </w:p>
    <w:p>
      <w:pPr>
        <w:spacing w:after="0" w:line="176" w:lineRule="exact"/>
        <w:rPr>
          <w:sz w:val="20"/>
          <w:szCs w:val="20"/>
          <w:color w:val="auto"/>
        </w:rPr>
      </w:pPr>
    </w:p>
    <w:p>
      <w:pPr>
        <w:ind w:left="1340" w:hanging="642"/>
        <w:spacing w:after="0"/>
        <w:tabs>
          <w:tab w:leader="none" w:pos="13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w:t>
      </w:r>
    </w:p>
    <w:p>
      <w:pPr>
        <w:spacing w:after="0" w:line="23"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Act of 1934; and</w:t>
      </w:r>
    </w:p>
    <w:p>
      <w:pPr>
        <w:spacing w:after="0" w:line="182" w:lineRule="exact"/>
        <w:rPr>
          <w:rFonts w:ascii="Arial" w:cs="Arial" w:eastAsia="Arial" w:hAnsi="Arial"/>
          <w:sz w:val="17"/>
          <w:szCs w:val="17"/>
          <w:color w:val="auto"/>
        </w:rPr>
      </w:pPr>
    </w:p>
    <w:p>
      <w:pPr>
        <w:ind w:left="60" w:right="279" w:firstLine="638"/>
        <w:spacing w:after="0" w:line="261" w:lineRule="auto"/>
        <w:tabs>
          <w:tab w:leader="none" w:pos="135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00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Matthew J. Cox</w:t>
      </w:r>
    </w:p>
    <w:p>
      <w:pPr>
        <w:ind w:left="60"/>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1"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25, 2022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00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Joel M. Wine</w:t>
      </w:r>
    </w:p>
    <w:p>
      <w:pPr>
        <w:ind w:left="60"/>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1"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1."/>
      <w:numFmt w:val="upperLetter"/>
      <w:start w:val="1"/>
    </w:lvl>
  </w:abstractNum>
  <w:abstractNum w:abstractNumId="3">
    <w:nsid w:val="613EFDC5"/>
    <w:multiLevelType w:val="hybridMultilevel"/>
    <w:lvl w:ilvl="0">
      <w:lvlJc w:val="left"/>
      <w:lvlText w:val=" "/>
      <w:numFmt w:val="bullet"/>
      <w:start w:val="1"/>
    </w:lvl>
  </w:abstractNum>
  <w:abstractNum w:abstractNumId="4">
    <w:nsid w:val="BF72B14"/>
    <w:multiLevelType w:val="hybridMultilevel"/>
    <w:lvl w:ilvl="0">
      <w:lvlJc w:val="left"/>
      <w:lvlText w:val="%1."/>
      <w:numFmt w:val="upperLetter"/>
      <w:start w:val="2"/>
    </w:lvl>
  </w:abstractNum>
  <w:abstractNum w:abstractNumId="5">
    <w:nsid w:val="11447B73"/>
    <w:multiLevelType w:val="hybridMultilevel"/>
    <w:lvl w:ilvl="0">
      <w:lvlJc w:val="left"/>
      <w:lvlText w:val="(%1)"/>
      <w:numFmt w:val="decimal"/>
      <w:start w:val="1"/>
    </w:lvl>
  </w:abstractNum>
  <w:abstractNum w:abstractNumId="6">
    <w:nsid w:val="42963E5A"/>
    <w:multiLevelType w:val="hybridMultilevel"/>
    <w:lvl w:ilvl="0">
      <w:lvlJc w:val="left"/>
      <w:lvlText w:val="(%1)"/>
      <w:numFmt w:val="decimal"/>
      <w:start w:val="1"/>
    </w:lvl>
  </w:abstractNum>
  <w:abstractNum w:abstractNumId="7">
    <w:nsid w:val="A0382C5"/>
    <w:multiLevelType w:val="hybridMultilevel"/>
    <w:lvl w:ilvl="0">
      <w:lvlJc w:val="left"/>
      <w:lvlText w:val="(%1)"/>
      <w:numFmt w:val="decimal"/>
      <w:start w:val="2"/>
    </w:lvl>
  </w:abstractNum>
  <w:abstractNum w:abstractNumId="8">
    <w:nsid w:val="8F2B15E"/>
    <w:multiLevelType w:val="hybridMultilevel"/>
    <w:lvl w:ilvl="0">
      <w:lvlJc w:val="left"/>
      <w:lvlText w:val="%1."/>
      <w:numFmt w:val="upperLetter"/>
      <w:start w:val="3"/>
    </w:lvl>
  </w:abstractNum>
  <w:abstractNum w:abstractNumId="9">
    <w:nsid w:val="1A32234B"/>
    <w:multiLevelType w:val="hybridMultilevel"/>
    <w:lvl w:ilvl="0">
      <w:lvlJc w:val="left"/>
      <w:lvlText w:val="%1."/>
      <w:numFmt w:val="upperLetter"/>
      <w:start w:val="4"/>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1)"/>
      <w:numFmt w:val="decimal"/>
      <w:start w:val="1"/>
    </w:lvl>
  </w:abstractNum>
  <w:abstractNum w:abstractNumId="14">
    <w:nsid w:val="6A5EE64"/>
    <w:multiLevelType w:val="hybridMultilevel"/>
    <w:lvl w:ilvl="0">
      <w:lvlJc w:val="left"/>
      <w:lvlText w:val=" "/>
      <w:numFmt w:val="bullet"/>
      <w:start w:val="1"/>
    </w:lvl>
  </w:abstractNum>
  <w:abstractNum w:abstractNumId="15">
    <w:nsid w:val="14330624"/>
    <w:multiLevelType w:val="hybridMultilevel"/>
    <w:lvl w:ilvl="0">
      <w:lvlJc w:val="left"/>
      <w:lvlText w:val="(%1)"/>
      <w:numFmt w:val="decimal"/>
      <w:start w:val="1"/>
    </w:lvl>
  </w:abstractNum>
  <w:abstractNum w:abstractNumId="16">
    <w:nsid w:val="7FFFCA11"/>
    <w:multiLevelType w:val="hybridMultilevel"/>
    <w:lvl w:ilvl="0">
      <w:lvlJc w:val="left"/>
      <w:lvlText w:val="(%1)"/>
      <w:numFmt w:val="decimal"/>
      <w:start w:val="1"/>
    </w:lvl>
  </w:abstractNum>
  <w:abstractNum w:abstractNumId="17">
    <w:nsid w:val="1A27709E"/>
    <w:multiLevelType w:val="hybridMultilevel"/>
    <w:lvl w:ilvl="0">
      <w:lvlJc w:val="left"/>
      <w:lvlText w:val="(%1)"/>
      <w:numFmt w:val="decimal"/>
      <w:start w:val="1"/>
    </w:lvl>
  </w:abstractNum>
  <w:abstractNum w:abstractNumId="18">
    <w:nsid w:val="71EA1109"/>
    <w:multiLevelType w:val="hybridMultilevel"/>
    <w:lvl w:ilvl="0">
      <w:lvlJc w:val="left"/>
      <w:lvlText w:val="(%1)"/>
      <w:numFmt w:val="decimal"/>
      <w:start w:val="1"/>
    </w:lvl>
  </w:abstractNum>
  <w:abstractNum w:abstractNumId="19">
    <w:nsid w:val="100F59DC"/>
    <w:multiLevelType w:val="hybridMultilevel"/>
    <w:lvl w:ilvl="0">
      <w:lvlJc w:val="left"/>
      <w:lvlText w:val="(%1)"/>
      <w:numFmt w:val="decimal"/>
      <w:start w:val="2"/>
    </w:lvl>
  </w:abstractNum>
  <w:abstractNum w:abstractNumId="20">
    <w:nsid w:val="7FB7E0AA"/>
    <w:multiLevelType w:val="hybridMultilevel"/>
    <w:lvl w:ilvl="0">
      <w:lvlJc w:val="left"/>
      <w:lvlText w:val="(%1)"/>
      <w:numFmt w:val="decimal"/>
      <w:start w:val="3"/>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1)"/>
      <w:numFmt w:val="decimal"/>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1."/>
      <w:numFmt w:val="decimal"/>
      <w:start w:val="1"/>
    </w:lvl>
  </w:abstractNum>
  <w:abstractNum w:abstractNumId="25">
    <w:nsid w:val="76272110"/>
    <w:multiLevelType w:val="hybridMultilevel"/>
    <w:lvl w:ilvl="0">
      <w:lvlJc w:val="left"/>
      <w:lvlText w:val="%1."/>
      <w:numFmt w:val="decimal"/>
      <w:start w:val="2"/>
    </w:lvl>
  </w:abstractNum>
  <w:abstractNum w:abstractNumId="26">
    <w:nsid w:val="4C04A8AF"/>
    <w:multiLevelType w:val="hybridMultilevel"/>
    <w:lvl w:ilvl="0">
      <w:lvlJc w:val="left"/>
      <w:lvlText w:val="(%1)"/>
      <w:numFmt w:val="decimal"/>
      <w:start w:val="1"/>
    </w:lvl>
  </w:abstractNum>
  <w:abstractNum w:abstractNumId="27">
    <w:nsid w:val="1716703B"/>
    <w:multiLevelType w:val="hybridMultilevel"/>
    <w:lvl w:ilvl="0">
      <w:lvlJc w:val="left"/>
      <w:lvlText w:val="(%1)"/>
      <w:numFmt w:val="decimal"/>
      <w:start w:val="1"/>
    </w:lvl>
  </w:abstractNum>
  <w:abstractNum w:abstractNumId="28">
    <w:nsid w:val="14E17E33"/>
    <w:multiLevelType w:val="hybridMultilevel"/>
    <w:lvl w:ilvl="0">
      <w:lvlJc w:val="left"/>
      <w:lvlText w:val=" "/>
      <w:numFmt w:val="bullet"/>
      <w:start w:val="1"/>
    </w:lvl>
  </w:abstractNum>
  <w:abstractNum w:abstractNumId="29">
    <w:nsid w:val="3222E7CD"/>
    <w:multiLevelType w:val="hybridMultilevel"/>
    <w:lvl w:ilvl="0">
      <w:lvlJc w:val="left"/>
      <w:lvlText w:val="(%1)"/>
      <w:numFmt w:val="decimal"/>
      <w:start w:val="1"/>
    </w:lvl>
  </w:abstractNum>
  <w:abstractNum w:abstractNumId="30">
    <w:nsid w:val="74DE0EE3"/>
    <w:multiLevelType w:val="hybridMultilevel"/>
    <w:lvl w:ilvl="0">
      <w:lvlJc w:val="left"/>
      <w:lvlText w:val=" "/>
      <w:numFmt w:val="bullet"/>
      <w:start w:val="1"/>
    </w:lvl>
  </w:abstractNum>
  <w:abstractNum w:abstractNumId="31">
    <w:nsid w:val="68EBC550"/>
    <w:multiLevelType w:val="hybridMultilevel"/>
    <w:lvl w:ilvl="0">
      <w:lvlJc w:val="left"/>
      <w:lvlText w:val="%1."/>
      <w:numFmt w:val="decimal"/>
      <w:start w:val="3"/>
    </w:lvl>
  </w:abstractNum>
  <w:abstractNum w:abstractNumId="32">
    <w:nsid w:val="2DF6D648"/>
    <w:multiLevelType w:val="hybridMultilevel"/>
    <w:lvl w:ilvl="0">
      <w:lvlJc w:val="left"/>
      <w:lvlText w:val="(%1)"/>
      <w:numFmt w:val="decimal"/>
      <w:start w:val="1"/>
    </w:lvl>
  </w:abstractNum>
  <w:abstractNum w:abstractNumId="33">
    <w:nsid w:val="46B7D447"/>
    <w:multiLevelType w:val="hybridMultilevel"/>
    <w:lvl w:ilvl="0">
      <w:lvlJc w:val="left"/>
      <w:lvlText w:val="(%1)"/>
      <w:numFmt w:val="decimal"/>
      <w:start w:val="1"/>
    </w:lvl>
  </w:abstractNum>
  <w:abstractNum w:abstractNumId="34">
    <w:nsid w:val="4A2AC315"/>
    <w:multiLevelType w:val="hybridMultilevel"/>
    <w:lvl w:ilvl="0">
      <w:lvlJc w:val="left"/>
      <w:lvlText w:val="%1."/>
      <w:numFmt w:val="decimal"/>
      <w:start w:val="4"/>
    </w:lvl>
  </w:abstractNum>
  <w:abstractNum w:abstractNumId="35">
    <w:nsid w:val="39EE015C"/>
    <w:multiLevelType w:val="hybridMultilevel"/>
    <w:lvl w:ilvl="0">
      <w:lvlJc w:val="left"/>
      <w:lvlText w:val="(%1)"/>
      <w:numFmt w:val="decimal"/>
      <w:start w:val="1"/>
    </w:lvl>
  </w:abstractNum>
  <w:abstractNum w:abstractNumId="36">
    <w:nsid w:val="57FC4FBB"/>
    <w:multiLevelType w:val="hybridMultilevel"/>
    <w:lvl w:ilvl="0">
      <w:lvlJc w:val="left"/>
      <w:lvlText w:val="%1."/>
      <w:numFmt w:val="decimal"/>
      <w:start w:val="5"/>
    </w:lvl>
  </w:abstractNum>
  <w:abstractNum w:abstractNumId="37">
    <w:nsid w:val="CC1016F"/>
    <w:multiLevelType w:val="hybridMultilevel"/>
    <w:lvl w:ilvl="0">
      <w:lvlJc w:val="left"/>
      <w:lvlText w:val="%1."/>
      <w:numFmt w:val="decimal"/>
      <w:start w:val="7"/>
    </w:lvl>
  </w:abstractNum>
  <w:abstractNum w:abstractNumId="38">
    <w:nsid w:val="43F18422"/>
    <w:multiLevelType w:val="hybridMultilevel"/>
    <w:lvl w:ilvl="0">
      <w:lvlJc w:val="left"/>
      <w:lvlText w:val="(%1)"/>
      <w:numFmt w:val="lowerRoman"/>
      <w:start w:val="4"/>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1."/>
      <w:numFmt w:val="decimal"/>
      <w:start w:val="9"/>
    </w:lvl>
  </w:abstractNum>
  <w:abstractNum w:abstractNumId="43">
    <w:nsid w:val="7055A5F5"/>
    <w:multiLevelType w:val="hybridMultilevel"/>
    <w:lvl w:ilvl="0">
      <w:lvlJc w:val="left"/>
      <w:lvlText w:val="%1."/>
      <w:numFmt w:val="decimal"/>
      <w:start w:val="10"/>
    </w:lvl>
  </w:abstractNum>
  <w:abstractNum w:abstractNumId="44">
    <w:nsid w:val="5FB8370B"/>
    <w:multiLevelType w:val="hybridMultilevel"/>
    <w:lvl w:ilvl="0">
      <w:lvlJc w:val="left"/>
      <w:lvlText w:val="(%1)"/>
      <w:numFmt w:val="decimal"/>
      <w:start w:val="1"/>
    </w:lvl>
  </w:abstractNum>
  <w:abstractNum w:abstractNumId="45">
    <w:nsid w:val="50801EE1"/>
    <w:multiLevelType w:val="hybridMultilevel"/>
    <w:lvl w:ilvl="0">
      <w:lvlJc w:val="left"/>
      <w:lvlText w:val="(%1)"/>
      <w:numFmt w:val="decimal"/>
      <w:start w:val="1"/>
    </w:lvl>
  </w:abstractNum>
  <w:abstractNum w:abstractNumId="46">
    <w:nsid w:val="488AC1A"/>
    <w:multiLevelType w:val="hybridMultilevel"/>
    <w:lvl w:ilvl="0">
      <w:lvlJc w:val="left"/>
      <w:lvlText w:val="(%1)"/>
      <w:numFmt w:val="decimal"/>
      <w:start w:val="1"/>
    </w:lvl>
  </w:abstractNum>
  <w:abstractNum w:abstractNumId="47">
    <w:nsid w:val="5FB8011C"/>
    <w:multiLevelType w:val="hybridMultilevel"/>
    <w:lvl w:ilvl="0">
      <w:lvlJc w:val="left"/>
      <w:lvlText w:val="%1."/>
      <w:numFmt w:val="decimal"/>
      <w:start w:val="11"/>
    </w:lvl>
  </w:abstractNum>
  <w:abstractNum w:abstractNumId="48">
    <w:nsid w:val="6AA78F7F"/>
    <w:multiLevelType w:val="hybridMultilevel"/>
    <w:lvl w:ilvl="0">
      <w:lvlJc w:val="left"/>
      <w:lvlText w:val="(%1)"/>
      <w:numFmt w:val="decimal"/>
      <w:start w:val="1"/>
    </w:lvl>
  </w:abstractNum>
  <w:abstractNum w:abstractNumId="49">
    <w:nsid w:val="7672BD23"/>
    <w:multiLevelType w:val="hybridMultilevel"/>
    <w:lvl w:ilvl="0">
      <w:lvlJc w:val="left"/>
      <w:lvlText w:val="(%1)"/>
      <w:numFmt w:val="decimal"/>
      <w:start w:val="1"/>
    </w:lvl>
  </w:abstractNum>
  <w:abstractNum w:abstractNumId="50">
    <w:nsid w:val="6FC75AF8"/>
    <w:multiLevelType w:val="hybridMultilevel"/>
    <w:lvl w:ilvl="0">
      <w:lvlJc w:val="left"/>
      <w:lvlText w:val="(%1)"/>
      <w:numFmt w:val="decimal"/>
      <w:start w:val="1"/>
    </w:lvl>
  </w:abstractNum>
  <w:abstractNum w:abstractNumId="51">
    <w:nsid w:val="6A5F7029"/>
    <w:multiLevelType w:val="hybridMultilevel"/>
    <w:lvl w:ilvl="0">
      <w:lvlJc w:val="left"/>
      <w:lvlText w:val="(%1)"/>
      <w:numFmt w:val="decimal"/>
      <w:start w:val="1"/>
    </w:lvl>
  </w:abstractNum>
  <w:abstractNum w:abstractNumId="52">
    <w:nsid w:val="7D5E18F8"/>
    <w:multiLevelType w:val="hybridMultilevel"/>
    <w:lvl w:ilvl="0">
      <w:lvlJc w:val="left"/>
      <w:lvlText w:val="%1."/>
      <w:numFmt w:val="decimal"/>
      <w:start w:val="12"/>
    </w:lvl>
  </w:abstractNum>
  <w:abstractNum w:abstractNumId="53">
    <w:nsid w:val="5F3534A4"/>
    <w:multiLevelType w:val="hybridMultilevel"/>
    <w:lvl w:ilvl="0">
      <w:lvlJc w:val="left"/>
      <w:lvlText w:val="%1."/>
      <w:numFmt w:val="decimal"/>
      <w:start w:val="13"/>
    </w:lvl>
  </w:abstractNum>
  <w:abstractNum w:abstractNumId="54">
    <w:nsid w:val="73A1821B"/>
    <w:multiLevelType w:val="hybridMultilevel"/>
    <w:lvl w:ilvl="0">
      <w:lvlJc w:val="left"/>
      <w:lvlText w:val="%1."/>
      <w:numFmt w:val="decimal"/>
      <w:start w:val="14"/>
    </w:lvl>
  </w:abstractNum>
  <w:abstractNum w:abstractNumId="55">
    <w:nsid w:val="7DE67713"/>
    <w:multiLevelType w:val="hybridMultilevel"/>
    <w:lvl w:ilvl="0">
      <w:lvlJc w:val="left"/>
      <w:lvlText w:val="%1."/>
      <w:numFmt w:val="decimal"/>
      <w:start w:val="15"/>
    </w:lvl>
  </w:abstractNum>
  <w:abstractNum w:abstractNumId="56">
    <w:nsid w:val="555C55B5"/>
    <w:multiLevelType w:val="hybridMultilevel"/>
    <w:lvl w:ilvl="0">
      <w:lvlJc w:val="left"/>
      <w:lvlText w:val="(%1)"/>
      <w:numFmt w:val="decimal"/>
      <w:start w:val="1"/>
    </w:lvl>
  </w:abstractNum>
  <w:abstractNum w:abstractNumId="57">
    <w:nsid w:val="3FA62ACA"/>
    <w:multiLevelType w:val="hybridMultilevel"/>
    <w:lvl w:ilvl="0">
      <w:lvlJc w:val="left"/>
      <w:lvlText w:val="%1."/>
      <w:numFmt w:val="decimal"/>
      <w:start w:val="16"/>
    </w:lvl>
  </w:abstractNum>
  <w:abstractNum w:abstractNumId="58">
    <w:nsid w:val="14FCE74E"/>
    <w:multiLevelType w:val="hybridMultilevel"/>
    <w:lvl w:ilvl="0">
      <w:lvlJc w:val="left"/>
      <w:lvlText w:val="%1."/>
      <w:numFmt w:val="decimal"/>
      <w:start w:val="17"/>
    </w:lvl>
  </w:abstractNum>
  <w:abstractNum w:abstractNumId="59">
    <w:nsid w:val="6A3DD3E8"/>
    <w:multiLevelType w:val="hybridMultilevel"/>
    <w:lvl w:ilvl="0">
      <w:lvlJc w:val="left"/>
      <w:lvlText w:val="(%1)"/>
      <w:numFmt w:val="decimal"/>
      <w:start w:val="1"/>
    </w:lvl>
  </w:abstractNum>
  <w:abstractNum w:abstractNumId="60">
    <w:nsid w:val="71C91298"/>
    <w:multiLevelType w:val="hybridMultilevel"/>
    <w:lvl w:ilvl="0">
      <w:lvlJc w:val="left"/>
      <w:lvlText w:val="%1."/>
      <w:numFmt w:val="upperLetter"/>
      <w:start w:val="1"/>
    </w:lvl>
  </w:abstractNum>
  <w:abstractNum w:abstractNumId="61">
    <w:nsid w:val="9DAF632"/>
    <w:multiLevelType w:val="hybridMultilevel"/>
    <w:lvl w:ilvl="0">
      <w:lvlJc w:val="left"/>
      <w:lvlText w:val="%1."/>
      <w:numFmt w:val="upperLetter"/>
      <w:start w:val="2"/>
    </w:lvl>
  </w:abstractNum>
  <w:abstractNum w:abstractNumId="62">
    <w:nsid w:val="53299938"/>
    <w:multiLevelType w:val="hybridMultilevel"/>
    <w:lvl w:ilvl="0">
      <w:lvlJc w:val="left"/>
      <w:lvlText w:val="%1."/>
      <w:numFmt w:val="upperLetter"/>
      <w:start w:val="3"/>
    </w:lvl>
  </w:abstractNum>
  <w:abstractNum w:abstractNumId="63">
    <w:nsid w:val="1FBFE8E0"/>
    <w:multiLevelType w:val="hybridMultilevel"/>
    <w:lvl w:ilvl="0">
      <w:lvlJc w:val="left"/>
      <w:lvlText w:val="%1."/>
      <w:numFmt w:val="upperLetter"/>
      <w:start w:val="4"/>
    </w:lvl>
  </w:abstractNum>
  <w:abstractNum w:abstractNumId="64">
    <w:nsid w:val="5092CA79"/>
    <w:multiLevelType w:val="hybridMultilevel"/>
    <w:lvl w:ilvl="0">
      <w:lvlJc w:val="left"/>
      <w:lvlText w:val="(%1)"/>
      <w:numFmt w:val="decimal"/>
      <w:start w:val="1"/>
    </w:lvl>
  </w:abstractNum>
  <w:abstractNum w:abstractNumId="65">
    <w:nsid w:val="1D545C4D"/>
    <w:multiLevelType w:val="hybridMultilevel"/>
    <w:lvl w:ilvl="0">
      <w:lvlJc w:val="left"/>
      <w:lvlText w:val="%1."/>
      <w:numFmt w:val="upperLetter"/>
      <w:start w:val="1"/>
    </w:lvl>
  </w:abstractNum>
  <w:abstractNum w:abstractNumId="66">
    <w:nsid w:val="59ADEA3D"/>
    <w:multiLevelType w:val="hybridMultilevel"/>
    <w:lvl w:ilvl="0">
      <w:lvlJc w:val="left"/>
      <w:lvlText w:val="%1."/>
      <w:numFmt w:val="upperLetter"/>
      <w:start w:val="2"/>
    </w:lvl>
  </w:abstractNum>
  <w:abstractNum w:abstractNumId="67">
    <w:nsid w:val="288F1A34"/>
    <w:multiLevelType w:val="hybridMultilevel"/>
    <w:lvl w:ilvl="0">
      <w:lvlJc w:val="left"/>
      <w:lvlText w:val="%1."/>
      <w:numFmt w:val="upperLetter"/>
      <w:start w:val="3"/>
    </w:lvl>
  </w:abstractNum>
  <w:abstractNum w:abstractNumId="68">
    <w:nsid w:val="2A155DBC"/>
    <w:multiLevelType w:val="hybridMultilevel"/>
    <w:lvl w:ilvl="0">
      <w:lvlJc w:val="left"/>
      <w:lvlText w:val="2"/>
      <w:numFmt w:val="bullet"/>
      <w:start w:val="1"/>
    </w:lvl>
  </w:abstractNum>
  <w:abstractNum w:abstractNumId="69">
    <w:nsid w:val="1D9F6E5F"/>
    <w:multiLevelType w:val="hybridMultilevel"/>
    <w:lvl w:ilvl="0">
      <w:lvlJc w:val="left"/>
      <w:lvlText w:val="3"/>
      <w:numFmt w:val="bullet"/>
      <w:start w:val="1"/>
    </w:lvl>
  </w:abstractNum>
  <w:abstractNum w:abstractNumId="70">
    <w:nsid w:val="97E1B4E"/>
    <w:multiLevelType w:val="hybridMultilevel"/>
    <w:lvl w:ilvl="0">
      <w:lvlJc w:val="left"/>
      <w:lvlText w:val="4"/>
      <w:numFmt w:val="bullet"/>
      <w:start w:val="1"/>
    </w:lvl>
  </w:abstractNum>
  <w:abstractNum w:abstractNumId="71">
    <w:nsid w:val="51088277"/>
    <w:multiLevelType w:val="hybridMultilevel"/>
    <w:lvl w:ilvl="0">
      <w:lvlJc w:val="left"/>
      <w:lvlText w:val="*"/>
      <w:numFmt w:val="bullet"/>
      <w:start w:val="1"/>
    </w:lvl>
  </w:abstractNum>
  <w:abstractNum w:abstractNumId="72">
    <w:nsid w:val="1CA0C5FA"/>
    <w:multiLevelType w:val="hybridMultilevel"/>
    <w:lvl w:ilvl="0">
      <w:lvlJc w:val="left"/>
      <w:lvlText w:val="%1."/>
      <w:numFmt w:val="decimal"/>
      <w:start w:val="1"/>
    </w:lvl>
  </w:abstractNum>
  <w:abstractNum w:abstractNumId="73">
    <w:nsid w:val="53584BCB"/>
    <w:multiLevelType w:val="hybridMultilevel"/>
    <w:lvl w:ilvl="0">
      <w:lvlJc w:val="left"/>
      <w:lvlText w:val="%1."/>
      <w:numFmt w:val="decimal"/>
      <w:start w:val="5"/>
    </w:lvl>
  </w:abstractNum>
  <w:abstractNum w:abstractNumId="74">
    <w:nsid w:val="415E286C"/>
    <w:multiLevelType w:val="hybridMultilevel"/>
    <w:lvl w:ilvl="0">
      <w:lvlJc w:val="left"/>
      <w:lvlText w:val="%1."/>
      <w:numFmt w:val="decimal"/>
      <w:start w:val="1"/>
    </w:lvl>
  </w:abstractNum>
  <w:abstractNum w:abstractNumId="75">
    <w:nsid w:val="7C58FD05"/>
    <w:multiLevelType w:val="hybridMultilevel"/>
    <w:lvl w:ilvl="0">
      <w:lvlJc w:val="left"/>
      <w:lvlText w:val="(%1)"/>
      <w:numFmt w:val="upperLetter"/>
      <w:start w:val="1"/>
    </w:lvl>
  </w:abstractNum>
  <w:abstractNum w:abstractNumId="76">
    <w:nsid w:val="23D86AAC"/>
    <w:multiLevelType w:val="hybridMultilevel"/>
    <w:lvl w:ilvl="0">
      <w:lvlJc w:val="left"/>
      <w:lvlText w:val="%1."/>
      <w:numFmt w:val="decimal"/>
      <w:start w:val="2"/>
    </w:lvl>
  </w:abstractNum>
  <w:abstractNum w:abstractNumId="77">
    <w:nsid w:val="45E6D486"/>
    <w:multiLevelType w:val="hybridMultilevel"/>
    <w:lvl w:ilvl="0">
      <w:lvlJc w:val="left"/>
      <w:lvlText w:val="%1."/>
      <w:numFmt w:val="decimal"/>
      <w:start w:val="3"/>
    </w:lvl>
  </w:abstractNum>
  <w:abstractNum w:abstractNumId="78">
    <w:nsid w:val="5C10FE21"/>
    <w:multiLevelType w:val="hybridMultilevel"/>
    <w:lvl w:ilvl="0">
      <w:lvlJc w:val="left"/>
      <w:lvlText w:val="%1."/>
      <w:numFmt w:val="decimal"/>
      <w:start w:val="4"/>
    </w:lvl>
  </w:abstractNum>
  <w:abstractNum w:abstractNumId="79">
    <w:nsid w:val="E7FFA2B"/>
    <w:multiLevelType w:val="hybridMultilevel"/>
    <w:lvl w:ilvl="0">
      <w:lvlJc w:val="left"/>
      <w:lvlText w:val="(%1)"/>
      <w:numFmt w:val="upperLetter"/>
      <w:start w:val="1"/>
    </w:lvl>
  </w:abstractNum>
  <w:abstractNum w:abstractNumId="80">
    <w:nsid w:val="3C5991AA"/>
    <w:multiLevelType w:val="hybridMultilevel"/>
    <w:lvl w:ilvl="0">
      <w:lvlJc w:val="left"/>
      <w:lvlText w:val="(%1)"/>
      <w:numFmt w:val="decimal"/>
      <w:start w:val="1"/>
    </w:lvl>
  </w:abstractNum>
  <w:abstractNum w:abstractNumId="81">
    <w:nsid w:val="4BD8591A"/>
    <w:multiLevelType w:val="hybridMultilevel"/>
    <w:lvl w:ilvl="0">
      <w:lvlJc w:val="left"/>
      <w:lvlText w:val="(%1)"/>
      <w:numFmt w:val="upperLetter"/>
      <w:start w:val="2"/>
    </w:lvl>
  </w:abstractNum>
  <w:abstractNum w:abstractNumId="82">
    <w:nsid w:val="78DF6A55"/>
    <w:multiLevelType w:val="hybridMultilevel"/>
    <w:lvl w:ilvl="0">
      <w:lvlJc w:val="left"/>
      <w:lvlText w:val="%1."/>
      <w:numFmt w:val="decimal"/>
      <w:start w:val="5"/>
    </w:lvl>
  </w:abstractNum>
  <w:abstractNum w:abstractNumId="83">
    <w:nsid w:val="39B7AAA2"/>
    <w:multiLevelType w:val="hybridMultilevel"/>
    <w:lvl w:ilvl="0">
      <w:lvlJc w:val="left"/>
      <w:lvlText w:val="(%1)"/>
      <w:numFmt w:val="upperLetter"/>
      <w:start w:val="1"/>
    </w:lvl>
  </w:abstractNum>
  <w:abstractNum w:abstractNumId="84">
    <w:nsid w:val="2B0D8DBE"/>
    <w:multiLevelType w:val="hybridMultilevel"/>
    <w:lvl w:ilvl="0">
      <w:lvlJc w:val="left"/>
      <w:lvlText w:val="(%1)"/>
      <w:numFmt w:val="decimal"/>
      <w:start w:val="1"/>
    </w:lvl>
  </w:abstractNum>
  <w:abstractNum w:abstractNumId="85">
    <w:nsid w:val="6C80EC70"/>
    <w:multiLevelType w:val="hybridMultilevel"/>
    <w:lvl w:ilvl="0">
      <w:lvlJc w:val="left"/>
      <w:lvlText w:val="(%1)"/>
      <w:numFmt w:val="upperLetter"/>
      <w:start w:val="2"/>
    </w:lvl>
  </w:abstractNum>
  <w:abstractNum w:abstractNumId="86">
    <w:nsid w:val="379E21B5"/>
    <w:multiLevelType w:val="hybridMultilevel"/>
    <w:lvl w:ilvl="0">
      <w:lvlJc w:val="left"/>
      <w:lvlText w:val="(%1)"/>
      <w:numFmt w:val="decimal"/>
      <w:start w:val="1"/>
    </w:lvl>
  </w:abstractNum>
  <w:abstractNum w:abstractNumId="87">
    <w:nsid w:val="69E373"/>
    <w:multiLevelType w:val="hybridMultilevel"/>
    <w:lvl w:ilvl="0">
      <w:lvlJc w:val="left"/>
      <w:lvlText w:val="(%1)"/>
      <w:numFmt w:val="upperLetter"/>
      <w:start w:val="3"/>
    </w:lvl>
  </w:abstractNum>
  <w:abstractNum w:abstractNumId="88">
    <w:nsid w:val="2C27173B"/>
    <w:multiLevelType w:val="hybridMultilevel"/>
    <w:lvl w:ilvl="0">
      <w:lvlJc w:val="left"/>
      <w:lvlText w:val="(%1)"/>
      <w:numFmt w:val="upperLetter"/>
      <w:start w:val="4"/>
    </w:lvl>
  </w:abstractNum>
  <w:abstractNum w:abstractNumId="89">
    <w:nsid w:val="4C9B0904"/>
    <w:multiLevelType w:val="hybridMultilevel"/>
    <w:lvl w:ilvl="0">
      <w:lvlJc w:val="left"/>
      <w:lvlText w:val="%1."/>
      <w:numFmt w:val="decimal"/>
      <w:start w:val="6"/>
    </w:lvl>
  </w:abstractNum>
  <w:abstractNum w:abstractNumId="90">
    <w:nsid w:val="6AA7B75C"/>
    <w:multiLevelType w:val="hybridMultilevel"/>
    <w:lvl w:ilvl="0">
      <w:lvlJc w:val="left"/>
      <w:lvlText w:val="(%1)"/>
      <w:numFmt w:val="upperLetter"/>
      <w:start w:val="1"/>
    </w:lvl>
  </w:abstractNum>
  <w:abstractNum w:abstractNumId="91">
    <w:nsid w:val="1DF029D3"/>
    <w:multiLevelType w:val="hybridMultilevel"/>
    <w:lvl w:ilvl="0">
      <w:lvlJc w:val="left"/>
      <w:lvlText w:val="%1."/>
      <w:numFmt w:val="decimal"/>
      <w:start w:val="7"/>
    </w:lvl>
  </w:abstractNum>
  <w:abstractNum w:abstractNumId="92">
    <w:nsid w:val="5675FF36"/>
    <w:multiLevelType w:val="hybridMultilevel"/>
    <w:lvl w:ilvl="0">
      <w:lvlJc w:val="left"/>
      <w:lvlText w:val="(%1)"/>
      <w:numFmt w:val="upperLetter"/>
      <w:start w:val="1"/>
    </w:lvl>
  </w:abstractNum>
  <w:abstractNum w:abstractNumId="93">
    <w:nsid w:val="3DD15094"/>
    <w:multiLevelType w:val="hybridMultilevel"/>
    <w:lvl w:ilvl="0">
      <w:lvlJc w:val="left"/>
      <w:lvlText w:val="%1."/>
      <w:numFmt w:val="decimal"/>
      <w:start w:val="8"/>
    </w:lvl>
  </w:abstractNum>
  <w:abstractNum w:abstractNumId="94">
    <w:nsid w:val="3DB012B3"/>
    <w:multiLevelType w:val="hybridMultilevel"/>
    <w:lvl w:ilvl="0">
      <w:lvlJc w:val="left"/>
      <w:lvlText w:val="(%1)"/>
      <w:numFmt w:val="upperLetter"/>
      <w:start w:val="1"/>
    </w:lvl>
  </w:abstractNum>
  <w:abstractNum w:abstractNumId="95">
    <w:nsid w:val="2708C9AF"/>
    <w:multiLevelType w:val="hybridMultilevel"/>
    <w:lvl w:ilvl="0">
      <w:lvlJc w:val="left"/>
      <w:lvlText w:val="%1."/>
      <w:numFmt w:val="decimal"/>
      <w:start w:val="9"/>
    </w:lvl>
  </w:abstractNum>
  <w:abstractNum w:abstractNumId="96">
    <w:nsid w:val="5B25ACE2"/>
    <w:multiLevelType w:val="hybridMultilevel"/>
    <w:lvl w:ilvl="0">
      <w:lvlJc w:val="left"/>
      <w:lvlText w:val="(%1)"/>
      <w:numFmt w:val="upperLetter"/>
      <w:start w:val="1"/>
    </w:lvl>
  </w:abstractNum>
  <w:abstractNum w:abstractNumId="97">
    <w:nsid w:val="175DFCF0"/>
    <w:multiLevelType w:val="hybridMultilevel"/>
    <w:lvl w:ilvl="0">
      <w:lvlJc w:val="left"/>
      <w:lvlText w:val="(%1)"/>
      <w:numFmt w:val="upperLetter"/>
      <w:start w:val="3"/>
    </w:lvl>
  </w:abstractNum>
  <w:abstractNum w:abstractNumId="98">
    <w:nsid w:val="4F97E3E4"/>
    <w:multiLevelType w:val="hybridMultilevel"/>
    <w:lvl w:ilvl="0">
      <w:lvlJc w:val="left"/>
      <w:lvlText w:val="%1."/>
      <w:numFmt w:val="decimal"/>
      <w:start w:val="10"/>
    </w:lvl>
  </w:abstractNum>
  <w:abstractNum w:abstractNumId="99">
    <w:nsid w:val="53B0A9E"/>
    <w:multiLevelType w:val="hybridMultilevel"/>
    <w:lvl w:ilvl="0">
      <w:lvlJc w:val="left"/>
      <w:lvlText w:val="%1."/>
      <w:numFmt w:val="decimal"/>
      <w:start w:val="11"/>
    </w:lvl>
  </w:abstractNum>
  <w:abstractNum w:abstractNumId="100">
    <w:nsid w:val="34FD6B4F"/>
    <w:multiLevelType w:val="hybridMultilevel"/>
    <w:lvl w:ilvl="0">
      <w:lvlJc w:val="left"/>
      <w:lvlText w:val="%1."/>
      <w:numFmt w:val="decimal"/>
      <w:start w:val="12"/>
    </w:lvl>
  </w:abstractNum>
  <w:abstractNum w:abstractNumId="101">
    <w:nsid w:val="5915FF32"/>
    <w:multiLevelType w:val="hybridMultilevel"/>
    <w:lvl w:ilvl="0">
      <w:lvlJc w:val="left"/>
      <w:lvlText w:val="(%1)"/>
      <w:numFmt w:val="upperLetter"/>
      <w:start w:val="1"/>
    </w:lvl>
  </w:abstractNum>
  <w:abstractNum w:abstractNumId="102">
    <w:nsid w:val="56438D15"/>
    <w:multiLevelType w:val="hybridMultilevel"/>
    <w:lvl w:ilvl="0">
      <w:lvlJc w:val="left"/>
      <w:lvlText w:val="(%1)"/>
      <w:numFmt w:val="decimal"/>
      <w:start w:val="1"/>
    </w:lvl>
  </w:abstractNum>
  <w:abstractNum w:abstractNumId="103">
    <w:nsid w:val="519E3149"/>
    <w:multiLevelType w:val="hybridMultilevel"/>
    <w:lvl w:ilvl="0">
      <w:lvlJc w:val="left"/>
      <w:lvlText w:val="(%1)"/>
      <w:numFmt w:val="upperLetter"/>
      <w:start w:val="2"/>
    </w:lvl>
  </w:abstractNum>
  <w:abstractNum w:abstractNumId="104">
    <w:nsid w:val="2C6E4AFD"/>
    <w:multiLevelType w:val="hybridMultilevel"/>
    <w:lvl w:ilvl="0">
      <w:lvlJc w:val="left"/>
      <w:lvlText w:val="(%1)"/>
      <w:numFmt w:val="decimal"/>
      <w:start w:val="1"/>
    </w:lvl>
  </w:abstractNum>
  <w:abstractNum w:abstractNumId="105">
    <w:nsid w:val="17A1B582"/>
    <w:multiLevelType w:val="hybridMultilevel"/>
    <w:lvl w:ilvl="0">
      <w:lvlJc w:val="left"/>
      <w:lvlText w:val="%1."/>
      <w:numFmt w:val="decimal"/>
      <w:start w:val="13"/>
    </w:lvl>
  </w:abstractNum>
  <w:abstractNum w:abstractNumId="106">
    <w:nsid w:val="4DF72E4E"/>
    <w:multiLevelType w:val="hybridMultilevel"/>
    <w:lvl w:ilvl="0">
      <w:lvlJc w:val="left"/>
      <w:lvlText w:val="(%1)"/>
      <w:numFmt w:val="upperLetter"/>
      <w:start w:val="1"/>
    </w:lvl>
  </w:abstractNum>
  <w:abstractNum w:abstractNumId="107">
    <w:nsid w:val="5046B5A9"/>
    <w:multiLevelType w:val="hybridMultilevel"/>
    <w:lvl w:ilvl="0">
      <w:lvlJc w:val="left"/>
      <w:lvlText w:val="(%1)"/>
      <w:numFmt w:val="decimal"/>
      <w:start w:val="1"/>
    </w:lvl>
  </w:abstractNum>
  <w:abstractNum w:abstractNumId="108">
    <w:nsid w:val="5D888A08"/>
    <w:multiLevelType w:val="hybridMultilevel"/>
    <w:lvl w:ilvl="0">
      <w:lvlJc w:val="left"/>
      <w:lvlText w:val="(%1)"/>
      <w:numFmt w:val="upperLetter"/>
      <w:start w:val="4"/>
    </w:lvl>
  </w:abstractNum>
  <w:abstractNum w:abstractNumId="109">
    <w:nsid w:val="2A082C70"/>
    <w:multiLevelType w:val="hybridMultilevel"/>
    <w:lvl w:ilvl="0">
      <w:lvlJc w:val="left"/>
      <w:lvlText w:val="%1."/>
      <w:numFmt w:val="decimal"/>
      <w:start w:val="14"/>
    </w:lvl>
  </w:abstractNum>
  <w:abstractNum w:abstractNumId="110">
    <w:nsid w:val="5EC6AFD4"/>
    <w:multiLevelType w:val="hybridMultilevel"/>
    <w:lvl w:ilvl="0">
      <w:lvlJc w:val="left"/>
      <w:lvlText w:val="(%1)"/>
      <w:numFmt w:val="upperLetter"/>
      <w:start w:val="1"/>
    </w:lvl>
  </w:abstractNum>
  <w:abstractNum w:abstractNumId="111">
    <w:nsid w:val="19E21BB2"/>
    <w:multiLevelType w:val="hybridMultilevel"/>
    <w:lvl w:ilvl="0">
      <w:lvlJc w:val="left"/>
      <w:lvlText w:val="(%1)"/>
      <w:numFmt w:val="decimal"/>
      <w:start w:val="1"/>
    </w:lvl>
  </w:abstractNum>
  <w:abstractNum w:abstractNumId="112">
    <w:nsid w:val="75E0858A"/>
    <w:multiLevelType w:val="hybridMultilevel"/>
    <w:lvl w:ilvl="0">
      <w:lvlJc w:val="left"/>
      <w:lvlText w:val="(%1)"/>
      <w:numFmt w:val="decimal"/>
      <w:start w:val="7"/>
    </w:lvl>
  </w:abstractNum>
  <w:abstractNum w:abstractNumId="113">
    <w:nsid w:val="57A61A29"/>
    <w:multiLevelType w:val="hybridMultilevel"/>
    <w:lvl w:ilvl="0">
      <w:lvlJc w:val="left"/>
      <w:lvlText w:val="%1."/>
      <w:numFmt w:val="lowerLetter"/>
      <w:start w:val="12"/>
    </w:lvl>
  </w:abstractNum>
  <w:abstractNum w:abstractNumId="114">
    <w:nsid w:val="5399C654"/>
    <w:multiLevelType w:val="hybridMultilevel"/>
    <w:lvl w:ilvl="0">
      <w:lvlJc w:val="left"/>
      <w:lvlText w:val="%1."/>
      <w:numFmt w:val="decimal"/>
      <w:start w:val="2"/>
    </w:lvl>
  </w:abstractNum>
  <w:abstractNum w:abstractNumId="115">
    <w:nsid w:val="20EE1348"/>
    <w:multiLevelType w:val="hybridMultilevel"/>
    <w:lvl w:ilvl="0">
      <w:lvlJc w:val="left"/>
      <w:lvlText w:val="%1."/>
      <w:numFmt w:val="upperLetter"/>
      <w:start w:val="9"/>
    </w:lvl>
  </w:abstractNum>
  <w:abstractNum w:abstractNumId="116">
    <w:nsid w:val="4427069A"/>
    <w:multiLevelType w:val="hybridMultilevel"/>
    <w:lvl w:ilvl="0">
      <w:lvlJc w:val="left"/>
      <w:lvlText w:val="%1."/>
      <w:numFmt w:val="upperLetter"/>
      <w:start w:val="1"/>
    </w:lvl>
  </w:abstractNum>
  <w:abstractNum w:abstractNumId="117">
    <w:nsid w:val="B37E80A"/>
    <w:multiLevelType w:val="hybridMultilevel"/>
    <w:lvl w:ilvl="0">
      <w:lvlJc w:val="left"/>
      <w:lvlText w:val="%1."/>
      <w:numFmt w:val="upperLetter"/>
      <w:start w:val="2"/>
    </w:lvl>
  </w:abstractNum>
  <w:abstractNum w:abstractNumId="118">
    <w:nsid w:val="2157F6BC"/>
    <w:multiLevelType w:val="hybridMultilevel"/>
    <w:lvl w:ilvl="0">
      <w:lvlJc w:val="left"/>
      <w:lvlText w:val="%1."/>
      <w:numFmt w:val="upperLetter"/>
      <w:start w:val="3"/>
    </w:lvl>
  </w:abstractNum>
  <w:abstractNum w:abstractNumId="119">
    <w:nsid w:val="704E1DD5"/>
    <w:multiLevelType w:val="hybridMultilevel"/>
    <w:lvl w:ilvl="0">
      <w:lvlJc w:val="left"/>
      <w:lvlText w:val="%1."/>
      <w:numFmt w:val="upperLetter"/>
      <w:start w:val="35"/>
    </w:lvl>
  </w:abstractNum>
  <w:abstractNum w:abstractNumId="120">
    <w:nsid w:val="57D2F10E"/>
    <w:multiLevelType w:val="hybridMultilevel"/>
    <w:lvl w:ilvl="0">
      <w:lvlJc w:val="left"/>
      <w:lvlText w:val="%1."/>
      <w:numFmt w:val="decimal"/>
      <w:start w:val="1"/>
    </w:lvl>
  </w:abstractNum>
  <w:abstractNum w:abstractNumId="121">
    <w:nsid w:val="BFFAE18"/>
    <w:multiLevelType w:val="hybridMultilevel"/>
    <w:lvl w:ilvl="0">
      <w:lvlJc w:val="left"/>
      <w:lvlText w:val="%1."/>
      <w:numFmt w:val="upperLetter"/>
      <w:start w:val="9"/>
    </w:lvl>
  </w:abstractNum>
  <w:abstractNum w:abstractNumId="122">
    <w:nsid w:val="E3E47A8"/>
    <w:multiLevelType w:val="hybridMultilevel"/>
    <w:lvl w:ilvl="0">
      <w:lvlJc w:val="left"/>
      <w:lvlText w:val="%1."/>
      <w:numFmt w:val="upperLetter"/>
      <w:start w:val="35"/>
    </w:lvl>
  </w:abstractNum>
  <w:abstractNum w:abstractNumId="123">
    <w:nsid w:val="2E48F044"/>
    <w:multiLevelType w:val="hybridMultilevel"/>
    <w:lvl w:ilvl="0">
      <w:lvlJc w:val="left"/>
      <w:lvlText w:val="%1."/>
      <w:numFmt w:val="decimal"/>
      <w:start w:val="1"/>
    </w:lvl>
  </w:abstractNum>
  <w:abstractNum w:abstractNumId="124">
    <w:nsid w:val="49D0FEAC"/>
    <w:multiLevelType w:val="hybridMultilevel"/>
    <w:lvl w:ilvl="0">
      <w:lvlJc w:val="left"/>
      <w:lvlText w:val="%1."/>
      <w:numFmt w:val="decimal"/>
      <w:start w:val="4"/>
    </w:lvl>
  </w:abstractNum>
  <w:abstractNum w:abstractNumId="125">
    <w:nsid w:val="4BEE5A5B"/>
    <w:multiLevelType w:val="hybridMultilevel"/>
    <w:lvl w:ilvl="0">
      <w:lvlJc w:val="left"/>
      <w:lvlText w:val="%1."/>
      <w:numFmt w:val="upperLetter"/>
      <w:start w:val="9"/>
    </w:lvl>
  </w:abstractNum>
  <w:abstractNum w:abstractNumId="126">
    <w:nsid w:val="5551B9F3"/>
    <w:multiLevelType w:val="hybridMultilevel"/>
    <w:lvl w:ilvl="0">
      <w:lvlJc w:val="left"/>
      <w:lvlText w:val="%1."/>
      <w:numFmt w:val="upperLetter"/>
      <w:start w:val="1"/>
    </w:lvl>
  </w:abstractNum>
  <w:abstractNum w:abstractNumId="127">
    <w:nsid w:val="24F6AB8E"/>
    <w:multiLevelType w:val="hybridMultilevel"/>
    <w:lvl w:ilvl="0">
      <w:lvlJc w:val="left"/>
      <w:lvlText w:val="%1."/>
      <w:numFmt w:val="upperLetter"/>
      <w:start w:val="35"/>
    </w:lvl>
  </w:abstractNum>
  <w:abstractNum w:abstractNumId="128">
    <w:nsid w:val="634C574C"/>
    <w:multiLevelType w:val="hybridMultilevel"/>
    <w:lvl w:ilvl="0">
      <w:lvlJc w:val="left"/>
      <w:lvlText w:val="%1."/>
      <w:numFmt w:val="upperLetter"/>
      <w:start w:val="1"/>
    </w:lvl>
  </w:abstractNum>
  <w:abstractNum w:abstractNumId="129">
    <w:nsid w:val="24E99DD7"/>
    <w:multiLevelType w:val="hybridMultilevel"/>
    <w:lvl w:ilvl="0">
      <w:lvlJc w:val="left"/>
      <w:lvlText w:val="(%1)"/>
      <w:numFmt w:val="decimal"/>
      <w:start w:val="5"/>
    </w:lvl>
  </w:abstractNum>
  <w:abstractNum w:abstractNumId="130">
    <w:nsid w:val="2A31B62D"/>
    <w:multiLevelType w:val="hybridMultilevel"/>
    <w:lvl w:ilvl="0">
      <w:lvlJc w:val="left"/>
      <w:lvlText w:val="%1."/>
      <w:numFmt w:val="upperLetter"/>
      <w:start w:val="3"/>
    </w:lvl>
  </w:abstractNum>
  <w:abstractNum w:abstractNumId="131">
    <w:nsid w:val="1849C29B"/>
    <w:multiLevelType w:val="hybridMultilevel"/>
    <w:lvl w:ilvl="0">
      <w:lvlJc w:val="left"/>
      <w:lvlText w:val="%1."/>
      <w:numFmt w:val="upperLetter"/>
      <w:start w:val="35"/>
    </w:lvl>
  </w:abstractNum>
  <w:abstractNum w:abstractNumId="132">
    <w:nsid w:val="7DFF9D09"/>
    <w:multiLevelType w:val="hybridMultilevel"/>
    <w:lvl w:ilvl="0">
      <w:lvlJc w:val="left"/>
      <w:lvlText w:val="%1."/>
      <w:numFmt w:val="decimal"/>
      <w:start w:val="1"/>
    </w:lvl>
  </w:abstractNum>
  <w:abstractNum w:abstractNumId="133">
    <w:nsid w:val="754342"/>
    <w:multiLevelType w:val="hybridMultilevel"/>
    <w:lvl w:ilvl="0">
      <w:lvlJc w:val="left"/>
      <w:lvlText w:val="%1."/>
      <w:numFmt w:val="decimal"/>
      <w:start w:val="3"/>
    </w:lvl>
  </w:abstractNum>
  <w:abstractNum w:abstractNumId="134">
    <w:nsid w:val="69E7F3E5"/>
    <w:multiLevelType w:val="hybridMultilevel"/>
    <w:lvl w:ilvl="0">
      <w:lvlJc w:val="left"/>
      <w:lvlText w:val="%1."/>
      <w:numFmt w:val="upperLetter"/>
      <w:start w:val="9"/>
    </w:lvl>
  </w:abstractNum>
  <w:abstractNum w:abstractNumId="135">
    <w:nsid w:val="2A6DE806"/>
    <w:multiLevelType w:val="hybridMultilevel"/>
    <w:lvl w:ilvl="0">
      <w:lvlJc w:val="left"/>
      <w:lvlText w:val="%1."/>
      <w:numFmt w:val="upperLetter"/>
      <w:start w:val="1"/>
    </w:lvl>
  </w:abstractNum>
  <w:abstractNum w:abstractNumId="136">
    <w:nsid w:val="1816F8C4"/>
    <w:multiLevelType w:val="hybridMultilevel"/>
    <w:lvl w:ilvl="0">
      <w:lvlJc w:val="left"/>
      <w:lvlText w:val="%1."/>
      <w:numFmt w:val="upperLetter"/>
      <w:start w:val="35"/>
    </w:lvl>
  </w:abstractNum>
  <w:abstractNum w:abstractNumId="137">
    <w:nsid w:val="37DF2233"/>
    <w:multiLevelType w:val="hybridMultilevel"/>
    <w:lvl w:ilvl="0">
      <w:lvlJc w:val="left"/>
      <w:lvlText w:val="%1."/>
      <w:numFmt w:val="decimal"/>
      <w:start w:val="1"/>
    </w:lvl>
  </w:abstractNum>
  <w:abstractNum w:abstractNumId="138">
    <w:nsid w:val="7AB49DAF"/>
    <w:multiLevelType w:val="hybridMultilevel"/>
    <w:lvl w:ilvl="0">
      <w:lvlJc w:val="left"/>
      <w:lvlText w:val="%1."/>
      <w:numFmt w:val="upperLetter"/>
      <w:start w:val="9"/>
    </w:lvl>
  </w:abstractNum>
  <w:abstractNum w:abstractNumId="139">
    <w:nsid w:val="759F82CD"/>
    <w:multiLevelType w:val="hybridMultilevel"/>
    <w:lvl w:ilvl="0">
      <w:lvlJc w:val="left"/>
      <w:lvlText w:val="%1."/>
      <w:numFmt w:val="upperLetter"/>
      <w:start w:val="35"/>
    </w:lvl>
  </w:abstractNum>
  <w:abstractNum w:abstractNumId="140">
    <w:nsid w:val="61E74EA3"/>
    <w:multiLevelType w:val="hybridMultilevel"/>
    <w:lvl w:ilvl="0">
      <w:lvlJc w:val="left"/>
      <w:lvlText w:val="%1."/>
      <w:numFmt w:val="upperLetter"/>
      <w:start w:val="61"/>
    </w:lvl>
  </w:abstractNum>
  <w:abstractNum w:abstractNumId="141">
    <w:nsid w:val="597B4D84"/>
    <w:multiLevelType w:val="hybridMultilevel"/>
    <w:lvl w:ilvl="0">
      <w:lvlJc w:val="left"/>
      <w:lvlText w:val="%1."/>
      <w:numFmt w:val="upperLetter"/>
      <w:start w:val="9"/>
    </w:lvl>
  </w:abstractNum>
  <w:abstractNum w:abstractNumId="142">
    <w:nsid w:val="F819E7F"/>
    <w:multiLevelType w:val="hybridMultilevel"/>
    <w:lvl w:ilvl="0">
      <w:lvlJc w:val="left"/>
      <w:lvlText w:val="%1."/>
      <w:numFmt w:val="upperLetter"/>
      <w:start w:val="35"/>
    </w:lvl>
  </w:abstractNum>
  <w:abstractNum w:abstractNumId="143">
    <w:nsid w:val="57C7D42D"/>
    <w:multiLevelType w:val="hybridMultilevel"/>
    <w:lvl w:ilvl="0">
      <w:lvlJc w:val="left"/>
      <w:lvlText w:val="%1."/>
      <w:numFmt w:val="upperLetter"/>
      <w:start w:val="61"/>
    </w:lvl>
  </w:abstractNum>
  <w:abstractNum w:abstractNumId="144">
    <w:nsid w:val="312167AD"/>
    <w:multiLevelType w:val="hybridMultilevel"/>
    <w:lvl w:ilvl="0">
      <w:lvlJc w:val="left"/>
      <w:lvlText w:val="%1."/>
      <w:numFmt w:val="upperLetter"/>
      <w:start w:val="22"/>
    </w:lvl>
  </w:abstractNum>
  <w:abstractNum w:abstractNumId="145">
    <w:nsid w:val="631B64D4"/>
    <w:multiLevelType w:val="hybridMultilevel"/>
    <w:lvl w:ilvl="0">
      <w:lvlJc w:val="left"/>
      <w:lvlText w:val="%1."/>
      <w:numFmt w:val="decimal"/>
      <w:start w:val="1"/>
    </w:lvl>
    <w:lvl w:ilvl="1">
      <w:lvlJc w:val="left"/>
      <w:lvlText w:val="(%2)"/>
      <w:numFmt w:val="lowerLetter"/>
      <w:start w:val="1"/>
    </w:lvl>
  </w:abstractNum>
  <w:abstractNum w:abstractNumId="146">
    <w:nsid w:val="78B5E776"/>
    <w:multiLevelType w:val="hybridMultilevel"/>
    <w:lvl w:ilvl="0">
      <w:lvlJc w:val="left"/>
      <w:lvlText w:val="%1."/>
      <w:numFmt w:val="decimal"/>
      <w:start w:val="1"/>
    </w:lvl>
    <w:lvl w:ilvl="1">
      <w:lvlJc w:val="left"/>
      <w:lvlText w:val="(%2)"/>
      <w:numFmt w:val="lowerLetter"/>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15" Type="http://schemas.openxmlformats.org/officeDocument/2006/relationships/image" Target="media/image98.png"/><Relationship Id="rId129" Type="http://schemas.openxmlformats.org/officeDocument/2006/relationships/image" Target="media/image99.png"/><Relationship Id="rId146" Type="http://schemas.openxmlformats.org/officeDocument/2006/relationships/image" Target="media/image100.png"/><Relationship Id="rId161" Type="http://schemas.openxmlformats.org/officeDocument/2006/relationships/image" Target="media/image101.png"/><Relationship Id="rId170" Type="http://schemas.openxmlformats.org/officeDocument/2006/relationships/image" Target="media/image102.png"/><Relationship Id="rId171" Type="http://schemas.openxmlformats.org/officeDocument/2006/relationships/image" Target="media/image103.png"/><Relationship Id="rId172" Type="http://schemas.openxmlformats.org/officeDocument/2006/relationships/image" Target="media/image104.png"/><Relationship Id="rId173" Type="http://schemas.openxmlformats.org/officeDocument/2006/relationships/image" Target="media/image105.png"/><Relationship Id="rId174" Type="http://schemas.openxmlformats.org/officeDocument/2006/relationships/image" Target="media/image106.png"/><Relationship Id="rId175" Type="http://schemas.openxmlformats.org/officeDocument/2006/relationships/image" Target="media/image107.png"/><Relationship Id="rId176" Type="http://schemas.openxmlformats.org/officeDocument/2006/relationships/image" Target="media/image108.png"/><Relationship Id="rId177" Type="http://schemas.openxmlformats.org/officeDocument/2006/relationships/image" Target="media/image109.png"/><Relationship Id="rId178" Type="http://schemas.openxmlformats.org/officeDocument/2006/relationships/image" Target="media/image110.png"/><Relationship Id="rId179" Type="http://schemas.openxmlformats.org/officeDocument/2006/relationships/image" Target="media/image111.png"/><Relationship Id="rId180" Type="http://schemas.openxmlformats.org/officeDocument/2006/relationships/image" Target="media/image112.png"/><Relationship Id="rId181" Type="http://schemas.openxmlformats.org/officeDocument/2006/relationships/image" Target="media/image113.png"/><Relationship Id="rId182" Type="http://schemas.openxmlformats.org/officeDocument/2006/relationships/image" Target="media/image114.png"/><Relationship Id="rId183" Type="http://schemas.openxmlformats.org/officeDocument/2006/relationships/image" Target="media/image115.png"/><Relationship Id="rId184" Type="http://schemas.openxmlformats.org/officeDocument/2006/relationships/image" Target="media/image116.png"/><Relationship Id="rId185" Type="http://schemas.openxmlformats.org/officeDocument/2006/relationships/image" Target="media/image117.png"/><Relationship Id="rId186" Type="http://schemas.openxmlformats.org/officeDocument/2006/relationships/image" Target="media/image118.png"/><Relationship Id="rId187" Type="http://schemas.openxmlformats.org/officeDocument/2006/relationships/image" Target="media/image119.png"/><Relationship Id="rId188" Type="http://schemas.openxmlformats.org/officeDocument/2006/relationships/image" Target="media/image120.png"/><Relationship Id="rId189" Type="http://schemas.openxmlformats.org/officeDocument/2006/relationships/image" Target="media/image121.png"/><Relationship Id="rId190" Type="http://schemas.openxmlformats.org/officeDocument/2006/relationships/image" Target="media/image122.png"/><Relationship Id="rId191" Type="http://schemas.openxmlformats.org/officeDocument/2006/relationships/image" Target="media/image123.png"/><Relationship Id="rId192" Type="http://schemas.openxmlformats.org/officeDocument/2006/relationships/image" Target="media/image124.png"/><Relationship Id="rId193" Type="http://schemas.openxmlformats.org/officeDocument/2006/relationships/image" Target="media/image125.png"/><Relationship Id="rId194" Type="http://schemas.openxmlformats.org/officeDocument/2006/relationships/image" Target="media/image126.png"/><Relationship Id="rId195" Type="http://schemas.openxmlformats.org/officeDocument/2006/relationships/image" Target="media/image127.png"/><Relationship Id="rId196" Type="http://schemas.openxmlformats.org/officeDocument/2006/relationships/image" Target="media/image128.png"/><Relationship Id="rId197" Type="http://schemas.openxmlformats.org/officeDocument/2006/relationships/image" Target="media/image129.png"/><Relationship Id="rId198" Type="http://schemas.openxmlformats.org/officeDocument/2006/relationships/image" Target="media/image130.png"/><Relationship Id="rId199" Type="http://schemas.openxmlformats.org/officeDocument/2006/relationships/image" Target="media/image131.png"/><Relationship Id="rId200" Type="http://schemas.openxmlformats.org/officeDocument/2006/relationships/image" Target="media/image132.png"/><Relationship Id="rId201" Type="http://schemas.openxmlformats.org/officeDocument/2006/relationships/image" Target="media/image133.png"/><Relationship Id="rId202" Type="http://schemas.openxmlformats.org/officeDocument/2006/relationships/image" Target="media/image134.png"/><Relationship Id="rId203" Type="http://schemas.openxmlformats.org/officeDocument/2006/relationships/image" Target="media/image135.png"/><Relationship Id="rId204" Type="http://schemas.openxmlformats.org/officeDocument/2006/relationships/image" Target="media/image136.png"/><Relationship Id="rId205" Type="http://schemas.openxmlformats.org/officeDocument/2006/relationships/image" Target="media/image137.png"/><Relationship Id="rId206" Type="http://schemas.openxmlformats.org/officeDocument/2006/relationships/image" Target="media/image138.png"/><Relationship Id="rId207" Type="http://schemas.openxmlformats.org/officeDocument/2006/relationships/image" Target="media/image139.png"/><Relationship Id="rId208" Type="http://schemas.openxmlformats.org/officeDocument/2006/relationships/image" Target="media/image140.png"/><Relationship Id="rId209" Type="http://schemas.openxmlformats.org/officeDocument/2006/relationships/image" Target="media/image141.png"/><Relationship Id="rId210" Type="http://schemas.openxmlformats.org/officeDocument/2006/relationships/image" Target="media/image142.png"/><Relationship Id="rId211" Type="http://schemas.openxmlformats.org/officeDocument/2006/relationships/image" Target="media/image143.png"/><Relationship Id="rId212" Type="http://schemas.openxmlformats.org/officeDocument/2006/relationships/image" Target="media/image144.png"/><Relationship Id="rId213" Type="http://schemas.openxmlformats.org/officeDocument/2006/relationships/image" Target="media/image145.png"/><Relationship Id="rId214" Type="http://schemas.openxmlformats.org/officeDocument/2006/relationships/image" Target="media/image146.png"/><Relationship Id="rId215" Type="http://schemas.openxmlformats.org/officeDocument/2006/relationships/image" Target="media/image147.png"/><Relationship Id="rId216" Type="http://schemas.openxmlformats.org/officeDocument/2006/relationships/image" Target="media/image148.png"/><Relationship Id="rId47" Type="http://schemas.openxmlformats.org/officeDocument/2006/relationships/hyperlink" Target="https://www.sec.gov/ix?doc=/Archives/edgar/data/3453/000155837021001909/matx-20201231x10k.htm" TargetMode="External"/><Relationship Id="rId106" Type="http://schemas.openxmlformats.org/officeDocument/2006/relationships/hyperlink" Target="http://www.sec.gov/Archives/edgar/data/3453/000110465914079225/a14-24264_1ex2d1.htm" TargetMode="External"/><Relationship Id="rId107" Type="http://schemas.openxmlformats.org/officeDocument/2006/relationships/hyperlink" Target="http://www.sec.gov/Archives/edgar/data/3453/000110465915011288/a15-4783_1ex2d1.htm" TargetMode="External"/><Relationship Id="rId108" Type="http://schemas.openxmlformats.org/officeDocument/2006/relationships/hyperlink" Target="http://www.sec.gov/Archives/edgar/data/1302707/000119312514411216/d820290dex22.htm" TargetMode="External"/><Relationship Id="rId109" Type="http://schemas.openxmlformats.org/officeDocument/2006/relationships/hyperlink" Target="http://www.sec.gov/Archives/edgar/data/3453/000110465915056414/a15-12015_1ex2d2.htm" TargetMode="External"/><Relationship Id="rId110" Type="http://schemas.openxmlformats.org/officeDocument/2006/relationships/hyperlink" Target="http://www.sec.gov/Archives/edgar/data/3453/000110465916133224/a16-15104_1ex2d1.htm" TargetMode="External"/><Relationship Id="rId111" Type="http://schemas.openxmlformats.org/officeDocument/2006/relationships/hyperlink" Target="http://www.sec.gov/Archives/edgar/data/3453/000110465912056234/a12-16487_1ex3d1.htm" TargetMode="External"/><Relationship Id="rId112" Type="http://schemas.openxmlformats.org/officeDocument/2006/relationships/hyperlink" Target="http://www.sec.gov/Archives/edgar/data/3453/000110465912071639/a12-24769_1ex4d2.htm" TargetMode="External"/><Relationship Id="rId113" Type="http://schemas.openxmlformats.org/officeDocument/2006/relationships/hyperlink" Target="http://www.sec.gov/Archives/edgar/data/3453/000110465913082371/a13-19562_1ex3d1.htm" TargetMode="External"/><Relationship Id="rId114" Type="http://schemas.openxmlformats.org/officeDocument/2006/relationships/hyperlink" Target="https://www.sec.gov/Archives/edgar/data/3453/000155837020001757/ex-4.htm" TargetMode="External"/><Relationship Id="rId116" Type="http://schemas.openxmlformats.org/officeDocument/2006/relationships/hyperlink" Target="https://www.sec.gov/Archives/edgar/data/3453/000155837021003980/matx-20210331xex10d1.htm" TargetMode="External"/><Relationship Id="rId117" Type="http://schemas.openxmlformats.org/officeDocument/2006/relationships/hyperlink" Target="http://www.sec.gov/Archives/edgar/data/3453/000110465917043034/a17-15994_1ex10d4.htm" TargetMode="External"/><Relationship Id="rId118" Type="http://schemas.openxmlformats.org/officeDocument/2006/relationships/hyperlink" Target="http://www.sec.gov/Archives/edgar/data/3453/000110465917043034/a17-15994_1ex10d5.htm" TargetMode="External"/><Relationship Id="rId119" Type="http://schemas.openxmlformats.org/officeDocument/2006/relationships/hyperlink" Target="http://www.sec.gov/Archives/edgar/data/3453/000110465916163397/a16-23408_1ex10d1.htm" TargetMode="External"/><Relationship Id="rId120" Type="http://schemas.openxmlformats.org/officeDocument/2006/relationships/hyperlink" Target="http://www.sec.gov/Archives/edgar/data/3453/000110465916144681/a16-18469_1ex10d1.htm" TargetMode="External"/><Relationship Id="rId121" Type="http://schemas.openxmlformats.org/officeDocument/2006/relationships/hyperlink" Target="https://www.sec.gov/Archives/edgar/data/3453/000155837020003631/ex-10d4.htm" TargetMode="External"/><Relationship Id="rId122" Type="http://schemas.openxmlformats.org/officeDocument/2006/relationships/hyperlink" Target="https://www.sec.gov/Archives/edgar/data/3453/000155837020003631/ex-10d5.htm" TargetMode="External"/><Relationship Id="rId123" Type="http://schemas.openxmlformats.org/officeDocument/2006/relationships/hyperlink" Target="http://www.sec.gov/Archives/edgar/data/3453/000110465912056234/a12-16487_1ex10d1.htm" TargetMode="External"/><Relationship Id="rId124" Type="http://schemas.openxmlformats.org/officeDocument/2006/relationships/hyperlink" Target="http://www.sec.gov/Archives/edgar/data/3453/000110465912056234/a12-16487_1ex10d2.htm" TargetMode="External"/><Relationship Id="rId125" Type="http://schemas.openxmlformats.org/officeDocument/2006/relationships/hyperlink" Target="http://www.sec.gov/Archives/edgar/data/3453/000000345304000034/title_xi.txt" TargetMode="External"/><Relationship Id="rId126" Type="http://schemas.openxmlformats.org/officeDocument/2006/relationships/hyperlink" Target="http://www.sec.gov/Archives/edgar/data/3453/000000345307000059/exh10.htm" TargetMode="External"/><Relationship Id="rId127" Type="http://schemas.openxmlformats.org/officeDocument/2006/relationships/hyperlink" Target="http://www.sec.gov/Archives/edgar/data/3453/000110465915014988/a14-26312_1ex10d13.htm" TargetMode="External"/><Relationship Id="rId128" Type="http://schemas.openxmlformats.org/officeDocument/2006/relationships/hyperlink" Target="http://www.sec.gov/Archives/edgar/data/3453/000110465914014819/a13-26914_1ex10d21.htm" TargetMode="External"/><Relationship Id="rId130" Type="http://schemas.openxmlformats.org/officeDocument/2006/relationships/hyperlink" Target="http://www.sec.gov/Archives/edgar/data/3453/000110465912071639/a12-24769_1ex99d10.htm" TargetMode="External"/><Relationship Id="rId131" Type="http://schemas.openxmlformats.org/officeDocument/2006/relationships/hyperlink" Target="http://www.sec.gov/Archives/edgar/data/3453/000110465913016637/a12-29099_1ex10d34.htm" TargetMode="External"/><Relationship Id="rId132" Type="http://schemas.openxmlformats.org/officeDocument/2006/relationships/hyperlink" Target="https://www.sec.gov/Archives/edgar/data/3453/000155837020004825/matx-20200427xex10d1.htm" TargetMode="External"/><Relationship Id="rId133" Type="http://schemas.openxmlformats.org/officeDocument/2006/relationships/hyperlink" Target="https://www.sec.gov/Archives/edgar/data/3453/000155837020004825/matx-20200427xex10d2.htm" TargetMode="External"/><Relationship Id="rId134" Type="http://schemas.openxmlformats.org/officeDocument/2006/relationships/hyperlink" Target="https://www.sec.gov/Archives/edgar/data/3453/000155837020004825/matx-20200427xex10d3.htm" TargetMode="External"/><Relationship Id="rId135" Type="http://schemas.openxmlformats.org/officeDocument/2006/relationships/hyperlink" Target="https://www.sec.gov/Archives/edgar/data/3453/000155837020007781/matx-20200622xex10d1.htm" TargetMode="External"/><Relationship Id="rId136" Type="http://schemas.openxmlformats.org/officeDocument/2006/relationships/hyperlink" Target="https://www.sec.gov/Archives/edgar/data/3453/000155837020007781/matx-20200622xex10d2.htm" TargetMode="External"/><Relationship Id="rId137" Type="http://schemas.openxmlformats.org/officeDocument/2006/relationships/hyperlink" Target="https://www.sec.gov/Archives/edgar/data/3453/000155837020007781/matx-20200622xex10d3.htm" TargetMode="External"/><Relationship Id="rId138" Type="http://schemas.openxmlformats.org/officeDocument/2006/relationships/hyperlink" Target="http://www.sec.gov/Archives/edgar/data/3453/000110465914063623/a14-20075_1ex10d1.htm" TargetMode="External"/><Relationship Id="rId139" Type="http://schemas.openxmlformats.org/officeDocument/2006/relationships/hyperlink" Target="http://www.sec.gov/Archives/edgar/data/3453/000110465913016637/a12-29099_1ex10d45.htm" TargetMode="External"/><Relationship Id="rId140" Type="http://schemas.openxmlformats.org/officeDocument/2006/relationships/hyperlink" Target="http://www.sec.gov/Archives/edgar/data/3453/000110465915014988/a14-26312_1ex10d42.htm" TargetMode="External"/><Relationship Id="rId141" Type="http://schemas.openxmlformats.org/officeDocument/2006/relationships/hyperlink" Target="http://www.sec.gov/Archives/edgar/data/3453/000110465914073470/a14-22649_1ex10d1.htm" TargetMode="External"/><Relationship Id="rId142" Type="http://schemas.openxmlformats.org/officeDocument/2006/relationships/hyperlink" Target="https://www.sec.gov/Archives/edgar/data/3453/000155837021001909/matx-20201231xex10d28.htm" TargetMode="External"/><Relationship Id="rId143" Type="http://schemas.openxmlformats.org/officeDocument/2006/relationships/hyperlink" Target="http://www.sec.gov/Archives/edgar/data/3453/000110465913016637/a12-29099_1ex10d51.htm" TargetMode="External"/><Relationship Id="rId144" Type="http://schemas.openxmlformats.org/officeDocument/2006/relationships/hyperlink" Target="https://www.sec.gov/Archives/edgar/data/3453/000155837021001909/matx-20201231xex10d30.htm" TargetMode="External"/><Relationship Id="rId145" Type="http://schemas.openxmlformats.org/officeDocument/2006/relationships/hyperlink" Target="http://www.sec.gov/Archives/edgar/data/3453/000110465914014819/a13-26914_1ex10d57.htm" TargetMode="External"/><Relationship Id="rId147" Type="http://schemas.openxmlformats.org/officeDocument/2006/relationships/hyperlink" Target="http://www.sec.gov/Archives/edgar/data/3453/000110465914014819/a13-26914_1ex10d58.htm" TargetMode="External"/><Relationship Id="rId148" Type="http://schemas.openxmlformats.org/officeDocument/2006/relationships/hyperlink" Target="http://www.sec.gov/Archives/edgar/data/3453/000155837016009602/matx-20160930ex10159fc02.htm" TargetMode="External"/><Relationship Id="rId149" Type="http://schemas.openxmlformats.org/officeDocument/2006/relationships/hyperlink" Target="http://www.sec.gov/Archives/edgar/data/3453/000155837016009602/matx-20160930ex1025f5188.htm" TargetMode="External"/><Relationship Id="rId150" Type="http://schemas.openxmlformats.org/officeDocument/2006/relationships/hyperlink" Target="http://www.sec.gov/Archives/edgar/data/3453/000155837016009602/matx-20160930ex10396752a.htm" TargetMode="External"/><Relationship Id="rId151" Type="http://schemas.openxmlformats.org/officeDocument/2006/relationships/hyperlink" Target="http://www.sec.gov/Archives/edgar/data/3453/000110465914079225/a14-24264_1ex10d1.htm" TargetMode="External"/><Relationship Id="rId152" Type="http://schemas.openxmlformats.org/officeDocument/2006/relationships/hyperlink" Target="https://www.sec.gov/Archives/edgar/data/3453/000155837021009648/tmb-20210730xex99d1.htm" TargetMode="External"/><Relationship Id="rId153" Type="http://schemas.openxmlformats.org/officeDocument/2006/relationships/hyperlink" Target="http://www.sec.gov/Archives/edgar/data/3453/000155837017000947/matx-20161231ex1063a7bab.htm" TargetMode="External"/><Relationship Id="rId154" Type="http://schemas.openxmlformats.org/officeDocument/2006/relationships/hyperlink" Target="http://www.sec.gov/Archives/edgar/data/3453/000155837017000947/matx-20161231ex1064eae73.htm" TargetMode="External"/><Relationship Id="rId155" Type="http://schemas.openxmlformats.org/officeDocument/2006/relationships/hyperlink" Target="http://www.sec.gov/Archives/edgar/data/3453/000155837017000947/matx-20161231ex1065f8a3a.htm" TargetMode="External"/><Relationship Id="rId156" Type="http://schemas.openxmlformats.org/officeDocument/2006/relationships/hyperlink" Target="http://www.sec.gov/Archives/edgar/data/3453/000155837018001004/matx-20171231ex1060d61df.htm" TargetMode="External"/><Relationship Id="rId157" Type="http://schemas.openxmlformats.org/officeDocument/2006/relationships/hyperlink" Target="http://www.sec.gov/Archives/edgar/data/3453/000155837018001004/matx-20171231ex1061a3715.htm" TargetMode="External"/><Relationship Id="rId158" Type="http://schemas.openxmlformats.org/officeDocument/2006/relationships/hyperlink" Target="http://www.sec.gov/Archives/edgar/data/3453/000155837018001004/matx-20171231ex10620ee80.htm" TargetMode="External"/><Relationship Id="rId159" Type="http://schemas.openxmlformats.org/officeDocument/2006/relationships/hyperlink" Target="http://www.sec.gov/Archives/edgar/data/3453/000155837018001004/matx-20171231ex1063ec9ca.htm" TargetMode="External"/><Relationship Id="rId160" Type="http://schemas.openxmlformats.org/officeDocument/2006/relationships/hyperlink" Target="https://www.sec.gov/Archives/edgar/data/3453/000155837021001909/matx-20201231xex10d47.htm" TargetMode="External"/><Relationship Id="rId162" Type="http://schemas.openxmlformats.org/officeDocument/2006/relationships/hyperlink" Target="https://www.sec.gov/Archives/edgar/data/3453/000155837021001909/matx-20201231xex10d48.htm" TargetMode="External"/><Relationship Id="rId163" Type="http://schemas.openxmlformats.org/officeDocument/2006/relationships/hyperlink" Target="https://www.sec.gov/Archives/edgar/data/3453/000155837021001909/matx-20201231xex10d49.htm" TargetMode="External"/><Relationship Id="rId164" Type="http://schemas.openxmlformats.org/officeDocument/2006/relationships/hyperlink" Target="https://www.sec.gov/Archives/edgar/data/3453/000155837021001909/matx-20201231xex10d50.htm" TargetMode="External"/><Relationship Id="rId165" Type="http://schemas.openxmlformats.org/officeDocument/2006/relationships/hyperlink" Target="https://www.sec.gov/Archives/edgar/data/3453/000155837021001909/matx-20201231xex10d51.htm" TargetMode="External"/><Relationship Id="rId166" Type="http://schemas.openxmlformats.org/officeDocument/2006/relationships/hyperlink" Target="https://www.sec.gov/Archives/edgar/data/3453/000155837021001909/matx-20201231xex10d52.htm" TargetMode="External"/><Relationship Id="rId167" Type="http://schemas.openxmlformats.org/officeDocument/2006/relationships/hyperlink" Target="https://www.sec.gov/Archives/edgar/data/3453/000155837021001909/matx-20201231xex10d53.htm" TargetMode="External"/><Relationship Id="rId168" Type="http://schemas.openxmlformats.org/officeDocument/2006/relationships/hyperlink" Target="https://www.sec.gov/Archives/edgar/data/3453/000155837021003980/matx-20210331xex10d2.htm" TargetMode="External"/><Relationship Id="rId169" Type="http://schemas.openxmlformats.org/officeDocument/2006/relationships/hyperlink" Target="https://www.sec.gov/Archives/edgar/data/3453/000155837021003980/matx-20210331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2022-02-25T06:42:05Z</dcterms:created>
  <dcterms:modified xsi:type="dcterms:W3CDTF">2022-02-25T06:42:05Z</dcterms:modified>
</cp:coreProperties>
</file>