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40" w:right="1220" w:hanging="325"/>
        <w:spacing w:after="0" w:line="256" w:lineRule="auto"/>
        <w:tabs>
          <w:tab w:leader="none" w:pos="8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640" w:right="1200" w:hanging="325"/>
        <w:spacing w:after="0" w:line="256" w:lineRule="auto"/>
        <w:tabs>
          <w:tab w:leader="none" w:pos="8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5020" w:type="dxa"/>
            <w:vAlign w:val="bottom"/>
          </w:tcPr>
          <w:p>
            <w:pPr>
              <w:ind w:left="1880"/>
              <w:spacing w:after="0"/>
              <w:rPr>
                <w:sz w:val="20"/>
                <w:szCs w:val="20"/>
                <w:color w:val="auto"/>
              </w:rPr>
            </w:pPr>
            <w:r>
              <w:rPr>
                <w:rFonts w:ascii="Arial" w:cs="Arial" w:eastAsia="Arial" w:hAnsi="Arial"/>
                <w:sz w:val="18"/>
                <w:szCs w:val="18"/>
                <w:b w:val="1"/>
                <w:bCs w:val="1"/>
                <w:color w:val="auto"/>
              </w:rPr>
              <w:t>For the transition period from</w:t>
            </w:r>
          </w:p>
        </w:tc>
        <w:tc>
          <w:tcPr>
            <w:tcW w:w="228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351"/>
        </w:trPr>
        <w:tc>
          <w:tcPr>
            <w:tcW w:w="730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5020" w:type="dxa"/>
            <w:vAlign w:val="bottom"/>
          </w:tcPr>
          <w:p>
            <w:pPr>
              <w:jc w:val="center"/>
              <w:ind w:left="2903"/>
              <w:spacing w:after="0"/>
              <w:rPr>
                <w:sz w:val="20"/>
                <w:szCs w:val="20"/>
                <w:color w:val="auto"/>
              </w:rPr>
            </w:pPr>
            <w:r>
              <w:rPr>
                <w:rFonts w:ascii="Arial" w:cs="Arial" w:eastAsia="Arial" w:hAnsi="Arial"/>
                <w:sz w:val="32"/>
                <w:szCs w:val="32"/>
                <w:b w:val="1"/>
                <w:bCs w:val="1"/>
                <w:color w:val="auto"/>
                <w:w w:val="94"/>
              </w:rPr>
              <w:t>Matson, Inc.</w:t>
            </w:r>
          </w:p>
        </w:tc>
        <w:tc>
          <w:tcPr>
            <w:tcW w:w="2280" w:type="dxa"/>
            <w:vAlign w:val="bottom"/>
          </w:tcPr>
          <w:p>
            <w:pPr>
              <w:spacing w:after="0"/>
              <w:rPr>
                <w:sz w:val="24"/>
                <w:szCs w:val="24"/>
                <w:color w:val="auto"/>
              </w:rPr>
            </w:pPr>
          </w:p>
        </w:tc>
      </w:tr>
      <w:tr>
        <w:trPr>
          <w:trHeight w:val="230"/>
        </w:trPr>
        <w:tc>
          <w:tcPr>
            <w:tcW w:w="730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8"/>
              </w:rPr>
              <w:t>Hawaii</w:t>
            </w:r>
          </w:p>
        </w:tc>
        <w:tc>
          <w:tcPr>
            <w:tcW w:w="228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5020" w:type="dxa"/>
            <w:vAlign w:val="bottom"/>
          </w:tcPr>
          <w:p>
            <w:pPr>
              <w:jc w:val="center"/>
              <w:ind w:right="2083"/>
              <w:spacing w:after="0" w:line="189" w:lineRule="exact"/>
              <w:rPr>
                <w:sz w:val="20"/>
                <w:szCs w:val="20"/>
                <w:color w:val="auto"/>
              </w:rPr>
            </w:pPr>
            <w:r>
              <w:rPr>
                <w:rFonts w:ascii="Arial" w:cs="Arial" w:eastAsia="Arial" w:hAnsi="Arial"/>
                <w:sz w:val="18"/>
                <w:szCs w:val="18"/>
                <w:color w:val="auto"/>
                <w:w w:val="92"/>
              </w:rPr>
              <w:t>(State or other jurisdiction of</w:t>
            </w:r>
          </w:p>
        </w:tc>
        <w:tc>
          <w:tcPr>
            <w:tcW w:w="2280" w:type="dxa"/>
            <w:vAlign w:val="bottom"/>
          </w:tcPr>
          <w:p>
            <w:pPr>
              <w:jc w:val="center"/>
              <w:ind w:left="83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incorporation or organization)</w:t>
            </w: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1"/>
              </w:rPr>
              <w:t>1411 Sand Island Parkway</w:t>
            </w:r>
          </w:p>
        </w:tc>
        <w:tc>
          <w:tcPr>
            <w:tcW w:w="2280" w:type="dxa"/>
            <w:vAlign w:val="bottom"/>
          </w:tcPr>
          <w:p>
            <w:pPr>
              <w:spacing w:after="0"/>
              <w:rPr>
                <w:sz w:val="24"/>
                <w:szCs w:val="24"/>
                <w:color w:val="auto"/>
              </w:rPr>
            </w:pPr>
          </w:p>
        </w:tc>
      </w:tr>
      <w:tr>
        <w:trPr>
          <w:trHeight w:val="193"/>
        </w:trPr>
        <w:tc>
          <w:tcPr>
            <w:tcW w:w="5020" w:type="dxa"/>
            <w:vAlign w:val="bottom"/>
          </w:tcPr>
          <w:p>
            <w:pPr>
              <w:jc w:val="center"/>
              <w:ind w:right="206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80" w:type="dxa"/>
            <w:vAlign w:val="bottom"/>
          </w:tcPr>
          <w:p>
            <w:pPr>
              <w:jc w:val="right"/>
              <w:ind w:right="37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jc w:val="center"/>
              <w:ind w:left="8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80"/>
          </w:cols>
          <w:pgMar w:left="760" w:top="233" w:right="759" w:bottom="1440" w:gutter="0" w:footer="0" w:header="0"/>
        </w:sectPr>
      </w:pPr>
    </w:p>
    <w:p>
      <w:pPr>
        <w:spacing w:after="0" w:line="68" w:lineRule="exact"/>
        <w:rPr>
          <w:sz w:val="24"/>
          <w:szCs w:val="24"/>
          <w:color w:val="auto"/>
        </w:rPr>
      </w:pPr>
    </w:p>
    <w:p>
      <w:pPr>
        <w:ind w:left="1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400" w:space="720"/>
            <w:col w:w="3260"/>
          </w:cols>
          <w:pgMar w:left="760" w:top="233" w:right="759" w:bottom="1440" w:gutter="0" w:footer="0" w:header="0"/>
          <w:type w:val="continuous"/>
        </w:sectPr>
      </w:pPr>
    </w:p>
    <w:p>
      <w:pPr>
        <w:ind w:left="17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020" w:space="720"/>
            <w:col w:w="3640"/>
          </w:cols>
          <w:pgMar w:left="760" w:top="233" w:right="759" w:bottom="1440" w:gutter="0" w:footer="0" w:header="0"/>
          <w:type w:val="continuous"/>
        </w:sectPr>
      </w:pPr>
    </w:p>
    <w:p>
      <w:pPr>
        <w:ind w:left="67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58" w:lineRule="exact"/>
        <w:rPr>
          <w:sz w:val="24"/>
          <w:szCs w:val="24"/>
          <w:color w:val="auto"/>
        </w:rPr>
      </w:pPr>
    </w:p>
    <w:p>
      <w:pPr>
        <w:ind w:right="34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9" w:lineRule="exact"/>
        <w:rPr>
          <w:sz w:val="24"/>
          <w:szCs w:val="24"/>
          <w:color w:val="auto"/>
        </w:rPr>
      </w:pPr>
    </w:p>
    <w:p>
      <w:pPr>
        <w:ind w:right="1140"/>
        <w:spacing w:after="0" w:line="30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June 30, 2018: </w:t>
      </w:r>
      <w:r>
        <w:rPr>
          <w:rFonts w:ascii="Arial" w:cs="Arial" w:eastAsia="Arial" w:hAnsi="Arial"/>
          <w:sz w:val="18"/>
          <w:szCs w:val="18"/>
          <w:b w:val="1"/>
          <w:bCs w:val="1"/>
          <w:color w:val="auto"/>
        </w:rPr>
        <w:t>42,697,456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33"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000" w:type="dxa"/>
            <w:vAlign w:val="bottom"/>
            <w:gridSpan w:val="2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2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gridSpan w:val="11"/>
          </w:tcPr>
          <w:p>
            <w:pPr>
              <w:jc w:val="center"/>
              <w:ind w:right="1740"/>
              <w:spacing w:after="0"/>
              <w:rPr>
                <w:sz w:val="20"/>
                <w:szCs w:val="20"/>
                <w:color w:val="auto"/>
              </w:rPr>
            </w:pPr>
            <w:r>
              <w:rPr>
                <w:rFonts w:ascii="Arial" w:cs="Arial" w:eastAsia="Arial" w:hAnsi="Arial"/>
                <w:sz w:val="18"/>
                <w:szCs w:val="18"/>
                <w:b w:val="1"/>
                <w:bCs w:val="1"/>
                <w:color w:val="auto"/>
                <w:w w:val="99"/>
              </w:rPr>
              <w:t>MATSON, INC. AND SUBSIDIARIES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2840" w:type="dxa"/>
            <w:vAlign w:val="bottom"/>
            <w:gridSpan w:val="12"/>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4940" w:type="dxa"/>
            <w:vAlign w:val="bottom"/>
            <w:gridSpan w:val="10"/>
            <w:vMerge w:val="restart"/>
          </w:tcPr>
          <w:p>
            <w:pPr>
              <w:spacing w:after="0"/>
              <w:rPr>
                <w:sz w:val="24"/>
                <w:szCs w:val="24"/>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2840" w:type="dxa"/>
            <w:vAlign w:val="bottom"/>
            <w:tcBorders>
              <w:bottom w:val="single" w:sz="8" w:color="0000EE"/>
            </w:tcBorders>
            <w:gridSpan w:val="12"/>
            <w:vMerge w:val="continue"/>
          </w:tcPr>
          <w:p>
            <w:pPr>
              <w:spacing w:after="0"/>
              <w:rPr>
                <w:sz w:val="13"/>
                <w:szCs w:val="13"/>
                <w:color w:val="auto"/>
              </w:rPr>
            </w:pPr>
          </w:p>
        </w:tc>
        <w:tc>
          <w:tcPr>
            <w:tcW w:w="4940" w:type="dxa"/>
            <w:vAlign w:val="bottom"/>
            <w:gridSpan w:val="1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9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and Comprehensive Income</w:t>
              </w:r>
            </w:hyperlink>
          </w:p>
        </w:tc>
        <w:tc>
          <w:tcPr>
            <w:tcW w:w="14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4020" w:type="dxa"/>
            <w:vAlign w:val="bottom"/>
            <w:gridSpan w:val="7"/>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3240" w:type="dxa"/>
            <w:vAlign w:val="bottom"/>
            <w:gridSpan w:val="6"/>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6960" w:type="dxa"/>
            <w:vAlign w:val="bottom"/>
            <w:gridSpan w:val="19"/>
          </w:tcPr>
          <w:p>
            <w:pPr>
              <w:spacing w:after="0" w:line="196"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Management’s Discussion and Analysis of Financial Condition and Results of Operations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5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Part II—OTHER INFORMATION</w:t>
              </w:r>
            </w:hyperlink>
          </w:p>
        </w:tc>
        <w:tc>
          <w:tcPr>
            <w:tcW w:w="526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w:t>
              </w:r>
            </w:hyperlink>
          </w:p>
        </w:tc>
        <w:tc>
          <w:tcPr>
            <w:tcW w:w="696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1A.</w:t>
              </w:r>
            </w:hyperlink>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64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18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5.</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6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696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446"/>
        </w:trPr>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5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0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406.6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392.7</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785.9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762.7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Revenue</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1,068.5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986.9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(465.9)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(422.4)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(834.2)</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Equity in income of Terminal Joint Venture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(100.3)</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(511.1)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(465.5)</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(922.7)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7"/>
        </w:trPr>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Net gain in prior service cost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20"/>
              <w:spacing w:after="0"/>
              <w:rPr>
                <w:sz w:val="20"/>
                <w:szCs w:val="20"/>
                <w:color w:val="auto"/>
              </w:rPr>
            </w:pPr>
            <w:r>
              <w:rPr>
                <w:rFonts w:ascii="Arial" w:cs="Arial" w:eastAsia="Arial" w:hAnsi="Arial"/>
                <w:sz w:val="18"/>
                <w:szCs w:val="18"/>
                <w:color w:val="auto"/>
              </w:rPr>
              <w:t>Amortization of net loss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Diluted Earnings Per-Share: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Cash Dividends Per-Share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June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Investment in Terminal Joint Venture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Deferred dry-docking costs, net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long-term assets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Accruals and 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Commitments and Contingencies (Note 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2,381.6</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9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46.8</w:t>
            </w:r>
          </w:p>
        </w:tc>
        <w:tc>
          <w:tcPr>
            <w:tcW w:w="2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Equity in income of Terminal Joint Venture</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(19.6)</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Distribution from Terminal Joint Venture</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Changes in assets and liabilities: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(27.1)</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Deferred dry-docking payments</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dry-docking amortization</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payable, accruals and other liabilities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(166.8)</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(25.5)</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Proceeds from (payments for) disposal of property and equipment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(198.3)</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3"/>
        </w:trPr>
        <w:tc>
          <w:tcPr>
            <w:tcW w:w="6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Repayments of debt and capital leases</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(178.9)</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issuance of capital stock</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Repurchase of Matson common stock</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1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(Decrease) Increase in Cash and Cash Equivalents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Cash and Cash Equivalents, Beginning of the Period</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paid, net of income tax refunds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Information:</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0.8</w:t>
            </w:r>
          </w:p>
        </w:tc>
        <w:tc>
          <w:tcPr>
            <w:tcW w:w="2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dividends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80" w:hanging="577"/>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also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a subsidiary of Carrix, Inc. SSAT provides terminal and stevedoring services to various carriers at seven terminal facilities on the U.S. West Coast, including four facilities which are used by MatNav (“Terminal Joint Venture”). Matson records its share of income in the Terminal Joint Venture in operating costs in the Condensed Consolidated Statements of Income and Comprehensive Income, and within the Ocean Transportation segment due to the nature of SSAT’s operations.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 xml:space="preserve">Logistics: </w:t>
      </w:r>
      <w:r>
        <w:rPr>
          <w:rFonts w:ascii="Arial" w:cs="Arial" w:eastAsia="Arial" w:hAnsi="Arial"/>
          <w:sz w:val="18"/>
          <w:szCs w:val="18"/>
          <w:color w:val="auto"/>
        </w:rPr>
        <w:t>Matson’s Logistics business is conducted through Matson Logistics, Inc. (“Matson Logistics”), a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MatNav. Established in 1987, Matson Logistics is an asset-light business that provides a variety of logistic services to its customers including: (i) multimodal transportation brokerage of domestic and international rail intermodal service,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freight forwarding and other services.</w:t>
      </w:r>
    </w:p>
    <w:p>
      <w:pPr>
        <w:spacing w:after="0" w:line="200" w:lineRule="exact"/>
        <w:rPr>
          <w:sz w:val="20"/>
          <w:szCs w:val="20"/>
          <w:color w:val="auto"/>
        </w:rPr>
      </w:pPr>
    </w:p>
    <w:p>
      <w:pPr>
        <w:spacing w:after="0" w:line="204"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Condensed Consolidated Financial Statements are unaudited, and include the accounts of Matson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all wholly-owned subsidiaries, after elimination of significant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Consolidated Financial Statements and notes thereto included in the Company’s Annual Report on Form 10-K for the year ended December 31, 2017, filed with the Securities and Exchange Commission (“SEC”) on February 23,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 xml:space="preserve">Fiscal Period: </w:t>
      </w:r>
      <w:r>
        <w:rPr>
          <w:rFonts w:ascii="Arial" w:cs="Arial" w:eastAsia="Arial" w:hAnsi="Arial"/>
          <w:sz w:val="16"/>
          <w:szCs w:val="16"/>
          <w:color w:val="auto"/>
        </w:rPr>
        <w:t>The period end for Matson covered by this report is June 30, 2018. The period end for MatNav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covered by this report occurred on the last Friday in June, or June 29, 2018, for the second quarter 2018.</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included in Part II, Item 8 of the Company’s Annual Report on Form 10-K for the year ended December 31, 2017.</w:t>
      </w:r>
    </w:p>
    <w:p>
      <w:pPr>
        <w:spacing w:after="0" w:line="18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b w:val="1"/>
          <w:bCs w:val="1"/>
          <w:i w:val="1"/>
          <w:iCs w:val="1"/>
          <w:color w:val="auto"/>
        </w:rPr>
        <w:t xml:space="preserve">Recognition of Revenues and Expenses: </w:t>
      </w:r>
      <w:r>
        <w:rPr>
          <w:rFonts w:ascii="Arial" w:cs="Arial" w:eastAsia="Arial" w:hAnsi="Arial"/>
          <w:sz w:val="16"/>
          <w:szCs w:val="16"/>
          <w:color w:val="auto"/>
        </w:rPr>
        <w:t>Revenue in the Company’s Condensed Consolidated Financial Statements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presented net of elimination of intercompany transactions. The following is a description of the Company’s principal revenue generating activities by segment, and the Company’s revenue recognition policy for each activity: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Ocean Transportation (in millions)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Ocean transportation services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Terminal and other related services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sales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Ship management services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r>
              <w:rPr>
                <w:rFonts w:ascii="Arial" w:cs="Arial" w:eastAsia="Arial" w:hAnsi="Arial"/>
                <w:sz w:val="18"/>
                <w:szCs w:val="18"/>
                <w:u w:val="single" w:color="auto"/>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r>
              <w:rPr>
                <w:rFonts w:ascii="Arial" w:cs="Arial" w:eastAsia="Arial" w:hAnsi="Arial"/>
                <w:sz w:val="18"/>
                <w:szCs w:val="18"/>
                <w:u w:val="single" w:color="auto"/>
                <w:color w:val="auto"/>
              </w:rPr>
              <w:t>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360" w:hanging="317"/>
        <w:spacing w:after="0" w:line="253"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approximately 3 percent of Ocean Transportation revenues and fuel sales which are denominated in foreign currencies.</w:t>
      </w:r>
    </w:p>
    <w:p>
      <w:pPr>
        <w:spacing w:after="0" w:line="111" w:lineRule="exact"/>
        <w:rPr>
          <w:sz w:val="20"/>
          <w:szCs w:val="20"/>
          <w:color w:val="auto"/>
        </w:rPr>
      </w:pPr>
    </w:p>
    <w:p>
      <w:pPr>
        <w:jc w:val="both"/>
        <w:ind w:left="320" w:right="160" w:hanging="317"/>
        <w:spacing w:after="0" w:line="288"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20" w:hanging="317"/>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Terminal and other related service revenues to third parties are recognized as the services are performed.</w:t>
      </w:r>
    </w:p>
    <w:p>
      <w:pPr>
        <w:spacing w:after="0" w:line="9" w:lineRule="exact"/>
        <w:rPr>
          <w:rFonts w:ascii="Arial" w:cs="Arial" w:eastAsia="Arial" w:hAnsi="Arial"/>
          <w:sz w:val="18"/>
          <w:szCs w:val="18"/>
          <w:color w:val="auto"/>
        </w:rPr>
      </w:pPr>
    </w:p>
    <w:p>
      <w:pPr>
        <w:ind w:left="320" w:hanging="317"/>
        <w:spacing w:after="0" w:line="250"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Fuel sales revenue is recognized when the Company has completed delivery of the product to the customer in accordance with the terms and conditions of the contract.</w:t>
      </w:r>
    </w:p>
    <w:p>
      <w:pPr>
        <w:ind w:left="320" w:hanging="317"/>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Ship management services revenue and related costs are recognized in proportion to the services completed.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6"/>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Logistics (in millions)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Warehouse and distribution services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 management and other services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r>
              <w:rPr>
                <w:rFonts w:ascii="Arial" w:cs="Arial" w:eastAsia="Arial" w:hAnsi="Arial"/>
                <w:sz w:val="18"/>
                <w:szCs w:val="18"/>
                <w:u w:val="single" w:color="auto"/>
                <w:color w:val="auto"/>
              </w:rPr>
              <w:t>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40" w:hanging="317"/>
        <w:spacing w:after="0" w:line="291" w:lineRule="auto"/>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Logistics revenue transactions are primarily denominated in U.S. dollars except for approximately 3 percent of transportation brokerage and freight forwarding services revenue, and supply chain management and other services revenue categories are denominated in foreign currencies.</w:t>
      </w:r>
    </w:p>
    <w:p>
      <w:pPr>
        <w:spacing w:after="0" w:line="88" w:lineRule="exact"/>
        <w:rPr>
          <w:sz w:val="20"/>
          <w:szCs w:val="20"/>
          <w:color w:val="auto"/>
        </w:rPr>
      </w:pPr>
    </w:p>
    <w:p>
      <w:pPr>
        <w:ind w:left="320" w:right="60" w:hanging="317"/>
        <w:spacing w:after="0" w:line="252"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Logistics transportation brokerage and freight forwarding services revenue consists of amounts billed to customers for services provided. The primary costs include third-party purchased transportation services, labor and equipment costs. Revenue and the related purchased third-party transportation costs are recognized over the duration of a delivery based upon the relative transit time completed in each reporting period. Labor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5" w:lineRule="exact"/>
        <w:rPr>
          <w:rFonts w:ascii="Arial" w:cs="Arial" w:eastAsia="Arial" w:hAnsi="Arial"/>
          <w:sz w:val="18"/>
          <w:szCs w:val="18"/>
          <w:color w:val="auto"/>
        </w:rPr>
      </w:pPr>
    </w:p>
    <w:p>
      <w:pPr>
        <w:ind w:left="320" w:right="220" w:hanging="317"/>
        <w:spacing w:after="0" w:line="265"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Logistics warehousing and distribution services revenue consists of amounts billed to customers for storage, handling, and value-added packaging of customer merchandise. Storage revenue is recognized in the month the service is provided to the customer. Storage expenses are recognized as incurred. Other warehousing and distribution services revenue and expense are recognized in proportion to the services performed.</w:t>
      </w:r>
    </w:p>
    <w:p>
      <w:pPr>
        <w:ind w:left="320" w:right="460" w:hanging="317"/>
        <w:spacing w:after="0" w:line="261"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Company generally invoices its customers at the commencement of the voyage or the transportation service being provided, or as other services are being performed. Revenue is deferred when services are paid in advance by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customer. The Company’s receivables are classified as short-term as collection terms are for periods of less than one year.</w:t>
      </w:r>
    </w:p>
    <w:p>
      <w:pPr>
        <w:spacing w:after="0" w:line="24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Company expenses sales commissions and contract acquisition costs as incurred because the amounts are generally immaterial. These expenses are included in selling, general and administration expenses in the Condensed Consolidated Statements of Income and Comprehensive Income.</w:t>
      </w:r>
    </w:p>
    <w:p>
      <w:pPr>
        <w:spacing w:after="0" w:line="18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b w:val="1"/>
          <w:bCs w:val="1"/>
          <w:i w:val="1"/>
          <w:iCs w:val="1"/>
          <w:color w:val="auto"/>
        </w:rPr>
        <w:t xml:space="preserve">Capital Construction Fund: </w:t>
      </w:r>
      <w:r>
        <w:rPr>
          <w:rFonts w:ascii="Arial" w:cs="Arial" w:eastAsia="Arial" w:hAnsi="Arial"/>
          <w:sz w:val="18"/>
          <w:szCs w:val="18"/>
          <w:color w:val="auto"/>
        </w:rPr>
        <w:t>The Company’s Capital Construction Fund (“CCF”) is described in Note 7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2017. As of June 30, 2018 and December 31, 2017, the following amounts related to the Company’s CCF:</w:t>
      </w:r>
    </w:p>
    <w:tbl>
      <w:tblPr>
        <w:tblLayout w:type="fixed"/>
        <w:tblInd w:w="0" w:type="dxa"/>
        <w:tblCellMar>
          <w:top w:w="0" w:type="dxa"/>
          <w:left w:w="0" w:type="dxa"/>
          <w:bottom w:w="0" w:type="dxa"/>
          <w:right w:w="0" w:type="dxa"/>
        </w:tblCellMar>
      </w:tblPr>
      <w:tr>
        <w:trPr>
          <w:trHeight w:val="142"/>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0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June 30,</w:t>
            </w:r>
          </w:p>
        </w:tc>
        <w:tc>
          <w:tcPr>
            <w:tcW w:w="10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Construction Fund:</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20"/>
              <w:spacing w:after="0"/>
              <w:rPr>
                <w:sz w:val="20"/>
                <w:szCs w:val="20"/>
                <w:color w:val="auto"/>
              </w:rPr>
            </w:pPr>
            <w:r>
              <w:rPr>
                <w:rFonts w:ascii="Arial" w:cs="Arial" w:eastAsia="Arial" w:hAnsi="Arial"/>
                <w:sz w:val="18"/>
                <w:szCs w:val="18"/>
                <w:color w:val="auto"/>
              </w:rPr>
              <w:t>Cash on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Assigned accounts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Cash on deposit in the CCF is held in a money market account and classified as long-term assets in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 as the Company intends to use qualified cash withdrawals to fund long-term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in the construction of new vessels. During the six months ended June 30, 2018 and 2017, the Company deposited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$198.3 million and $12.2 million into the CCF, respectively, and made qualifying cash withdrawals of $199.2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$43.4 million from the CCF, respectively. Eligible accounts receivable that are assigned into the CCF are classified as part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in the Condensed Consolidated Financial Statements due to the nature of the assignment.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Investment in Terminal Joint Venture: </w:t>
      </w:r>
      <w:r>
        <w:rPr>
          <w:rFonts w:ascii="Arial" w:cs="Arial" w:eastAsia="Arial" w:hAnsi="Arial"/>
          <w:sz w:val="17"/>
          <w:szCs w:val="17"/>
          <w:color w:val="auto"/>
        </w:rPr>
        <w:t>The Company’s investment in the Terminal Joint Venture was $94.4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$93.2 million at June 30, 2018 and December 31, 2017, respectively. Condensed income statement information (unaudited)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Terminal Joint Venture for the three and six months ended June 30, 2018 and 2017 consisted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Condensed Statements of Operating Income and Net Income (unaudited) (in millions)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(460.1)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(378.0)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Income (1)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Company Share of Net Income</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20" w:hanging="317"/>
        <w:spacing w:after="0" w:line="224" w:lineRule="auto"/>
        <w:tabs>
          <w:tab w:leader="none" w:pos="320" w:val="left"/>
        </w:tabs>
        <w:numPr>
          <w:ilvl w:val="0"/>
          <w:numId w:val="9"/>
        </w:numPr>
        <w:rPr>
          <w:rFonts w:ascii="Arial" w:cs="Arial" w:eastAsia="Arial" w:hAnsi="Arial"/>
          <w:sz w:val="29"/>
          <w:szCs w:val="29"/>
          <w:color w:val="auto"/>
          <w:vertAlign w:val="superscript"/>
        </w:rPr>
      </w:pPr>
      <w:r>
        <w:rPr>
          <w:rFonts w:ascii="Arial" w:cs="Arial" w:eastAsia="Arial" w:hAnsi="Arial"/>
          <w:sz w:val="14"/>
          <w:szCs w:val="14"/>
          <w:color w:val="auto"/>
        </w:rPr>
        <w:t>Includes earnings from equity method investments held by the Terminal Joint Venture less earnings allocated to non-controlling interests.</w:t>
      </w:r>
    </w:p>
    <w:p>
      <w:pPr>
        <w:spacing w:after="0" w:line="215" w:lineRule="exact"/>
        <w:rPr>
          <w:sz w:val="20"/>
          <w:szCs w:val="20"/>
          <w:color w:val="auto"/>
        </w:rPr>
      </w:pPr>
    </w:p>
    <w:p>
      <w:pPr>
        <w:jc w:val="both"/>
        <w:ind w:right="320"/>
        <w:spacing w:after="0" w:line="288"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In connection with the Tax Cuts and Jobs Act that was signed into law on December 22, 2017 (the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the Company recorded a non-cash tax adjustment that decreased income tax expense by $0.2 million for the three months ended June 30, 2018, and increased income tax expense by $3.1 million for the six months ended June 30,</w:t>
      </w:r>
    </w:p>
    <w:p>
      <w:pPr>
        <w:ind w:right="220"/>
        <w:spacing w:after="0" w:line="255" w:lineRule="auto"/>
        <w:rPr>
          <w:sz w:val="20"/>
          <w:szCs w:val="20"/>
          <w:color w:val="auto"/>
        </w:rPr>
      </w:pPr>
      <w:r>
        <w:rPr>
          <w:rFonts w:ascii="Arial" w:cs="Arial" w:eastAsia="Arial" w:hAnsi="Arial"/>
          <w:sz w:val="18"/>
          <w:szCs w:val="18"/>
          <w:color w:val="auto"/>
        </w:rPr>
        <w:t>2018. These adjustments were due to the application of an estimated 6.2 percent sequestration on alternative minimum tax (AMT) refunds for the years 2018 to 2021, and were based on new guidance issued by the Internal Revenue Service and emerging interpretations of the Tax Act.</w:t>
      </w:r>
    </w:p>
    <w:p>
      <w:pPr>
        <w:spacing w:after="0" w:line="1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continues to assess the impact of the Tax Act and any related interpretations, when issued, on the Company’s income tax estimates. These and other factors could materially affect the Company’s financial condition or its future operating results.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i w:val="1"/>
          <w:iCs w:val="1"/>
          <w:color w:val="auto"/>
        </w:rPr>
        <w:t>Environmental Matters: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Ocean Transportation business has certain risks that could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expenditures for 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The Company and its subsidiaries are parties to, or may be contingently liable in connection with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arising in the normal course of their businesses, the outcomes of which, in the opinion of management after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consultation with counsel, would not have a material effect on the Company’s financial condition, results of operations, or cash flows.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New Accounting Pronouncements: </w:t>
      </w:r>
      <w:r>
        <w:rPr>
          <w:rFonts w:ascii="Arial" w:cs="Arial" w:eastAsia="Arial" w:hAnsi="Arial"/>
          <w:sz w:val="16"/>
          <w:szCs w:val="16"/>
          <w:i w:val="1"/>
          <w:iCs w:val="1"/>
          <w:color w:val="auto"/>
        </w:rPr>
        <w:t>Revenues from Contracts with Customers (Topic 606) (“ASU 2014-09”):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adopted ASU 2014-09 during the three months ended March 31, 2018 using the modified retrospective method. This method allowed the Company to recognize the cumulative effect of initially applying ASU 2014-09 as an adjustment to retained earnings as of December 31, 2017. Prior to adopting ASU 2014-09, the Company performed a review of its revenue contracts and evaluated the Company’s current accounting policies and procedures for recognizing revenues in the Company’s Consolidated Financial Statements, and compared these to the new requirements of ASU 2014-09. In addition, the Company identified the performance obligations and consideration applicable under each contract.</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Based upon this evaluation, the Company determined that the impact of adopting ASU 2014-09 was immaterial because the analysis of the Company’s contracts under ASU 2014-09 supports the recognition of revenue over time as the service is performed, which is consistent with the Company’s current revenue recognition accounting policy. The majority of the Company’s contracts require the Company to provide ocean and logistics transportation services to its customers. Such services are provided by the Company over a period of time, generally, when cargo is being delivered from source to destination point, or as the service is being performed. Therefore, performance obligations are completed in a short period of time due to the nature of the services provided by the Company. Under the new standard, revenues from the majority of the Company’s contracts will continue to be recognized over time as the customer simultaneously receives and consumes the benefit of these services as described in ASU 2014-09. In addition, the identification of performance obligations and related consideration under the new standard is not materially different from our current accounting treatment.</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Income Statement – Reporting Comprehensive Income (Topic 220) </w:t>
      </w:r>
      <w:r>
        <w:rPr>
          <w:rFonts w:ascii="Arial" w:cs="Arial" w:eastAsia="Arial" w:hAnsi="Arial"/>
          <w:sz w:val="18"/>
          <w:szCs w:val="18"/>
          <w:color w:val="auto"/>
        </w:rPr>
        <w:t>(“ASU 2018-02”): ASU 2018-02 allows a 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accumulated other comprehensive income (loss) to retained earnings for the remeasurement tax effects resulting from the Tax Act. The Company elected to adopt early ASU 2018-02 during the three months ended March 31, 2018, and recorded a reclassification adjustment of $6.0 million between accumulated other comprehensive income (loss) and retained earnings (see Note 7).</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Compensation – Retirement Benefits (Topic 715), Improving the Presentation of Net Periodic Pension Cost and Benefit Cost </w:t>
      </w:r>
      <w:r>
        <w:rPr>
          <w:rFonts w:ascii="Arial" w:cs="Arial" w:eastAsia="Arial" w:hAnsi="Arial"/>
          <w:sz w:val="17"/>
          <w:szCs w:val="17"/>
          <w:color w:val="auto"/>
        </w:rPr>
        <w:t>(“ASU 2017-07”): ASU 2017-07 requires employers that sponsor defined benefit pension and post-retirement plans to present the service cost component of net benefit cost in the same income statement line item as other employee compensation costs arising from services rendered, and that only the service cost component will be eligible for capitalization. The other components of the net periodic benefit cost must be presented separately from the line item that includes the service cost component and outside of the income from operations subtotal.</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adopted ASU 2017-07 during the three months ended March 31, 2018. To conform prior period amounts to current period presentation as required by ASU 2017-07, the Company recorded retrospective adjustments and reclassified $1.1 million and $1.9 million of expenses from operating costs to other income (expense) in the Condensed Consolidated Statement of Income and Comprehensive Income for the three and six months ended June 30, 2017, respectively. There was no change to income before income taxes for all periods presented as a result of adopting ASU 2017-07.</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Leases (Topic 842) </w:t>
      </w:r>
      <w:r>
        <w:rPr>
          <w:rFonts w:ascii="Arial" w:cs="Arial" w:eastAsia="Arial" w:hAnsi="Arial"/>
          <w:sz w:val="16"/>
          <w:szCs w:val="16"/>
          <w:color w:val="auto"/>
        </w:rPr>
        <w:t>(“ASU 2016-02”): ASU 2016-02 requires lessees to record most leases on their balance sheets but</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the expenses in their income statements in a manner similar to current practice. ASU 2016-02 states that a lessee would recognize a lease liability for the obligation to make lease payments, and a right-of-use asset for the underlying leased asset for the period of the lease term. The new standard is effective for interim and annual periods beginning after December 15, 2018 and early adoption is permitted. The Company is in the process of evaluating the implementation of this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160" w:firstLine="3"/>
        <w:spacing w:after="0" w:line="271" w:lineRule="auto"/>
        <w:tabs>
          <w:tab w:leader="none" w:pos="2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w:t>
      </w:r>
    </w:p>
    <w:p>
      <w:pPr>
        <w:spacing w:after="0" w:line="1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Ocean Transportation segment provides ocean transportation services to the Logistics segment, and the Logistics segment provides logistics services to the Ocean Transportation segment. Accordingly, inter-segment revenue of $26.8 million and $21.7 million for the three months ended June 30, 2018 and 2017, and $45.1 million and $38.6 million for the six months ended June 30, 2018 and 2017, respectively, have been eliminated from operating revenue in the table below.</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Reportable segment results for the three and six months ended June 30, 2018 and 2017 consisted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6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406.6</w:t>
            </w:r>
          </w:p>
        </w:tc>
        <w:tc>
          <w:tcPr>
            <w:tcW w:w="2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392.7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785.9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762.7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119.8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512.5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1,068.5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986.9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ind w:left="440"/>
              <w:spacing w:after="0"/>
              <w:rPr>
                <w:sz w:val="20"/>
                <w:szCs w:val="20"/>
                <w:color w:val="auto"/>
              </w:rPr>
            </w:pPr>
            <w:r>
              <w:rPr>
                <w:rFonts w:ascii="Arial" w:cs="Arial" w:eastAsia="Arial" w:hAnsi="Arial"/>
                <w:sz w:val="18"/>
                <w:szCs w:val="18"/>
                <w:color w:val="auto"/>
              </w:rPr>
              <w:t>Total Operating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7"/>
        </w:trPr>
        <w:tc>
          <w:tcPr>
            <w:tcW w:w="5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40" w:hanging="317"/>
        <w:spacing w:after="0" w:line="291" w:lineRule="auto"/>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Ocean Transportation segment information includes $9.1 million and $6.9 million of equity in income from the Terminal Joint Venture for the three months ended June 30, 2018 and 2017, and $19.6 million and $11.8 million for the six months ended June 30, 2018 and 2017, respectively.</w:t>
      </w:r>
    </w:p>
    <w:p>
      <w:pPr>
        <w:spacing w:after="0" w:line="367" w:lineRule="exact"/>
        <w:rPr>
          <w:sz w:val="20"/>
          <w:szCs w:val="20"/>
          <w:color w:val="auto"/>
        </w:rPr>
      </w:pPr>
    </w:p>
    <w:p>
      <w:pPr>
        <w:ind w:left="580" w:hanging="577"/>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June 30, 2018 and December 31, 2017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640" w:type="dxa"/>
            <w:vAlign w:val="bottom"/>
            <w:tcBorders>
              <w:bottom w:val="single" w:sz="8" w:color="auto"/>
            </w:tcBorders>
            <w:vMerge w:val="continue"/>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Arial" w:cs="Arial" w:eastAsia="Arial" w:hAnsi="Arial"/>
                <w:sz w:val="18"/>
                <w:szCs w:val="18"/>
                <w:color w:val="auto"/>
              </w:rPr>
              <w:t>Vessels</w:t>
            </w:r>
          </w:p>
        </w:tc>
        <w:tc>
          <w:tcPr>
            <w:tcW w:w="3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1,442.1</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construction in progress</w:t>
            </w:r>
          </w:p>
        </w:tc>
        <w:tc>
          <w:tcPr>
            <w:tcW w:w="2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2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3640" w:type="dxa"/>
            <w:vAlign w:val="bottom"/>
          </w:tcPr>
          <w:p>
            <w:pPr>
              <w:spacing w:after="0"/>
              <w:rPr>
                <w:sz w:val="24"/>
                <w:szCs w:val="24"/>
                <w:color w:val="auto"/>
              </w:rPr>
            </w:pPr>
          </w:p>
        </w:tc>
        <w:tc>
          <w:tcPr>
            <w:tcW w:w="2960" w:type="dxa"/>
            <w:vAlign w:val="bottom"/>
          </w:tcPr>
          <w:p>
            <w:pPr>
              <w:jc w:val="right"/>
              <w:ind w:right="193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4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Vessel construction in progress relates to progress payments for the construction of four new vessels to be used within the Hawaii service, capitalized owners’ items and capitalized interest. Capitalized interest included in vessel construction in progress was $18.6 million and $10.4 million at June 30, 2018 and December 31, 2017, respectively.</w:t>
      </w:r>
    </w:p>
    <w:p>
      <w:pPr>
        <w:spacing w:after="0" w:line="378" w:lineRule="exact"/>
        <w:rPr>
          <w:sz w:val="20"/>
          <w:szCs w:val="20"/>
          <w:color w:val="auto"/>
        </w:rPr>
      </w:pPr>
    </w:p>
    <w:p>
      <w:pPr>
        <w:ind w:left="580" w:hanging="577"/>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at both June 30, 2018 and December 31, 2017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rPr>
              <w:t>Ocean</w:t>
            </w:r>
          </w:p>
        </w:tc>
        <w:tc>
          <w:tcPr>
            <w:tcW w:w="200" w:type="dxa"/>
            <w:vAlign w:val="bottom"/>
          </w:tcPr>
          <w:p>
            <w:pPr>
              <w:spacing w:after="0"/>
              <w:rPr>
                <w:sz w:val="14"/>
                <w:szCs w:val="14"/>
                <w:color w:val="auto"/>
              </w:rPr>
            </w:pPr>
          </w:p>
        </w:tc>
        <w:tc>
          <w:tcPr>
            <w:tcW w:w="6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4"/>
              </w:rPr>
              <w:t>Logistics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60" w:type="dxa"/>
            <w:vAlign w:val="bottom"/>
            <w:gridSpan w:val="3"/>
            <w:vMerge w:val="continue"/>
          </w:tcPr>
          <w:p>
            <w:pPr>
              <w:spacing w:after="0"/>
              <w:rPr>
                <w:sz w:val="14"/>
                <w:szCs w:val="14"/>
                <w:color w:val="auto"/>
              </w:rPr>
            </w:pPr>
          </w:p>
        </w:tc>
        <w:tc>
          <w:tcPr>
            <w:tcW w:w="94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Transportation</w:t>
            </w:r>
          </w:p>
        </w:tc>
        <w:tc>
          <w:tcPr>
            <w:tcW w:w="2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9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105.2</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323.7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160" w:type="dxa"/>
            <w:vAlign w:val="bottom"/>
            <w:gridSpan w:val="3"/>
          </w:tcPr>
          <w:p>
            <w:pPr>
              <w:spacing w:after="0"/>
              <w:rPr>
                <w:sz w:val="20"/>
                <w:szCs w:val="20"/>
                <w:color w:val="auto"/>
              </w:rPr>
            </w:pPr>
            <w:r>
              <w:rPr>
                <w:rFonts w:ascii="Arial" w:cs="Arial" w:eastAsia="Arial" w:hAnsi="Arial"/>
                <w:sz w:val="18"/>
                <w:szCs w:val="18"/>
                <w:color w:val="auto"/>
                <w:w w:val="89"/>
              </w:rPr>
              <w:t>Intangible assets at June 30, 2018 and December 31, 2017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24"/>
                <w:szCs w:val="24"/>
                <w:color w:val="auto"/>
              </w:rPr>
            </w:pPr>
          </w:p>
        </w:tc>
        <w:tc>
          <w:tcPr>
            <w:tcW w:w="1080" w:type="dxa"/>
            <w:vAlign w:val="bottom"/>
            <w:gridSpan w:val="7"/>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1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Ocean Transportation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4"/>
          </w:tcPr>
          <w:p>
            <w:pPr>
              <w:jc w:val="right"/>
              <w:ind w:right="142"/>
              <w:spacing w:after="0" w:line="189"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140.6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gridSpan w:val="3"/>
          </w:tcPr>
          <w:p>
            <w:pPr>
              <w:ind w:left="4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140.6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Logistics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90.1</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90.1</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230.7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230.7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Total Customer Relationships, net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192.3</w:t>
            </w:r>
          </w:p>
        </w:tc>
        <w:tc>
          <w:tcPr>
            <w:tcW w:w="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197.9</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Trade name - Logistics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27.3</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27.3</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6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Total Intangible Assets,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219.6</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225.2</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80" w:type="dxa"/>
            <w:vAlign w:val="bottom"/>
          </w:tcPr>
          <w:p>
            <w:pPr>
              <w:spacing w:after="0"/>
              <w:rPr>
                <w:sz w:val="20"/>
                <w:szCs w:val="20"/>
                <w:color w:val="auto"/>
              </w:rPr>
            </w:pPr>
            <w:r>
              <w:rPr>
                <w:rFonts w:ascii="Arial" w:cs="Arial" w:eastAsia="Arial" w:hAnsi="Arial"/>
                <w:sz w:val="18"/>
                <w:szCs w:val="18"/>
                <w:b w:val="1"/>
                <w:bCs w:val="1"/>
                <w:color w:val="auto"/>
              </w:rPr>
              <w:t>6.</w:t>
            </w:r>
          </w:p>
        </w:tc>
        <w:tc>
          <w:tcPr>
            <w:tcW w:w="5980" w:type="dxa"/>
            <w:vAlign w:val="bottom"/>
            <w:gridSpan w:val="2"/>
          </w:tcPr>
          <w:p>
            <w:pPr>
              <w:ind w:left="400"/>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60" w:type="dxa"/>
            <w:vAlign w:val="bottom"/>
            <w:gridSpan w:val="3"/>
          </w:tcPr>
          <w:p>
            <w:pPr>
              <w:spacing w:after="0"/>
              <w:rPr>
                <w:sz w:val="20"/>
                <w:szCs w:val="20"/>
                <w:color w:val="auto"/>
              </w:rPr>
            </w:pPr>
            <w:r>
              <w:rPr>
                <w:rFonts w:ascii="Arial" w:cs="Arial" w:eastAsia="Arial" w:hAnsi="Arial"/>
                <w:sz w:val="18"/>
                <w:szCs w:val="18"/>
                <w:color w:val="auto"/>
              </w:rPr>
              <w:t>Debt at June 30, 2018 and December 31, 2017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ind w:left="20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1080" w:type="dxa"/>
            <w:vAlign w:val="bottom"/>
            <w:gridSpan w:val="7"/>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Private Placement Term Loans: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gridSpan w:val="2"/>
          </w:tcPr>
          <w:p>
            <w:pPr>
              <w:ind w:left="40"/>
              <w:spacing w:after="0"/>
              <w:rPr>
                <w:sz w:val="20"/>
                <w:szCs w:val="20"/>
                <w:color w:val="auto"/>
              </w:rPr>
            </w:pPr>
            <w:r>
              <w:rPr>
                <w:rFonts w:ascii="Arial" w:cs="Arial" w:eastAsia="Arial" w:hAnsi="Arial"/>
                <w:sz w:val="18"/>
                <w:szCs w:val="18"/>
                <w:color w:val="auto"/>
              </w:rPr>
              <w:t>5.79 %, payable through 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ind w:right="16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3.66 %, payable through 2023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gridSpan w:val="2"/>
          </w:tcPr>
          <w:p>
            <w:pPr>
              <w:ind w:left="40"/>
              <w:spacing w:after="0"/>
              <w:rPr>
                <w:sz w:val="20"/>
                <w:szCs w:val="20"/>
                <w:color w:val="auto"/>
              </w:rPr>
            </w:pPr>
            <w:r>
              <w:rPr>
                <w:rFonts w:ascii="Arial" w:cs="Arial" w:eastAsia="Arial" w:hAnsi="Arial"/>
                <w:sz w:val="18"/>
                <w:szCs w:val="18"/>
                <w:color w:val="auto"/>
              </w:rPr>
              <w:t>4.16 %, payable through 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3.37 %, payable through 2027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gridSpan w:val="2"/>
          </w:tcPr>
          <w:p>
            <w:pPr>
              <w:ind w:left="40"/>
              <w:spacing w:after="0"/>
              <w:rPr>
                <w:sz w:val="20"/>
                <w:szCs w:val="20"/>
                <w:color w:val="auto"/>
              </w:rPr>
            </w:pPr>
            <w:r>
              <w:rPr>
                <w:rFonts w:ascii="Arial" w:cs="Arial" w:eastAsia="Arial" w:hAnsi="Arial"/>
                <w:sz w:val="18"/>
                <w:szCs w:val="18"/>
                <w:color w:val="auto"/>
              </w:rPr>
              <w:t>3.14 %, payable through 2031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4.31 %, payable through 2032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gridSpan w:val="2"/>
          </w:tcPr>
          <w:p>
            <w:pPr>
              <w:ind w:left="40"/>
              <w:spacing w:after="0"/>
              <w:rPr>
                <w:sz w:val="20"/>
                <w:szCs w:val="20"/>
                <w:color w:val="auto"/>
              </w:rPr>
            </w:pPr>
            <w:r>
              <w:rPr>
                <w:rFonts w:ascii="Arial" w:cs="Arial" w:eastAsia="Arial" w:hAnsi="Arial"/>
                <w:sz w:val="18"/>
                <w:szCs w:val="18"/>
                <w:color w:val="auto"/>
              </w:rPr>
              <w:t>4.35 %, payable through 2044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3.92 %, payable through 2045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Title XI Bonds: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5.34 %, payable through 2028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80" w:type="dxa"/>
            <w:vAlign w:val="bottom"/>
            <w:gridSpan w:val="2"/>
          </w:tcPr>
          <w:p>
            <w:pPr>
              <w:ind w:left="40"/>
              <w:spacing w:after="0"/>
              <w:rPr>
                <w:sz w:val="20"/>
                <w:szCs w:val="20"/>
                <w:color w:val="auto"/>
              </w:rPr>
            </w:pPr>
            <w:r>
              <w:rPr>
                <w:rFonts w:ascii="Arial" w:cs="Arial" w:eastAsia="Arial" w:hAnsi="Arial"/>
                <w:sz w:val="18"/>
                <w:szCs w:val="18"/>
                <w:color w:val="auto"/>
              </w:rPr>
              <w:t>5.27 %, payable through 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Capital leases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(30.8)</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debt is described in Note 8 to the Consolidated Financial Statements included in Part II, Item 8 of the Company’s Annual Report on Form 10-K for the year ended December 31, 2017. Borrowings under the revolving credit facility are classified as long-term debt in the Condensed Consolidated Balance Sheets, as principal payments are not required until the maturity date of June 29,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June 30, 2018, the Company had $236.3 million of remaining availability under the revolving credit facility. The interest rate on borrowings under the revolving credit facility approximated 3.33 percent during the three months ended June 30, 2018.</w:t>
      </w:r>
    </w:p>
    <w:p>
      <w:pPr>
        <w:spacing w:after="0" w:line="393" w:lineRule="exact"/>
        <w:rPr>
          <w:sz w:val="20"/>
          <w:szCs w:val="20"/>
          <w:color w:val="auto"/>
        </w:rPr>
      </w:pPr>
    </w:p>
    <w:p>
      <w:pPr>
        <w:ind w:left="580" w:hanging="577"/>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six months ended June 30, 2018 consisted of the following:</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4"/>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Post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6"/>
              </w:rPr>
              <w:t>Pensions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Retirement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Arial" w:cs="Arial" w:eastAsia="Arial" w:hAnsi="Arial"/>
                <w:sz w:val="18"/>
                <w:szCs w:val="18"/>
                <w:color w:val="auto"/>
                <w:w w:val="96"/>
              </w:rPr>
              <w:t>Remeasurement adjustment related to the Tax Act (1)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spacing w:after="0"/>
              <w:rPr>
                <w:sz w:val="20"/>
                <w:szCs w:val="20"/>
                <w:color w:val="auto"/>
              </w:rPr>
            </w:pPr>
            <w:r>
              <w:rPr>
                <w:rFonts w:ascii="Arial" w:cs="Arial" w:eastAsia="Arial" w:hAnsi="Arial"/>
                <w:sz w:val="18"/>
                <w:szCs w:val="18"/>
                <w:color w:val="auto"/>
              </w:rPr>
              <w:t>Balance at March 31, 2018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(0.7)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(0.3)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Balance at June 30, 2018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40" w:hanging="317"/>
        <w:spacing w:after="0" w:line="253"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Reclassification from accumulated other comprehensive income (loss) to retained earnings for the remeasurement tax effects resulting from the Tax Act in accordance with ASU 2018-02</w:t>
      </w:r>
      <w:r>
        <w:rPr>
          <w:rFonts w:ascii="Arial" w:cs="Arial" w:eastAsia="Arial" w:hAnsi="Arial"/>
          <w:sz w:val="14"/>
          <w:szCs w:val="14"/>
          <w:i w:val="1"/>
          <w:iCs w:val="1"/>
          <w:color w:val="auto"/>
        </w:rPr>
        <w:t>.</w:t>
      </w:r>
    </w:p>
    <w:p>
      <w:pPr>
        <w:spacing w:after="0" w:line="178"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six months ended June 30, 2017 consisted of the following:</w:t>
      </w:r>
    </w:p>
    <w:tbl>
      <w:tblPr>
        <w:tblLayout w:type="fixed"/>
        <w:tblInd w:w="0" w:type="dxa"/>
        <w:tblCellMar>
          <w:top w:w="0" w:type="dxa"/>
          <w:left w:w="0" w:type="dxa"/>
          <w:bottom w:w="0" w:type="dxa"/>
          <w:right w:w="0" w:type="dxa"/>
        </w:tblCellMar>
      </w:tblPr>
      <w:tr>
        <w:trPr>
          <w:trHeight w:val="141"/>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Post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Pensions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Qualified</w:t>
            </w:r>
          </w:p>
        </w:tc>
        <w:tc>
          <w:tcPr>
            <w:tcW w:w="20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1260" w:type="dxa"/>
            <w:vAlign w:val="bottom"/>
            <w:gridSpan w:val="4"/>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4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Retirement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Other adjustments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Net gain in prior service cost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 of net loss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80" w:hanging="577"/>
        <w:spacing w:after="0"/>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uses Level 1 inputs for the fair values of its cash equivalents, and Level 2 inputs for its CCF – cash on deposit, and variable and fixed rate debt. The fair values of cash and cash equivalents, CCF – cash on deposit,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June 30, 2018 and December 31, 2017 were as follows:</w:t>
      </w:r>
    </w:p>
    <w:tbl>
      <w:tblPr>
        <w:tblLayout w:type="fixed"/>
        <w:tblInd w:w="0" w:type="dxa"/>
        <w:tblCellMar>
          <w:top w:w="0" w:type="dxa"/>
          <w:left w:w="0" w:type="dxa"/>
          <w:bottom w:w="0" w:type="dxa"/>
          <w:right w:w="0" w:type="dxa"/>
        </w:tblCellMar>
      </w:tblPr>
      <w:tr>
        <w:trPr>
          <w:trHeight w:val="141"/>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940" w:type="dxa"/>
            <w:vAlign w:val="bottom"/>
          </w:tcPr>
          <w:p>
            <w:pPr>
              <w:jc w:val="center"/>
              <w:ind w:right="77"/>
              <w:spacing w:after="0" w:line="141"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9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Carrying Value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92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0"/>
              </w:rPr>
              <w:t>June 30, 2018</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400" w:type="dxa"/>
            <w:vAlign w:val="bottom"/>
            <w:tcBorders>
              <w:top w:val="single" w:sz="8" w:color="auto"/>
              <w:bottom w:val="single" w:sz="8" w:color="auto"/>
            </w:tcBorders>
            <w:gridSpan w:val="6"/>
          </w:tcPr>
          <w:p>
            <w:pPr>
              <w:jc w:val="right"/>
              <w:ind w:right="16"/>
              <w:spacing w:after="0" w:line="142" w:lineRule="exact"/>
              <w:rPr>
                <w:sz w:val="20"/>
                <w:szCs w:val="20"/>
                <w:color w:val="auto"/>
              </w:rPr>
            </w:pPr>
            <w:r>
              <w:rPr>
                <w:rFonts w:ascii="Arial" w:cs="Arial" w:eastAsia="Arial" w:hAnsi="Arial"/>
                <w:sz w:val="14"/>
                <w:szCs w:val="14"/>
                <w:b w:val="1"/>
                <w:bCs w:val="1"/>
                <w:color w:val="auto"/>
              </w:rPr>
              <w:t>Fair Value Measurements at June 30, 2018</w:t>
            </w:r>
          </w:p>
        </w:tc>
        <w:tc>
          <w:tcPr>
            <w:tcW w:w="8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Variable rate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295.0</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295.0</w:t>
            </w:r>
          </w:p>
        </w:tc>
        <w:tc>
          <w:tcPr>
            <w:tcW w:w="2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616.3</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616.3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8"/>
          </w:tcPr>
          <w:p>
            <w:pPr>
              <w:ind w:left="560"/>
              <w:spacing w:after="0"/>
              <w:rPr>
                <w:sz w:val="20"/>
                <w:szCs w:val="20"/>
                <w:color w:val="auto"/>
              </w:rPr>
            </w:pPr>
            <w:r>
              <w:rPr>
                <w:rFonts w:ascii="Arial" w:cs="Arial" w:eastAsia="Arial" w:hAnsi="Arial"/>
                <w:sz w:val="14"/>
                <w:szCs w:val="14"/>
                <w:b w:val="1"/>
                <w:bCs w:val="1"/>
                <w:color w:val="auto"/>
              </w:rPr>
              <w:t>Fair Value Measurements at December 31, 2017</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CCF - cash on deposit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Fixed rate debt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652.1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651.4</w:t>
            </w:r>
          </w:p>
        </w:tc>
        <w:tc>
          <w:tcPr>
            <w:tcW w:w="30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651.4</w:t>
            </w:r>
          </w:p>
        </w:tc>
        <w:tc>
          <w:tcPr>
            <w:tcW w:w="24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80" w:hanging="577"/>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number of shares used to compute basic and diluted earnings per-share for the three and six months ended June 30, 2018 and 2017,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gridSpan w:val="13"/>
          </w:tcPr>
          <w:p>
            <w:pPr>
              <w:jc w:val="center"/>
              <w:ind w:right="140"/>
              <w:spacing w:after="0"/>
              <w:rPr>
                <w:sz w:val="20"/>
                <w:szCs w:val="20"/>
                <w:color w:val="auto"/>
              </w:rPr>
            </w:pPr>
            <w:r>
              <w:rPr>
                <w:rFonts w:ascii="Arial" w:cs="Arial" w:eastAsia="Arial" w:hAnsi="Arial"/>
                <w:sz w:val="14"/>
                <w:szCs w:val="14"/>
                <w:b w:val="1"/>
                <w:bCs w:val="1"/>
                <w:color w:val="auto"/>
                <w:w w:val="87"/>
              </w:rPr>
              <w:t>Three Months Ended June 30, 2018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12"/>
          </w:tcPr>
          <w:p>
            <w:pPr>
              <w:jc w:val="center"/>
              <w:ind w:right="260"/>
              <w:spacing w:after="0"/>
              <w:rPr>
                <w:sz w:val="20"/>
                <w:szCs w:val="20"/>
                <w:color w:val="auto"/>
              </w:rPr>
            </w:pPr>
            <w:r>
              <w:rPr>
                <w:rFonts w:ascii="Arial" w:cs="Arial" w:eastAsia="Arial" w:hAnsi="Arial"/>
                <w:sz w:val="14"/>
                <w:szCs w:val="14"/>
                <w:b w:val="1"/>
                <w:bCs w:val="1"/>
                <w:color w:val="auto"/>
                <w:w w:val="86"/>
              </w:rPr>
              <w:t>Six Months Ended June 30, 2018</w:t>
            </w:r>
          </w:p>
        </w:tc>
      </w:tr>
      <w:tr>
        <w:trPr>
          <w:trHeight w:val="129"/>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8"/>
              </w:rPr>
              <w:t>Per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8"/>
              </w:rPr>
              <w:t>Per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Net</w:t>
            </w: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Share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Share</w:t>
            </w:r>
          </w:p>
        </w:tc>
      </w:tr>
      <w:tr>
        <w:trPr>
          <w:trHeight w:val="161"/>
        </w:trPr>
        <w:tc>
          <w:tcPr>
            <w:tcW w:w="4320" w:type="dxa"/>
            <w:vAlign w:val="bottom"/>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r>
      <w:tr>
        <w:trPr>
          <w:trHeight w:val="217"/>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78"/>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13"/>
          </w:tcPr>
          <w:p>
            <w:pPr>
              <w:jc w:val="center"/>
              <w:ind w:right="60"/>
              <w:spacing w:after="0"/>
              <w:rPr>
                <w:sz w:val="20"/>
                <w:szCs w:val="20"/>
                <w:color w:val="auto"/>
              </w:rPr>
            </w:pPr>
            <w:r>
              <w:rPr>
                <w:rFonts w:ascii="Arial" w:cs="Arial" w:eastAsia="Arial" w:hAnsi="Arial"/>
                <w:sz w:val="14"/>
                <w:szCs w:val="14"/>
                <w:b w:val="1"/>
                <w:bCs w:val="1"/>
                <w:color w:val="auto"/>
                <w:w w:val="87"/>
              </w:rPr>
              <w:t>Three Months Ended June 30, 2017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12"/>
          </w:tcPr>
          <w:p>
            <w:pPr>
              <w:jc w:val="center"/>
              <w:ind w:right="180"/>
              <w:spacing w:after="0"/>
              <w:rPr>
                <w:sz w:val="20"/>
                <w:szCs w:val="20"/>
                <w:color w:val="auto"/>
              </w:rPr>
            </w:pPr>
            <w:r>
              <w:rPr>
                <w:rFonts w:ascii="Arial" w:cs="Arial" w:eastAsia="Arial" w:hAnsi="Arial"/>
                <w:sz w:val="14"/>
                <w:szCs w:val="14"/>
                <w:b w:val="1"/>
                <w:bCs w:val="1"/>
                <w:color w:val="auto"/>
                <w:w w:val="86"/>
              </w:rPr>
              <w:t>Six Months Ended June 30, 2017</w:t>
            </w:r>
          </w:p>
        </w:tc>
      </w:tr>
      <w:tr>
        <w:trPr>
          <w:trHeight w:val="129"/>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Per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Per</w:t>
            </w:r>
          </w:p>
        </w:tc>
        <w:tc>
          <w:tcPr>
            <w:tcW w:w="8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Share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Share</w:t>
            </w:r>
          </w:p>
        </w:tc>
      </w:tr>
      <w:tr>
        <w:trPr>
          <w:trHeight w:val="161"/>
        </w:trPr>
        <w:tc>
          <w:tcPr>
            <w:tcW w:w="4320" w:type="dxa"/>
            <w:vAlign w:val="bottom"/>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1"/>
              </w:rPr>
              <w:t>Income</w:t>
            </w:r>
          </w:p>
        </w:tc>
        <w:tc>
          <w:tcPr>
            <w:tcW w:w="40" w:type="dxa"/>
            <w:vAlign w:val="bottom"/>
          </w:tcPr>
          <w:p>
            <w:pPr>
              <w:spacing w:after="0"/>
              <w:rPr>
                <w:sz w:val="14"/>
                <w:szCs w:val="14"/>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1"/>
              </w:rPr>
              <w:t>Income</w:t>
            </w:r>
          </w:p>
        </w:tc>
        <w:tc>
          <w:tcPr>
            <w:tcW w:w="4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7"/>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earnings per-share is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computation of weighted-average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 The number of such shares excluded was nominal.</w:t>
      </w:r>
    </w:p>
    <w:p>
      <w:pPr>
        <w:spacing w:after="0" w:line="399" w:lineRule="exact"/>
        <w:rPr>
          <w:sz w:val="20"/>
          <w:szCs w:val="20"/>
          <w:color w:val="auto"/>
        </w:rPr>
      </w:pPr>
    </w:p>
    <w:p>
      <w:pPr>
        <w:ind w:left="680" w:hanging="677"/>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the three and six months ended June 30, 2018, the Company granted approximately 29,400 and 381,000 in total of time-based restricted stock units and performance-based shares to certain of its employees at a weighted-average grant date fair value of $29.09 and $31.18, respectively.</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Total share-based compensation cost recognized in the Condensed Consolidated Statements of Income and Comprehensive Income as a component of selling, general and administrative expenses was $2.8 million and $2.3 million for the three months ended June 30, 2018 and 2017, and $5.5 million and $4.9 million for the six months ended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June 30, 2018 and 2017, respectively. Total unrecognized compensation cost related to unvested share-based compensation arrangements was $17.4 million at June 30, 2018, and is expected to be recognized over a weighted-average period of 2.0 years. Total unrecognized compensation cost may be adjusted for any unearned performance shares or forfeited shares.</w:t>
      </w:r>
    </w:p>
    <w:p>
      <w:pPr>
        <w:spacing w:after="0" w:line="359" w:lineRule="exact"/>
        <w:rPr>
          <w:sz w:val="20"/>
          <w:szCs w:val="20"/>
          <w:color w:val="auto"/>
        </w:rPr>
      </w:pPr>
    </w:p>
    <w:p>
      <w:pPr>
        <w:ind w:left="660" w:hanging="657"/>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pension and post-retirement plans are described in Note 11 to the Consolidated Financial Statements included in Part II, Item 8 of the Company’s Annual Report on Form 10-K for the year ended December 31, 2017. The following tables provide the components of net periodic benefit cost for the Company’s qualified defined benefit pension and post-retirement plans for the three and six months ended June 30, 2018 and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88"/>
              </w:rPr>
              <w:t>Pension Benefits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4"/>
                <w:szCs w:val="14"/>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55"/>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88"/>
              </w:rPr>
              <w:t>Pension Benefits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right="120"/>
        <w:spacing w:after="0" w:line="224" w:lineRule="exact"/>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2017.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2017, the Company’s reports on Forms 10-Q and 8-K, and other publicly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The Company’s container volume in the Hawaii service in the second quarter 2018 was flat year-over-year. The Hawaii economy continues to be strong, supported primarily by healthy tourism activity and low unemployment. The Company expects volume in 2018 to approximate the level achieved in 2017, reflecting a solid Hawaii economy and stable market share.</w:t>
      </w:r>
    </w:p>
    <w:p>
      <w:pPr>
        <w:spacing w:after="0" w:line="1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 China, the Company’s container volume in the second quarter 2018 was 5.9 percent lower year-over-year largely due to one less sailing. Matson continued to realize a sizeable rate premium in the second quarter 2018 and achieved average freight rates modestly higher than the second quarter 2017. For 2018, the Company expects pricing to approximate the average rate achieved in 2017 and volume to be modestly lower than the level achieved in 2017.</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Guam, as expected, the Company’s container volume in the second quarter 2018 was lower on a year-over-year basis, the result of competitive losses. For 2018, the Company expects a heightened competitive environment and lower volume than the levels achieved in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Alaska, the Company’s container volume for the second quarter 2018 was 0.6 percent lower year-over-year, primarily due to lower southbound volume as a result of a delayed start to the seafood season. For 2018, the Company expects volume to be modestly higher than the level achieved in 2017 with improvement in northbound volume, partially offset by lower southbound seafood-related volume due to a moderation from the very strong seafood harvest levels in 2017.</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second quarter performance and the outlook trends noted above, the Company expects full year 2018 Ocean Transportation operating income to be modestly higher than the operating income of $126.4 million achieved in 2017. In the third quarter 2018, the Company expects Ocean Transportation operating income to be modestly lower than the operating income of $51.0 million achieved in the third quarter 2017.</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In the second quarter 2018, operating income for the Company’s Logistics segment was $2.5 million higher</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operating income achieved in the second quarter 2017 due to improved performance across all of the service lines. For the second half of 2018 in Logistics, the Company expects year-over-year improvement in operating income to approximate the year-over-year increase achieved in the first half of 2018. In the third quarter 2018, the Company expects operating income to be moderately higher than the level achieved in the third quarter 2017.</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For the full year 2018, the Company expects depreciation and amortization expense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$132 million, inclusive of dry-docking amortization of approximately $36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The Company expects full year 2018 EBITDA to be modestly lower than the $296.0 million achieved in 2017.</w:t>
      </w:r>
    </w:p>
    <w:p>
      <w:pPr>
        <w:spacing w:after="0" w:line="23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 xml:space="preserve">Other Income/(Expense): </w:t>
      </w:r>
      <w:r>
        <w:rPr>
          <w:rFonts w:ascii="Arial" w:cs="Arial" w:eastAsia="Arial" w:hAnsi="Arial"/>
          <w:sz w:val="17"/>
          <w:szCs w:val="17"/>
          <w:color w:val="auto"/>
        </w:rPr>
        <w:t>The Company expects full year 2018 other income/(expense) to be approximately $2.4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attributable to other component costs related to the Company’s pension and post-retirement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2018 to be approximately $22 million.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 the second quarter 2018, the Company’s effective tax rate was 21.3 percent. For the balance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Company expects its effective tax rate to be approximately 28 percent.</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 xml:space="preserve">Capital and Vessel Dry-docking Expenditures: </w:t>
      </w:r>
      <w:r>
        <w:rPr>
          <w:rFonts w:ascii="Arial" w:cs="Arial" w:eastAsia="Arial" w:hAnsi="Arial"/>
          <w:sz w:val="17"/>
          <w:szCs w:val="17"/>
          <w:color w:val="auto"/>
        </w:rPr>
        <w:t>In the second quarter 2018, the Company made maintenance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 payments of $12.4 million, capitalized vessel construction expenditures of $109.1 million, and dry-docking payments of $0.5 million. For the full year 2018, the Company expects to make maintenance capital expenditure payments of approximately $83 million, vessel construction expenditures (inclusive of capitalized interest and owner’s items) of approximately $388 million, and dry-docking payments of approximately $17 million.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June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w w:val="92"/>
              </w:rPr>
              <w:t>Three Months Ended June 30,</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557.1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(511.1)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(465.5)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(45.6)</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
        </w:trPr>
        <w:tc>
          <w:tcPr>
            <w:tcW w:w="5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(136.4)%</w:t>
            </w: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Diluted earnings per-share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decrease in interest expense for the three months ended June 30, 2018, compared to the three months ended June 30, 2017, was due to increased interest expense offset by a higher amount of capitalized interest.</w:t>
      </w:r>
    </w:p>
    <w:p>
      <w:pPr>
        <w:spacing w:after="0" w:line="14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Other income was $0.4 million for the three months ended June 30, 2018, compared to other expense of $1.1 million for the three months ended June 30, 2017. Changes in other income (expense) relate to the amortization of certain components of net periodic benefit costs or gains related to the Company’s pension and post-retirement plans.</w:t>
      </w:r>
    </w:p>
    <w:p>
      <w:pPr>
        <w:spacing w:after="0" w:line="16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Income tax expense was $8.8 million or 21.3 percent of income before income taxes for the three months ended June 30, 2018, compared to $15.6 million or 39.4 percent of income before income taxes for the three months ended June 30,</w:t>
      </w:r>
    </w:p>
    <w:p>
      <w:pPr>
        <w:ind w:right="20"/>
        <w:spacing w:after="0" w:line="253" w:lineRule="auto"/>
        <w:rPr>
          <w:sz w:val="20"/>
          <w:szCs w:val="20"/>
          <w:color w:val="auto"/>
        </w:rPr>
      </w:pPr>
      <w:r>
        <w:rPr>
          <w:rFonts w:ascii="Arial" w:cs="Arial" w:eastAsia="Arial" w:hAnsi="Arial"/>
          <w:sz w:val="18"/>
          <w:szCs w:val="18"/>
          <w:color w:val="auto"/>
        </w:rPr>
        <w:t>2017. The decrease in the effective income tax rate during the three months ended June 30, 2018, was primarily due to applying the tax law changes resulting from the Tax Act which lowered the federal income tax rate from 35% to 21% commencing January 1, 2018. The effective tax rate for the three months ended June 30, 2018 also benefited from other tax adjustments which further lowered the effective tax rate. The effective tax rate for the three months ended June 30, 2017 was also impacted by non-deductible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Six months ended June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(922.7)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(71.1)</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(163.2)%</w:t>
            </w:r>
          </w:p>
        </w:tc>
        <w:tc>
          <w:tcPr>
            <w:tcW w:w="0" w:type="dxa"/>
            <w:vAlign w:val="bottom"/>
          </w:tcPr>
          <w:p>
            <w:pPr>
              <w:spacing w:after="0"/>
              <w:rPr>
                <w:sz w:val="1"/>
                <w:szCs w:val="1"/>
                <w:color w:val="auto"/>
              </w:rPr>
            </w:pPr>
          </w:p>
        </w:tc>
      </w:tr>
      <w:tr>
        <w:trPr>
          <w:trHeight w:val="210"/>
        </w:trPr>
        <w:tc>
          <w:tcPr>
            <w:tcW w:w="5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7"/>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Diluted earnings per-share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0.37</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decrease in interest expense for the six months ended June 30, 2018, compared to the six months ended June 30, 2017, was due to increased interest expense offset by a higher amount of capitalized interest.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Other income was $1.2 million for the six months ended June 30, 2018, compared to other expense of $1.9 million for the six months ended June 30, 2017. Changes in other income (expense) includes the amortization of certain components of net periodic benefit costs or gains related to the Company’s pension and post-retirement plans.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Income tax expense was $19.1 million or 29.0 percent of income before income taxes for the six months ended June 30, 2018, compared to $18.7 million or 37.6 percent of income before income taxes for the six months ended June 30, 2017. The decrease in the effective income tax rate during the six months ended June 30, 2018, was primarily due to applying the tax law changes resulting from the Tax Act which lowered the federal income tax rate from 35% to 21% commencing January 1, 2018. The effective tax rate for the six months ended June 30, 2018 was also impacted by the recording of a non-cash tax adjustment of $3.1 million due to the application of an estimated 6.2 percent sequestration on alternative minimum tax (AMT) refunds based on new guidance issued by the Internal Revenue Service and emerging interpretations of the Tax 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June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w w:val="98"/>
              </w:rPr>
              <w:t>Three Months Ended 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(370.1)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300" w:hanging="317"/>
        <w:spacing w:after="0" w:line="248" w:lineRule="auto"/>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in Okinawa, Japan.</w:t>
      </w:r>
    </w:p>
    <w:p>
      <w:pPr>
        <w:spacing w:after="0" w:line="196"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Ocean Transportation revenue increased $13.9 million, or 3.5 percent, during the three months ended June 30, 2018, compared with the three months ended June 30, 2017. This increase was primarily due to higher fuel surcharge revenue, revenue from the new Okinawa service and higher rates in Hawaii, partially offset by lower revenue in Guam.</w:t>
      </w:r>
    </w:p>
    <w:p>
      <w:pPr>
        <w:spacing w:after="0" w:line="14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On a year-over-year FEU basis, Hawaii container volume was flat; Alaska volume decreased by 0.6 percent primarily due to lower southbound volume as a result of a delayed start to the seafood season; China volume was 5.9 percent lower primarily due to one less sailing; and Guam volume was 11.1 percent lower due to increased competition.</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Ocean Transportation operating income decreased $3.5 million during the three months ended June 30, 2018, compared with the three months ended June 30, 2017. This decrease was primarily due to higher terminal handling costs and lower revenue in Guam, partially offset by lower vessel operating costs, higher container rates in Hawaii and a higher contribution from SSAT.</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Company’s SSAT terminal joint venture investment contributed $9.1 million during the three months ended June 30, 2018, compared to a $6.9 million contribution during the three months ended June 30, 2017. The increase was primarily attributable to higher lift volume.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Six months ended June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(724.9)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(707.4)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32,800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30,300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27,800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32,200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(4,400)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300" w:hanging="317"/>
        <w:spacing w:after="0" w:line="248" w:lineRule="auto"/>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in Okinawa, Japan.</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Ocean Transportation revenue increased $23.2 million, or 3.0 percent, during the six months ended June 30, 2018, compared with the six months ended June 30, 2017. This increase was primarily due to higher fuel surcharge revenue and revenue from the new Okinawa service, partially offset by lower revenue in Guam and lower volume in China.</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 year-over-year FEU basis, Hawaii container volume decreased by 0.9 percent primarily due to lower eastbound volume; Alaska volume increased by 4.5 percent primarily due to an increase in northbound volumes mainly related to the dry-docking of a competitor’s vessel and one additional sailing; China volume was 13.7 percent lower primarily due to fewer sailings and lower volume during the Lunar New Year period; and Guam volume was 10.2 percent lower due to increased competition.</w:t>
      </w:r>
    </w:p>
    <w:p>
      <w:pPr>
        <w:spacing w:after="0" w:line="18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Ocean Transportation operating income increased $5.7 million during the six months ended June 30, 2018, compared with the six months ended June 30, 2017. This increase was primarily due to lower vessel operating costs and a higher contribution from SSAT, partially offset by higher terminal handling costs and lower revenue in Guam.</w:t>
      </w:r>
    </w:p>
    <w:p>
      <w:pPr>
        <w:spacing w:after="0" w:line="166"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Company’s SSAT terminal joint venture investment contributed $19.6 million during the six months ended June 30, 2018, compared to an $11.8 million contribution during the six months ended June 30, 2017. The increase was primarily attributable to higher lift volume.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June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(141.0)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(112.8)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(28.2)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Logistics revenue increased $30.7 million, or 25.6 percent, during the three months ended June 30, 2018, compared with the three months ended June 30, 2017. This increase was primarily due to higher highway and intermodal brokerage revenue.</w:t>
      </w:r>
    </w:p>
    <w:p>
      <w:pPr>
        <w:spacing w:after="0" w:line="12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Logistics operating income increased $2.5 million for the three months ended June 30, 2018 compared with the three months ended June 30, 2017. The increase was due primarily to higher contributions from highway brokerage.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Six months ended June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(268.9)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(215.3)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(53.6)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Logistics revenue increased $58.4 million, or 26.0 percent, during the six months ended June 30, 2018, compared with the six months ended June 30, 2017. This increase was primarily due to higher highway and intermodal brokerage revenue.</w:t>
      </w:r>
    </w:p>
    <w:p>
      <w:pPr>
        <w:spacing w:after="0" w:line="12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Logistics operating income increased $4.8 million for the six months ended June 30, 2018 compared with the six months ended June 30, 2017. The increase was due primarily to higher contributions from highway brokerage and freight forwarding.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June 30, 2018, compared to December 31, 2017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follows:</w:t>
      </w:r>
    </w:p>
    <w:tbl>
      <w:tblPr>
        <w:tblLayout w:type="fixed"/>
        <w:tblInd w:w="0" w:type="dxa"/>
        <w:tblCellMar>
          <w:top w:w="0" w:type="dxa"/>
          <w:left w:w="0" w:type="dxa"/>
          <w:bottom w:w="0" w:type="dxa"/>
          <w:right w:w="0" w:type="dxa"/>
        </w:tblCellMar>
      </w:tblPr>
      <w:tr>
        <w:trPr>
          <w:trHeight w:val="14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57"/>
              <w:spacing w:after="0" w:line="141" w:lineRule="exact"/>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3"/>
          </w:tcPr>
          <w:p>
            <w:pPr>
              <w:ind w:left="18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Accounts receivable, net (1)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221.7</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CCF - cash on deposit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0" w:hanging="317"/>
        <w:spacing w:after="0" w:line="253" w:lineRule="auto"/>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of June 30, 2018 and December 31, 2017, $124.7 million and $134.8 million, respectively, of eligible accounts receivable were assigned to the CCF (see Note 2 of the Condensed Consolidated Financial Statements).</w:t>
      </w:r>
    </w:p>
    <w:p>
      <w:pPr>
        <w:spacing w:after="0" w:line="17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As of June 30, 2018, the Company had $236.3 million of availability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maturity date of June 29, 2022. The Company’s revolving credit facility is described in Note 8 to the Consolidated Financial Statements included in Part II, Item 8 of the Company’s Annual Report on Form 10-K for the year ended December 31, 2017.</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Changes in 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changes in the Company’s cash and cash equivalents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2018, compared to the six months ended June 30, 2017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9"/>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160" w:type="dxa"/>
            <w:vAlign w:val="bottom"/>
            <w:tcBorders>
              <w:bottom w:val="single" w:sz="8" w:color="auto"/>
            </w:tcBorders>
            <w:gridSpan w:val="2"/>
            <w:vMerge w:val="continue"/>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 (2)</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Net cash provided by (used in) financing activities (3)</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8"/>
                <w:szCs w:val="18"/>
                <w:color w:val="auto"/>
                <w:w w:val="96"/>
              </w:rPr>
              <w:t>Net (decrease) increase in cash and cash equivalents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880" w:type="dxa"/>
            <w:vAlign w:val="bottom"/>
          </w:tcPr>
          <w:p>
            <w:pPr>
              <w:spacing w:after="0"/>
              <w:rPr>
                <w:sz w:val="10"/>
                <w:szCs w:val="10"/>
                <w:color w:val="auto"/>
              </w:rPr>
            </w:pPr>
          </w:p>
        </w:tc>
        <w:tc>
          <w:tcPr>
            <w:tcW w:w="1860" w:type="dxa"/>
            <w:vAlign w:val="bottom"/>
            <w:vMerge w:val="restart"/>
          </w:tcPr>
          <w:p>
            <w:pPr>
              <w:jc w:val="right"/>
              <w:ind w:right="131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8"/>
        </w:trPr>
        <w:tc>
          <w:tcPr>
            <w:tcW w:w="2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Changes in net cash provided by operating activities for the six months ended June 30, 2018, compared to the six months ended June 30, 2017,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Non-cash 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non-cash related changes,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Distributions from Terminal Joint Venture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dry-docking payments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Accounts payable, accruals and other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r>
      <w:tr>
        <w:trPr>
          <w:trHeight w:val="21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Distributions received from the Company’s Terminal Joint Venture for the six months ended June 30, 2018 were $17.5 million, compared to $7.0 million for the six months ended June 30, 2017. The increase in distributions was primarily due to favorable operating results of the Company’s Terminal Joint Venture. Deferred dry-docking payments decreased from $33.0 million during the six months ended June 30, 2017, compared to $5.1 million during the six months ended June 30, 2018, primarily due to fewer vessels in dry-docking during the period. Changes in accounts receivable were primarily due to increased receivables resulting from higher revenues during the six months ended June 30, 2018, and the timing of billings and collections associated with those receivables. Changes in prepaid expenses and other assets primarily relates to the timing of prepayments and other assets. Changes in accounts payable, accruals and other liabilities were due to the increased accounts payables and accrued costs resulting from operations during the six months ended June 30, 2018, and the timing of payments associated with those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Changes in net cash used in investing activities for the six months ended June 30, 2018, compared to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were due to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Capitalized vessel construction expenditures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Other 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Cash deposits into CCF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(186.1)</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Withdrawals from CCF</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40" w:type="dxa"/>
            <w:vAlign w:val="bottom"/>
            <w:shd w:val="clear" w:color="auto" w:fill="CCEEFF"/>
          </w:tcPr>
          <w:p>
            <w:pPr>
              <w:spacing w:after="0"/>
              <w:rPr>
                <w:sz w:val="18"/>
                <w:szCs w:val="18"/>
                <w:color w:val="auto"/>
              </w:rPr>
            </w:pPr>
          </w:p>
        </w:tc>
      </w:tr>
      <w:tr>
        <w:trPr>
          <w:trHeight w:val="21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Vessel construction expenditures (including capitalized interest) were $166.8 million for the six months ended June 30, 2018, compared to $46.2 million for the six months ended June 30, 2017. Vessel construction expenditures relate to progress payments for the construction of four new vessels for the Hawaii service. Other capital expenditures payments decreased to $25.5 million for the six months ended June 30, 2018, compared to $37.1 million for the six months ended June 30, 2017. The decrease was primarily due to fewer other capital projects incurring costs during 2018 as compared to 2017. Proceeds from the disposal of property and equipment, net, includes approximately $9.8 million related to the sale and leaseback of certain equipment previously owned by the Company. Changes in cash deposited into CCF, and withdrawals from CCF primarily relate to the timing of when deposits are made into the CCF, and when the subsequent withdrawals are made during the six month periods ended June 30, 2018 and 2017.</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Changes in net cash provided by financing activities for the six months ended June 30, 2018, compared to the six months ended June 30, 2017, were due to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Repayments of debt and capital leases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Increase in borrowings under revolving credit facility,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Matson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other payments, net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r>
      <w:tr>
        <w:trPr>
          <w:trHeight w:val="21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the six months ended June 30, 2018, the Company paid $14.6 million in scheduled fixed debt and capital lease repayments compared to $15.0 million during the six months ended June 30, 2017. During the six months ended June 30, 2018, the Company increased net borrowings under the revolving credit facility by $90.0 million, compared to $30.0 million for the six months ended June 30, 2017. Borrowings from the Company’s revolving credit facility were primarily used to fund progress payments related to the construction of four new vessels for the Hawaii service. During the six months ended June 30, 2018, the Company paid $17.3 million in dividends, compared to $16.5 million during the six months ended June 30, 2017. During the six months ended June 30, 2017, the Company paid $1.3 million in the repurchase of Matson common stock. There was no repurchase of Matson common stock during the six months ended June 30, 2018.</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The Company had a working capital deficiency of $31.9 million and $20.3 million at June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There were no material changes during this quarter to the Company’s contractual obligations, commitments, contingencies and off-balance sheet arrangements that are described in Part II, Item 7 of the Company’s Annual Report on Form 10-K for the year ended December 31, 2017, and Part I, Item 2 of the Company’s Quarterly Report on Form 10-Q for the quarterly period ended March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Company’s second quarter 2018 cash dividend of $0.20 per-share was paid on June 7, 2018 to shareholders of record as of May 10, 2018. On June 29, 2018, the Company’s Board of Directors declared a cash dividend of $0.21 per-share payable on September 6, 2018 to shareholders of record as of the close of business on August 2,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Company’s market risk position from the information provided under</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86" w:lineRule="auto"/>
        <w:rPr>
          <w:sz w:val="20"/>
          <w:szCs w:val="20"/>
          <w:color w:val="auto"/>
        </w:rPr>
      </w:pPr>
      <w:r>
        <w:rPr>
          <w:rFonts w:ascii="Arial" w:cs="Arial" w:eastAsia="Arial" w:hAnsi="Arial"/>
          <w:sz w:val="17"/>
          <w:szCs w:val="17"/>
          <w:color w:val="auto"/>
        </w:rPr>
        <w:t>15(e) and 15d-15(e) under the Securities Exchange Act of 1934, as amended (the “Exchange Act”)) as of the end of the period covered by this report. Based on such evaluation, the Company’s Chief Executive Officer and Chief Financial Officer have concluded that, as of June 30, 2018, the Company’s disclosure controls and procedures are effective.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79"/>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three months ended June 30, 2018,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right="3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9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339"/>
        <w:spacing w:after="0" w:line="277" w:lineRule="auto"/>
        <w:rPr>
          <w:sz w:val="20"/>
          <w:szCs w:val="20"/>
          <w:color w:val="auto"/>
        </w:rPr>
      </w:pPr>
      <w:r>
        <w:rPr>
          <w:rFonts w:ascii="Arial" w:cs="Arial" w:eastAsia="Arial" w:hAnsi="Arial"/>
          <w:sz w:val="18"/>
          <w:szCs w:val="18"/>
          <w:color w:val="auto"/>
        </w:rPr>
        <w:t>There were no material changes to the Company’s risk factors that are described in Part I, Item 1A, “Risk Factors” of the Company’s Annual Report on Form 10-K for the year ended December 31,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right="39"/>
        <w:spacing w:after="0" w:line="273" w:lineRule="auto"/>
        <w:rPr>
          <w:sz w:val="20"/>
          <w:szCs w:val="20"/>
          <w:color w:val="auto"/>
        </w:rPr>
      </w:pPr>
      <w:r>
        <w:rPr>
          <w:rFonts w:ascii="Arial" w:cs="Arial" w:eastAsia="Arial" w:hAnsi="Arial"/>
          <w:sz w:val="17"/>
          <w:szCs w:val="17"/>
          <w:i w:val="1"/>
          <w:iCs w:val="1"/>
          <w:color w:val="auto"/>
        </w:rPr>
        <w:t xml:space="preserve">Share Repurchases: </w:t>
      </w:r>
      <w:r>
        <w:rPr>
          <w:rFonts w:ascii="Arial" w:cs="Arial" w:eastAsia="Arial" w:hAnsi="Arial"/>
          <w:sz w:val="17"/>
          <w:szCs w:val="17"/>
          <w:color w:val="auto"/>
        </w:rPr>
        <w:t>On November 4, 2015, the Company announced that Matson’s Board of Directors had approved a share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program of up to 3.0 million shares of common stock through November 2, 2018. Shares can be repurchased in the open market from time to time, and may be made pursuant to a trading plan in accordance with Rule 10b5-1 of the Securities Exchange Act of 1934. During the quarter ended June 30, 2018, no shares were repurchased, excluding shares withheld for employee taxes upon vesting of share-based awards. The maximum number of remaining shares that may be purchased under the share repurchase program was 1,151,288 as of June 30, 2018.</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16" w:lineRule="exact"/>
        <w:rPr>
          <w:sz w:val="20"/>
          <w:szCs w:val="20"/>
          <w:color w:val="auto"/>
        </w:rPr>
      </w:pPr>
    </w:p>
    <w:p>
      <w:pPr>
        <w:ind w:left="860" w:right="120" w:hanging="863"/>
        <w:spacing w:after="0" w:line="262"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6">
        <w:r>
          <w:rPr>
            <w:rFonts w:ascii="Arial" w:cs="Arial" w:eastAsia="Arial" w:hAnsi="Arial"/>
            <w:sz w:val="18"/>
            <w:szCs w:val="18"/>
            <w:u w:val="single" w:color="auto"/>
            <w:color w:val="0000EE"/>
          </w:rPr>
          <w:t>Certification of Chief Executive Officer pursuant to Rule 13a-14(a) or 15d-14(a) of the Securities Exchange Act</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of 1934.</w:t>
        </w:r>
      </w:hyperlink>
    </w:p>
    <w:p>
      <w:pPr>
        <w:spacing w:after="0" w:line="156" w:lineRule="exact"/>
        <w:rPr>
          <w:sz w:val="20"/>
          <w:szCs w:val="20"/>
          <w:color w:val="auto"/>
        </w:rPr>
      </w:pPr>
    </w:p>
    <w:p>
      <w:pPr>
        <w:ind w:left="860" w:right="160" w:hanging="863"/>
        <w:spacing w:after="0" w:line="262"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27">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of 1934.</w:t>
        </w:r>
      </w:hyperlink>
    </w:p>
    <w:p>
      <w:pPr>
        <w:spacing w:after="0" w:line="156" w:lineRule="exact"/>
        <w:rPr>
          <w:sz w:val="20"/>
          <w:szCs w:val="20"/>
          <w:color w:val="auto"/>
        </w:rPr>
      </w:pPr>
    </w:p>
    <w:p>
      <w:pPr>
        <w:ind w:left="860" w:hanging="857"/>
        <w:spacing w:after="0"/>
        <w:tabs>
          <w:tab w:leader="none" w:pos="860" w:val="left"/>
        </w:tabs>
        <w:numPr>
          <w:ilvl w:val="0"/>
          <w:numId w:val="24"/>
        </w:numPr>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Certification of Chief Executive Officer and Chief Financial Officer pursuant to 18 U.S.C. Section 1350.</w:t>
        </w:r>
      </w:hyperlink>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82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780" w:type="dxa"/>
            <w:vAlign w:val="bottom"/>
          </w:tcPr>
          <w:p>
            <w:pPr>
              <w:spacing w:after="0"/>
              <w:rPr>
                <w:sz w:val="24"/>
                <w:szCs w:val="24"/>
                <w:color w:val="auto"/>
              </w:rPr>
            </w:pPr>
          </w:p>
        </w:tc>
        <w:tc>
          <w:tcPr>
            <w:tcW w:w="8280" w:type="dxa"/>
            <w:vAlign w:val="bottom"/>
          </w:tcPr>
          <w:p>
            <w:pPr>
              <w:ind w:left="3660"/>
              <w:spacing w:after="0"/>
              <w:rPr>
                <w:sz w:val="20"/>
                <w:szCs w:val="20"/>
                <w:color w:val="auto"/>
              </w:rPr>
            </w:pPr>
            <w:r>
              <w:rPr>
                <w:rFonts w:ascii="Arial" w:cs="Arial" w:eastAsia="Arial" w:hAnsi="Arial"/>
                <w:sz w:val="18"/>
                <w:szCs w:val="18"/>
                <w:color w:val="auto"/>
              </w:rPr>
              <w:t>22</w:t>
            </w:r>
          </w:p>
        </w:tc>
      </w:tr>
      <w:tr>
        <w:trPr>
          <w:trHeight w:val="129"/>
        </w:trPr>
        <w:tc>
          <w:tcPr>
            <w:tcW w:w="780" w:type="dxa"/>
            <w:vAlign w:val="bottom"/>
            <w:tcBorders>
              <w:bottom w:val="single" w:sz="8" w:color="auto"/>
            </w:tcBorders>
          </w:tcPr>
          <w:p>
            <w:pPr>
              <w:spacing w:after="0"/>
              <w:rPr>
                <w:sz w:val="11"/>
                <w:szCs w:val="11"/>
                <w:color w:val="auto"/>
              </w:rPr>
            </w:pPr>
          </w:p>
        </w:tc>
        <w:tc>
          <w:tcPr>
            <w:tcW w:w="82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(Registrant)</w:t>
      </w:r>
    </w:p>
    <w:p>
      <w:pPr>
        <w:spacing w:after="0" w:line="386"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Joel M. Wine</w:t>
      </w:r>
    </w:p>
    <w:p>
      <w:pPr>
        <w:jc w:val="center"/>
        <w:ind w:left="456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Chief Financial Officer</w:t>
      </w:r>
    </w:p>
    <w:p>
      <w:pPr>
        <w:spacing w:after="0" w:line="38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7"/>
          <w:szCs w:val="17"/>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Kevin L. Stuck</w:t>
      </w:r>
    </w:p>
    <w:p>
      <w:pPr>
        <w:jc w:val="center"/>
        <w:ind w:left="456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781" w:hanging="781"/>
        <w:spacing w:after="0"/>
        <w:tabs>
          <w:tab w:leader="none" w:pos="7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61"/>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-635</wp:posOffset>
            </wp:positionV>
            <wp:extent cx="29584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5401"/>
        <w:spacing w:after="0" w:line="203" w:lineRule="auto"/>
        <w:rPr>
          <w:sz w:val="20"/>
          <w:szCs w:val="20"/>
          <w:color w:val="auto"/>
        </w:rPr>
      </w:pPr>
      <w:r>
        <w:rPr>
          <w:rFonts w:ascii="Arial" w:cs="Arial" w:eastAsia="Arial" w:hAnsi="Arial"/>
          <w:sz w:val="18"/>
          <w:szCs w:val="18"/>
          <w:color w:val="auto"/>
        </w:rPr>
        <w:t>Matthew J. Cox, Chairman and</w:t>
      </w:r>
    </w:p>
    <w:p>
      <w:pPr>
        <w:ind w:left="5401"/>
        <w:spacing w:after="0" w:line="204" w:lineRule="auto"/>
        <w:rPr>
          <w:sz w:val="20"/>
          <w:szCs w:val="20"/>
          <w:color w:val="auto"/>
        </w:rPr>
      </w:pPr>
      <w:r>
        <w:rPr>
          <w:rFonts w:ascii="Arial" w:cs="Arial" w:eastAsia="Arial" w:hAnsi="Arial"/>
          <w:sz w:val="18"/>
          <w:szCs w:val="18"/>
          <w:color w:val="auto"/>
        </w:rPr>
        <w:t>Chief Executive Officer</w:t>
      </w:r>
    </w:p>
    <w:p>
      <w:pPr>
        <w:ind w:left="1"/>
        <w:spacing w:after="0"/>
        <w:rPr>
          <w:sz w:val="20"/>
          <w:szCs w:val="20"/>
          <w:color w:val="auto"/>
        </w:rPr>
      </w:pPr>
      <w:r>
        <w:rPr>
          <w:rFonts w:ascii="Arial" w:cs="Arial" w:eastAsia="Arial" w:hAnsi="Arial"/>
          <w:sz w:val="18"/>
          <w:szCs w:val="18"/>
          <w:color w:val="auto"/>
        </w:rPr>
        <w:t>Date: August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781" w:hanging="781"/>
        <w:spacing w:after="0"/>
        <w:tabs>
          <w:tab w:leader="none" w:pos="7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41"/>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-635</wp:posOffset>
            </wp:positionV>
            <wp:extent cx="29502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5421"/>
        <w:spacing w:after="0" w:line="203" w:lineRule="auto"/>
        <w:rPr>
          <w:sz w:val="20"/>
          <w:szCs w:val="20"/>
          <w:color w:val="auto"/>
        </w:rPr>
      </w:pPr>
      <w:r>
        <w:rPr>
          <w:rFonts w:ascii="Arial" w:cs="Arial" w:eastAsia="Arial" w:hAnsi="Arial"/>
          <w:sz w:val="18"/>
          <w:szCs w:val="18"/>
          <w:color w:val="auto"/>
        </w:rPr>
        <w:t>Joel M. Wine, Senior Vice President and</w:t>
      </w:r>
    </w:p>
    <w:p>
      <w:pPr>
        <w:ind w:left="5421"/>
        <w:spacing w:after="0" w:line="204" w:lineRule="auto"/>
        <w:rPr>
          <w:sz w:val="20"/>
          <w:szCs w:val="20"/>
          <w:color w:val="auto"/>
        </w:rPr>
      </w:pPr>
      <w:r>
        <w:rPr>
          <w:rFonts w:ascii="Arial" w:cs="Arial" w:eastAsia="Arial" w:hAnsi="Arial"/>
          <w:sz w:val="18"/>
          <w:szCs w:val="18"/>
          <w:color w:val="auto"/>
        </w:rPr>
        <w:t>Chief Financial Officer</w:t>
      </w:r>
    </w:p>
    <w:p>
      <w:pPr>
        <w:ind w:left="1"/>
        <w:spacing w:after="0"/>
        <w:rPr>
          <w:sz w:val="20"/>
          <w:szCs w:val="20"/>
          <w:color w:val="auto"/>
        </w:rPr>
      </w:pPr>
      <w:r>
        <w:rPr>
          <w:rFonts w:ascii="Arial" w:cs="Arial" w:eastAsia="Arial" w:hAnsi="Arial"/>
          <w:sz w:val="18"/>
          <w:szCs w:val="18"/>
          <w:color w:val="auto"/>
        </w:rPr>
        <w:t>Date: August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7" w:name="page28"/>
    <w:bookmarkEnd w:id="27"/>
    <w:p>
      <w:pPr>
        <w:ind w:left="80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In connection with the Quarterly Report on Form 10-Q of Matson, Inc. (the “Company”) for the quarterly period ended June 30, 2018,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18" w:lineRule="exact"/>
        <w:rPr>
          <w:sz w:val="20"/>
          <w:szCs w:val="20"/>
          <w:color w:val="auto"/>
        </w:rPr>
      </w:pPr>
    </w:p>
    <w:p>
      <w:pPr>
        <w:ind w:left="860" w:hanging="857"/>
        <w:spacing w:after="0"/>
        <w:tabs>
          <w:tab w:leader="none" w:pos="8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right="500" w:firstLine="3"/>
        <w:spacing w:after="0" w:line="235" w:lineRule="auto"/>
        <w:tabs>
          <w:tab w:leader="none" w:pos="8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Chairman and Chief Executive Officer</w:t>
      </w:r>
    </w:p>
    <w:p>
      <w:pPr>
        <w:spacing w:after="0"/>
        <w:tabs>
          <w:tab w:leader="none" w:pos="600" w:val="left"/>
        </w:tabs>
        <w:rPr>
          <w:sz w:val="20"/>
          <w:szCs w:val="20"/>
          <w:color w:val="auto"/>
        </w:rPr>
      </w:pPr>
      <w:r>
        <w:rPr>
          <w:rFonts w:ascii="Arial" w:cs="Arial" w:eastAsia="Arial" w:hAnsi="Arial"/>
          <w:sz w:val="18"/>
          <w:szCs w:val="18"/>
          <w:color w:val="auto"/>
        </w:rPr>
        <w:t>Date:</w:t>
        <w:tab/>
        <w:t>August 1,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tabs>
          <w:tab w:leader="none" w:pos="600" w:val="left"/>
        </w:tabs>
        <w:rPr>
          <w:sz w:val="20"/>
          <w:szCs w:val="20"/>
          <w:color w:val="auto"/>
        </w:rPr>
      </w:pPr>
      <w:r>
        <w:rPr>
          <w:rFonts w:ascii="Arial" w:cs="Arial" w:eastAsia="Arial" w:hAnsi="Arial"/>
          <w:sz w:val="18"/>
          <w:szCs w:val="18"/>
          <w:color w:val="auto"/>
        </w:rPr>
        <w:t>Date:</w:t>
        <w:tab/>
        <w:t>August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3"/>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decimal"/>
      <w:start w:val="5"/>
    </w:lvl>
  </w:abstractNum>
  <w:abstractNum w:abstractNumId="14">
    <w:nsid w:val="75A2A8D4"/>
    <w:multiLevelType w:val="hybridMultilevel"/>
    <w:lvl w:ilvl="0">
      <w:lvlJc w:val="left"/>
      <w:lvlText w:val="%1."/>
      <w:numFmt w:val="decimal"/>
      <w:start w:val="7"/>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8"/>
    </w:lvl>
  </w:abstractNum>
  <w:abstractNum w:abstractNumId="17">
    <w:nsid w:val="4353D0CD"/>
    <w:multiLevelType w:val="hybridMultilevel"/>
    <w:lvl w:ilvl="0">
      <w:lvlJc w:val="left"/>
      <w:lvlText w:val="%1."/>
      <w:numFmt w:val="decimal"/>
      <w:start w:val="9"/>
    </w:lvl>
  </w:abstractNum>
  <w:abstractNum w:abstractNumId="18">
    <w:nsid w:val="B03E0C6"/>
    <w:multiLevelType w:val="hybridMultilevel"/>
    <w:lvl w:ilvl="0">
      <w:lvlJc w:val="left"/>
      <w:lvlText w:val="%1."/>
      <w:numFmt w:val="decimal"/>
      <w:start w:val="10"/>
    </w:lvl>
  </w:abstractNum>
  <w:abstractNum w:abstractNumId="19">
    <w:nsid w:val="189A769B"/>
    <w:multiLevelType w:val="hybridMultilevel"/>
    <w:lvl w:ilvl="0">
      <w:lvlJc w:val="left"/>
      <w:lvlText w:val="%1."/>
      <w:numFmt w:val="decimal"/>
      <w:start w:val="1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32"/>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decimal"/>
      <w:start w:val="5"/>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decimal"/>
      <w:start w:val="5"/>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2019-12-28T20:49:10Z</dcterms:created>
  <dcterms:modified xsi:type="dcterms:W3CDTF">2019-12-28T20:49:10Z</dcterms:modified>
</cp:coreProperties>
</file>