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20" w:right="1280" w:hanging="306"/>
        <w:spacing w:after="0" w:line="262"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6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29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Matson,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2"/>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Honolulu, HI</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r>
      <w:tr>
        <w:trPr>
          <w:trHeight w:val="234"/>
        </w:trPr>
        <w:tc>
          <w:tcPr>
            <w:tcW w:w="43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68" w:lineRule="exact"/>
        <w:rPr>
          <w:sz w:val="24"/>
          <w:szCs w:val="24"/>
          <w:color w:val="auto"/>
        </w:rPr>
      </w:pPr>
    </w:p>
    <w:p>
      <w:pPr>
        <w:ind w:left="16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2">
            <w:col w:w="6260" w:space="720"/>
            <w:col w:w="3260"/>
          </w:cols>
          <w:pgMar w:left="840" w:top="661" w:right="819" w:bottom="1440" w:gutter="0" w:footer="0" w:header="0"/>
          <w:type w:val="continuous"/>
        </w:sect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5860" w:space="720"/>
            <w:col w:w="3660"/>
          </w:cols>
          <w:pgMar w:left="840" w:top="661" w:right="819" w:bottom="1440" w:gutter="0" w:footer="0" w:header="0"/>
          <w:type w:val="continuous"/>
        </w:sectPr>
      </w:pPr>
    </w:p>
    <w:p>
      <w:pPr>
        <w:ind w:left="658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240"/>
          </w:cols>
          <w:pgMar w:left="840" w:top="661" w:right="819" w:bottom="1440" w:gutter="0" w:footer="0" w:header="0"/>
          <w:type w:val="continuous"/>
        </w:sectPr>
      </w:pPr>
    </w:p>
    <w:p>
      <w:pPr>
        <w:spacing w:after="0" w:line="63" w:lineRule="exact"/>
        <w:rPr>
          <w:sz w:val="24"/>
          <w:szCs w:val="24"/>
          <w:color w:val="auto"/>
        </w:rPr>
      </w:pPr>
    </w:p>
    <w:p>
      <w:pPr>
        <w:ind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ind w:right="10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March 31, 2025: 32,644,844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51435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9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960" w:type="dxa"/>
            <w:vAlign w:val="bottom"/>
            <w:gridSpan w:val="19"/>
            <w:vMerge w:val="continue"/>
          </w:tcPr>
          <w:p>
            <w:pPr>
              <w:spacing w:after="0"/>
              <w:rPr>
                <w:sz w:val="13"/>
                <w:szCs w:val="13"/>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1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w:t>
            </w:r>
          </w:p>
        </w:tc>
        <w:tc>
          <w:tcPr>
            <w:tcW w:w="170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278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Part II—OTHER INFORMATION</w:t>
            </w:r>
          </w:p>
        </w:tc>
        <w:tc>
          <w:tcPr>
            <w:tcW w:w="54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1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6260" w:type="dxa"/>
            <w:vAlign w:val="bottom"/>
            <w:gridSpan w:val="1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r>
      <w:tr>
        <w:trPr>
          <w:trHeight w:val="19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80" w:type="dxa"/>
            <w:vAlign w:val="bottom"/>
          </w:tcPr>
          <w:p>
            <w:pPr>
              <w:spacing w:after="0"/>
              <w:rPr>
                <w:sz w:val="17"/>
                <w:szCs w:val="17"/>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09"/>
        </w:trPr>
        <w:tc>
          <w:tcPr>
            <w:tcW w:w="7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10"/>
        </w:trPr>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16"/>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from SSAT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0"/>
        </w:trPr>
        <w:tc>
          <w:tcPr>
            <w:tcW w:w="7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r>
      <w:tr>
        <w:trPr>
          <w:trHeight w:val="209"/>
        </w:trPr>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196"/>
        </w:trPr>
        <w:tc>
          <w:tcPr>
            <w:tcW w:w="6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 Net of Income Taxes: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7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7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196"/>
        </w:trPr>
        <w:tc>
          <w:tcPr>
            <w:tcW w:w="6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198"/>
        </w:trPr>
        <w:tc>
          <w:tcPr>
            <w:tcW w:w="62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$9.3 million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$9.8 million,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 SSAT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Income from SSAT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SSAT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Vessel construction expenditures</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(66.7)</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(excluding vessel construction expenditures)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 net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interest deposited into the Capital Construction Fund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Repayments of debt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Repurchase of Matson common stock</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(66.9)</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(144.8)</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 and Restricted Cash, End of the Period</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$ 24.7</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$ 296.7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$ 2,337.1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$ 2,652.0</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(67.3)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($0.34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$ 24.5</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$ 284.7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$ 2,330.8</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$ 2,633.2</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$ 25.8</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$ 293.4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$ 2,089.7</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$ 2,400.7</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($0.32 per share)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196"/>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$ 2,077.8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$ 2,373.8</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40" w:hanging="590"/>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in Alaska.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has a 35 percent ownership interest in SSA Terminals, LLC (“SSAT”), a joint venture between Matson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Ventures, Inc., a wholly-owned subsidiary of MatNav, and SSA Ventures, Inc., a subsidiary of Carrix, Inc.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spacing w:after="0" w:line="200" w:lineRule="exact"/>
        <w:rPr>
          <w:sz w:val="20"/>
          <w:szCs w:val="20"/>
          <w:color w:val="auto"/>
        </w:rPr>
      </w:pPr>
    </w:p>
    <w:p>
      <w:pPr>
        <w:spacing w:after="0" w:line="201" w:lineRule="exact"/>
        <w:rPr>
          <w:sz w:val="20"/>
          <w:szCs w:val="20"/>
          <w:color w:val="auto"/>
        </w:rPr>
      </w:pPr>
    </w:p>
    <w:p>
      <w:pPr>
        <w:ind w:left="640" w:hanging="590"/>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SIGNIFICANT ACCOUNTING POLICIES</w:t>
      </w:r>
    </w:p>
    <w:p>
      <w:pPr>
        <w:spacing w:after="0" w:line="225"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3"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2024, filed with the Securities and Exchange Commission (“SEC”) on February 28,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March 31, 2025. The period end for MatNav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covered by this report is March 28, 2025.</w:t>
      </w:r>
    </w:p>
    <w:p>
      <w:pPr>
        <w:spacing w:after="0" w:line="15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2024.</w:t>
      </w:r>
    </w:p>
    <w:p>
      <w:pPr>
        <w:spacing w:after="0" w:line="171"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interim Condensed Consolidated Financial Statements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including estimates for impairment charges; and income taxes. Future results could be materially affected if actual results differ from these estimates and assumptions.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consisted of the following at March 31, 2025 and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w:t>
      </w:r>
    </w:p>
    <w:tbl>
      <w:tblPr>
        <w:tblLayout w:type="fixed"/>
        <w:tblInd w:w="40" w:type="dxa"/>
        <w:tblCellMar>
          <w:top w:w="0" w:type="dxa"/>
          <w:left w:w="0" w:type="dxa"/>
          <w:bottom w:w="0" w:type="dxa"/>
          <w:right w:w="0" w:type="dxa"/>
        </w:tblCellMar>
      </w:tblP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120" w:type="dxa"/>
            <w:vAlign w:val="bottom"/>
          </w:tcPr>
          <w:p>
            <w:pPr>
              <w:spacing w:after="0"/>
              <w:rPr>
                <w:sz w:val="12"/>
                <w:szCs w:val="12"/>
                <w:color w:val="auto"/>
              </w:rPr>
            </w:pPr>
          </w:p>
        </w:tc>
        <w:tc>
          <w:tcPr>
            <w:tcW w:w="10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fuel</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receivables,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2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200" w:type="dxa"/>
            <w:vAlign w:val="bottom"/>
          </w:tcPr>
          <w:p>
            <w:pPr>
              <w:spacing w:after="0"/>
              <w:rPr>
                <w:sz w:val="17"/>
                <w:szCs w:val="17"/>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r>
      <w:tr>
        <w:trPr>
          <w:trHeight w:val="216"/>
        </w:trPr>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0"/>
        </w:trPr>
        <w:tc>
          <w:tcPr>
            <w:tcW w:w="674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81" w:lineRule="exact"/>
        <w:rPr>
          <w:sz w:val="20"/>
          <w:szCs w:val="20"/>
          <w:color w:val="auto"/>
        </w:rPr>
      </w:pPr>
    </w:p>
    <w:p>
      <w:pPr>
        <w:ind w:left="380" w:right="119"/>
        <w:spacing w:after="0" w:line="280" w:lineRule="auto"/>
        <w:rPr>
          <w:sz w:val="20"/>
          <w:szCs w:val="20"/>
          <w:color w:val="auto"/>
        </w:rPr>
      </w:pPr>
      <w:r>
        <w:rPr>
          <w:rFonts w:ascii="Times New Roman" w:cs="Times New Roman" w:eastAsia="Times New Roman" w:hAnsi="Times New Roman"/>
          <w:sz w:val="17"/>
          <w:szCs w:val="17"/>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60"/>
        <w:spacing w:after="0"/>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w:t>
      </w: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are recognized as incurred. In July 2024, the Company discontinued its vessel management and related services.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services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99" w:hanging="330"/>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services revenue categories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159"/>
        <w:spacing w:after="0" w:line="250" w:lineRule="auto"/>
        <w:rPr>
          <w:sz w:val="20"/>
          <w:szCs w:val="20"/>
          <w:color w:val="auto"/>
        </w:rPr>
      </w:pPr>
      <w:r>
        <w:rPr>
          <w:rFonts w:ascii="Times New Roman" w:cs="Times New Roman" w:eastAsia="Times New Roman" w:hAnsi="Times New Roman"/>
          <w:sz w:val="18"/>
          <w:szCs w:val="18"/>
          <w:color w:val="auto"/>
        </w:rPr>
        <w:t>Warehousing services revenue consist of amounts billed to customers for storage, handling, and value-added packaging of customer merchandise. Storage revenue is recognized in the month the service is provided to the customer. Storage related costs are recognized as incurred. Other Warehousing services revenue and related costs are recognized in proportion to the services performed.</w:t>
      </w:r>
    </w:p>
    <w:p>
      <w:pPr>
        <w:spacing w:after="0" w:line="1" w:lineRule="exact"/>
        <w:rPr>
          <w:sz w:val="20"/>
          <w:szCs w:val="20"/>
          <w:color w:val="auto"/>
        </w:rPr>
      </w:pPr>
    </w:p>
    <w:p>
      <w:pPr>
        <w:ind w:left="380" w:right="259"/>
        <w:spacing w:after="0" w:line="260"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Condensed Consolidated Statements of Income and Comprehensive Income.</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as the qualified assets are being readied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intended use. The Company determined that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During the three months ended March 31, 2025 and 2024, the Company capitalized $1.1 million and $0.8 million, respectively, of interest related to the construction of new vessels.</w:t>
      </w:r>
    </w:p>
    <w:p>
      <w:pPr>
        <w:spacing w:after="0" w:line="18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first quarter 2025 cash dividend of $0.34 per share was paid on March 6, 2025. On April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Company’s Board of Directors declared a cash dividend of $0.34 per share payable on June 5, 2025 to shareholders of record on May 8, 2025.</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months ended March 31, 2025, the Company repurchased approximately</w:t>
      </w:r>
    </w:p>
    <w:p>
      <w:pPr>
        <w:spacing w:after="0" w:line="31"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0.5 million shares for a total cost of $69.2 million. As of March 31, 2025, the maximum number of remaining shares that may be repurchased under the Company’s share repurchase program was approximately 3.3 million shares.</w:t>
      </w:r>
    </w:p>
    <w:p>
      <w:pPr>
        <w:spacing w:after="0" w:line="177"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The Company reclassified amortization of deferred loan fees of $0.4 million from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to Other within cash flows from operating activities in the Consolidated Statements of Cash Flows for the three months ended March 31, 2024, to conform to current year cash flow presentation. There were no changes in Net cash provided by operating activities as a result of this reclassification for the three months ended March 31, 2024.</w:t>
      </w:r>
    </w:p>
    <w:p>
      <w:pPr>
        <w:spacing w:after="0" w:line="176" w:lineRule="exact"/>
        <w:rPr>
          <w:sz w:val="20"/>
          <w:szCs w:val="20"/>
          <w:color w:val="auto"/>
        </w:rPr>
      </w:pPr>
    </w:p>
    <w:p>
      <w:pPr>
        <w:jc w:val="both"/>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w:t>
      </w:r>
      <w:r>
        <w:rPr>
          <w:rFonts w:ascii="Times New Roman" w:cs="Times New Roman" w:eastAsia="Times New Roman" w:hAnsi="Times New Roman"/>
          <w:sz w:val="18"/>
          <w:szCs w:val="18"/>
          <w:color w:val="auto"/>
        </w:rPr>
        <w:t>In November 2024, the Financial Accounting Standards Board (“FASB”) issued ASU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2024-03, Income Statement - Reporting Comprehensive Income - Expense Disaggregation Disclosures (Subtopic 220-40): Disaggregation of Income Statement Expenses (“ASU 2024-03”). ASU 2024-03 requires disclosure of certain expenses in the financial statements including employee compensation, depreciation and amortization of intangible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assets on an annual and interim basis. ASU 2024-03 is effective for fiscal years beginning after December 15, 2026 and interim periods within fiscal years beginning after December 15, 2027. ASU 2024-03 can be adopted either:</w:t>
      </w:r>
    </w:p>
    <w:p>
      <w:pPr>
        <w:ind w:left="260" w:hanging="210"/>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prospectively to the financial statements issued for reporting periods after the effective date of the ASU or</w:t>
      </w:r>
    </w:p>
    <w:p>
      <w:pPr>
        <w:spacing w:after="0" w:line="9" w:lineRule="exact"/>
        <w:rPr>
          <w:rFonts w:ascii="Times New Roman" w:cs="Times New Roman" w:eastAsia="Times New Roman" w:hAnsi="Times New Roman"/>
          <w:sz w:val="18"/>
          <w:szCs w:val="18"/>
          <w:color w:val="auto"/>
        </w:rPr>
      </w:pPr>
    </w:p>
    <w:p>
      <w:pPr>
        <w:ind w:left="60" w:right="279" w:hanging="10"/>
        <w:spacing w:after="0" w:line="255"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effects of adopting ASU 2024-03 but does not expect it will have a material impact on the Company’s consolidated financial statements.</w:t>
      </w:r>
    </w:p>
    <w:p>
      <w:pPr>
        <w:spacing w:after="0" w:line="18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adopting ASU 2023-09 but does not expect it to have a material impact on the Company’s consolidated financial statements.</w:t>
      </w:r>
    </w:p>
    <w:p>
      <w:pPr>
        <w:spacing w:after="0" w:line="264" w:lineRule="exact"/>
        <w:rPr>
          <w:sz w:val="20"/>
          <w:szCs w:val="20"/>
          <w:color w:val="auto"/>
        </w:rPr>
      </w:pPr>
    </w:p>
    <w:p>
      <w:pPr>
        <w:ind w:left="640" w:hanging="590"/>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spacing w:after="0" w:line="18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months ended March 31, 2025 and 2024 are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March 31, 2025</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March 31, 2024</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right"/>
              <w:ind w:right="28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ind w:right="34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Transportation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4"/>
              </w:rPr>
              <w:t>Transportation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80" w:type="dxa"/>
            <w:vAlign w:val="bottom"/>
          </w:tcPr>
          <w:p>
            <w:pPr>
              <w:spacing w:after="0"/>
              <w:rPr>
                <w:sz w:val="11"/>
                <w:szCs w:val="11"/>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9"/>
        </w:trPr>
        <w:tc>
          <w:tcPr>
            <w:tcW w:w="28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Operating Revenue (1)(2)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637.4</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144.6</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782.0</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579.0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143.1</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722.1</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Operating costs: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Direct cargo expense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238.2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w:t>
            </w:r>
          </w:p>
        </w:tc>
        <w:tc>
          <w:tcPr>
            <w:tcW w:w="0" w:type="dxa"/>
            <w:vAlign w:val="bottom"/>
          </w:tcPr>
          <w:p>
            <w:pPr>
              <w:spacing w:after="0"/>
              <w:rPr>
                <w:sz w:val="1"/>
                <w:szCs w:val="1"/>
                <w:color w:val="auto"/>
              </w:rPr>
            </w:pPr>
          </w:p>
        </w:tc>
      </w:tr>
      <w:tr>
        <w:trPr>
          <w:trHeight w:val="135"/>
        </w:trPr>
        <w:tc>
          <w:tcPr>
            <w:tcW w:w="308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Vessel operating expense</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Operating overhead (3)</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76.1</w:t>
            </w:r>
          </w:p>
        </w:tc>
        <w:tc>
          <w:tcPr>
            <w:tcW w:w="0" w:type="dxa"/>
            <w:vAlign w:val="bottom"/>
          </w:tcPr>
          <w:p>
            <w:pPr>
              <w:spacing w:after="0"/>
              <w:rPr>
                <w:sz w:val="1"/>
                <w:szCs w:val="1"/>
                <w:color w:val="auto"/>
              </w:rPr>
            </w:pPr>
          </w:p>
        </w:tc>
      </w:tr>
      <w:tr>
        <w:trPr>
          <w:trHeight w:val="135"/>
        </w:trPr>
        <w:tc>
          <w:tcPr>
            <w:tcW w:w="308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Direct operating costs</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40.6</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0" w:type="dxa"/>
            <w:vAlign w:val="bottom"/>
          </w:tcPr>
          <w:p>
            <w:pPr>
              <w:spacing w:after="0"/>
              <w:rPr>
                <w:sz w:val="1"/>
                <w:szCs w:val="1"/>
                <w:color w:val="auto"/>
              </w:rPr>
            </w:pPr>
          </w:p>
        </w:tc>
      </w:tr>
      <w:tr>
        <w:trPr>
          <w:trHeight w:val="128"/>
        </w:trPr>
        <w:tc>
          <w:tcPr>
            <w:tcW w:w="30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operating costs</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509.9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631.1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492.1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612.2</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from SSAT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308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60.5</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59.7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73.4</w:t>
            </w:r>
          </w:p>
        </w:tc>
        <w:tc>
          <w:tcPr>
            <w:tcW w:w="0" w:type="dxa"/>
            <w:vAlign w:val="bottom"/>
          </w:tcPr>
          <w:p>
            <w:pPr>
              <w:spacing w:after="0"/>
              <w:rPr>
                <w:sz w:val="1"/>
                <w:szCs w:val="1"/>
                <w:color w:val="auto"/>
              </w:rPr>
            </w:pPr>
          </w:p>
        </w:tc>
      </w:tr>
      <w:tr>
        <w:trPr>
          <w:trHeight w:val="129"/>
        </w:trPr>
        <w:tc>
          <w:tcPr>
            <w:tcW w:w="308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color w:val="auto"/>
              </w:rPr>
              <w:t>Total Costs and Expenses</w:t>
            </w: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136.1</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699.9</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685.2</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73.6</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line="20" w:lineRule="exact"/>
              <w:rPr>
                <w:sz w:val="1"/>
                <w:szCs w:val="1"/>
                <w:color w:val="auto"/>
              </w:rPr>
            </w:pPr>
          </w:p>
        </w:tc>
      </w:tr>
      <w:tr>
        <w:trPr>
          <w:trHeight w:val="115"/>
        </w:trPr>
        <w:tc>
          <w:tcPr>
            <w:tcW w:w="3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5"/>
        </w:trPr>
        <w:tc>
          <w:tcPr>
            <w:tcW w:w="308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29"/>
        </w:trPr>
        <w:tc>
          <w:tcPr>
            <w:tcW w:w="30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Income before Taxes</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45.3</w:t>
            </w:r>
          </w:p>
        </w:tc>
        <w:tc>
          <w:tcPr>
            <w:tcW w:w="0" w:type="dxa"/>
            <w:vAlign w:val="bottom"/>
          </w:tcPr>
          <w:p>
            <w:pPr>
              <w:spacing w:after="0"/>
              <w:rPr>
                <w:sz w:val="1"/>
                <w:szCs w:val="1"/>
                <w:color w:val="auto"/>
              </w:rPr>
            </w:pPr>
          </w:p>
        </w:tc>
      </w:tr>
      <w:tr>
        <w:trPr>
          <w:trHeight w:val="135"/>
        </w:trPr>
        <w:tc>
          <w:tcPr>
            <w:tcW w:w="30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29"/>
        </w:trPr>
        <w:tc>
          <w:tcPr>
            <w:tcW w:w="308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 Expenditures (4)</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88.1</w:t>
            </w:r>
          </w:p>
        </w:tc>
        <w:tc>
          <w:tcPr>
            <w:tcW w:w="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111125</wp:posOffset>
            </wp:positionV>
            <wp:extent cx="14141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41" w:lineRule="exact"/>
        <w:rPr>
          <w:sz w:val="20"/>
          <w:szCs w:val="20"/>
          <w:color w:val="auto"/>
        </w:rPr>
      </w:pPr>
    </w:p>
    <w:p>
      <w:pPr>
        <w:ind w:left="380" w:right="239" w:hanging="330"/>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$21.4 million and $19.7 million for the three months ended March 31, 2025 and 2024, respectively.</w:t>
      </w:r>
    </w:p>
    <w:p>
      <w:pPr>
        <w:ind w:left="380" w:right="399" w:hanging="330"/>
        <w:spacing w:after="0" w:line="239"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$32.6 million and $26.9 million for the three months ended March 31, 2025 and 2024, respectively.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5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overhead includes dry-docking amortization of $6.6 million and $6.8 million for the three months ended March 31, 2025 and 2024, respectively.</w:t>
      </w:r>
    </w:p>
    <w:p>
      <w:pPr>
        <w:ind w:left="380" w:hanging="330"/>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exclude accrued capital expenditures of $7.6 million and $16.0 million as of March 31, 2025 and 2024, respectively.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Ocean Transportation’s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779" w:hanging="319"/>
        <w:spacing w:after="0" w:line="242" w:lineRule="auto"/>
        <w:tabs>
          <w:tab w:leader="none" w:pos="72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and wharfage, outside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other related costs.</w:t>
      </w:r>
    </w:p>
    <w:p>
      <w:pPr>
        <w:ind w:left="720" w:right="179" w:hanging="319"/>
        <w:spacing w:after="0" w:line="241" w:lineRule="auto"/>
        <w:tabs>
          <w:tab w:leader="none" w:pos="72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lines and related costs; 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expenses; and other vessel operating related expenses.</w:t>
      </w:r>
    </w:p>
    <w:p>
      <w:pPr>
        <w:spacing w:after="0" w:line="1" w:lineRule="exact"/>
        <w:rPr>
          <w:rFonts w:ascii="Courier New" w:cs="Courier New" w:eastAsia="Courier New" w:hAnsi="Courier New"/>
          <w:sz w:val="18"/>
          <w:szCs w:val="18"/>
          <w:color w:val="auto"/>
        </w:rPr>
      </w:pPr>
    </w:p>
    <w:p>
      <w:pPr>
        <w:ind w:left="720" w:right="379" w:hanging="319"/>
        <w:spacing w:after="0" w:line="244" w:lineRule="auto"/>
        <w:tabs>
          <w:tab w:leader="none" w:pos="72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Operating Overhead Expense </w:t>
      </w:r>
      <w:r>
        <w:rPr>
          <w:rFonts w:ascii="Times New Roman" w:cs="Times New Roman" w:eastAsia="Times New Roman" w:hAnsi="Times New Roman"/>
          <w:sz w:val="18"/>
          <w:szCs w:val="18"/>
          <w:color w:val="auto"/>
        </w:rPr>
        <w:t>includes vessel repair and maintenance costs, inactive vessel costs, dry-docking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equipment lease costs, equipment repair costs, vessel insurance, port engineers and other maintenance costs, other vessel and shoreside related overhead and other indirect costs.</w:t>
      </w:r>
    </w:p>
    <w:p>
      <w:pPr>
        <w:spacing w:after="0" w:line="1" w:lineRule="exact"/>
        <w:rPr>
          <w:rFonts w:ascii="Courier New" w:cs="Courier New" w:eastAsia="Courier New" w:hAnsi="Courier New"/>
          <w:sz w:val="18"/>
          <w:szCs w:val="18"/>
          <w:color w:val="auto"/>
        </w:rPr>
      </w:pPr>
    </w:p>
    <w:p>
      <w:pPr>
        <w:ind w:left="720" w:right="419" w:hanging="319"/>
        <w:spacing w:after="0" w:line="241" w:lineRule="auto"/>
        <w:tabs>
          <w:tab w:leader="none" w:pos="72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jc w:val="both"/>
        <w:ind w:left="380" w:right="77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from SSAT </w:t>
      </w:r>
      <w:r>
        <w:rPr>
          <w:rFonts w:ascii="Times New Roman" w:cs="Times New Roman" w:eastAsia="Times New Roman" w:hAnsi="Times New Roman"/>
          <w:sz w:val="18"/>
          <w:szCs w:val="18"/>
          <w:color w:val="auto"/>
        </w:rPr>
        <w:t>includes the Company’s share of income from its equity investment in SSAT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into the Ocean Transportation segment due to the operations of SSAT being an integral part of the Company’s Ocean Transportation business (see Note 4).</w:t>
      </w:r>
    </w:p>
    <w:p>
      <w:pPr>
        <w:spacing w:after="0" w:line="1" w:lineRule="exact"/>
        <w:rPr>
          <w:rFonts w:ascii="Times New Roman" w:cs="Times New Roman" w:eastAsia="Times New Roman" w:hAnsi="Times New Roman"/>
          <w:sz w:val="18"/>
          <w:szCs w:val="18"/>
          <w:color w:val="auto"/>
        </w:rPr>
      </w:pPr>
    </w:p>
    <w:p>
      <w:pPr>
        <w:ind w:left="380" w:right="559" w:hanging="330"/>
        <w:spacing w:after="0" w:line="290" w:lineRule="auto"/>
        <w:tabs>
          <w:tab w:leader="none" w:pos="3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includes employee salaries, wages and other related costs,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computer hardware and software, professional fees and other general and administrative expenses.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Logistics’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139" w:hanging="319"/>
        <w:spacing w:after="0" w:line="245" w:lineRule="auto"/>
        <w:tabs>
          <w:tab w:leader="none" w:pos="720" w:val="left"/>
        </w:tabs>
        <w:numPr>
          <w:ilvl w:val="1"/>
          <w:numId w:val="16"/>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Operating Expense </w:t>
      </w:r>
      <w:r>
        <w:rPr>
          <w:rFonts w:ascii="Times New Roman" w:cs="Times New Roman" w:eastAsia="Times New Roman" w:hAnsi="Times New Roman"/>
          <w:sz w:val="18"/>
          <w:szCs w:val="18"/>
          <w:color w:val="auto"/>
        </w:rPr>
        <w:t>includes transportation costs, transportation brokerage expenses, agency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 warehouses, cross-dock and other facility operating costs, wages and other related costs, and other operating overhead.</w:t>
      </w:r>
    </w:p>
    <w:p>
      <w:pPr>
        <w:ind w:left="720" w:right="419" w:hanging="319"/>
        <w:spacing w:after="0" w:line="241" w:lineRule="auto"/>
        <w:tabs>
          <w:tab w:leader="none" w:pos="720" w:val="left"/>
        </w:tabs>
        <w:numPr>
          <w:ilvl w:val="1"/>
          <w:numId w:val="16"/>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ind w:left="380" w:right="339" w:hanging="330"/>
        <w:spacing w:after="0" w:line="26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includes employee salaries, wages and other related costs, computer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software, professional fees and other general and administrative expenses.</w:t>
      </w:r>
    </w:p>
    <w:p>
      <w:pPr>
        <w:spacing w:after="0" w:line="181"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$54.0 million and $46.6 million for the three months ended March 31, 2025 and 2024, respectively, have been eliminated from consolidated operating revenues. In arrangements where the customer purchases ocean transportation and logistics services, the revenues are allocated to each reportable segment based upon the contractual amounts for each type of service.</w:t>
      </w:r>
    </w:p>
    <w:p>
      <w:pPr>
        <w:spacing w:after="0" w:line="399" w:lineRule="exact"/>
        <w:rPr>
          <w:sz w:val="20"/>
          <w:szCs w:val="20"/>
          <w:color w:val="auto"/>
        </w:rPr>
      </w:pPr>
    </w:p>
    <w:p>
      <w:pPr>
        <w:ind w:left="640" w:hanging="590"/>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The Company’s investment in SSAT is described in Note 4 to the Consolidated Financial Statements included in the Company’s Annual Report on Form 10-K for the year ended December 31, 2024. Condensed income statement information for SSAT for the three months ended March 31, 2025 and 2024 consisted of the following: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6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SSAT’s Net Income (Loss) (1)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Company’s Share of SSAT’s Net Income (Loss) (2)</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and losses from equity method investment held by SSAT less earnings and losses allocated to non-controlling interests.</w:t>
      </w:r>
    </w:p>
    <w:p>
      <w:pPr>
        <w:spacing w:after="0" w:line="3" w:lineRule="exact"/>
        <w:rPr>
          <w:rFonts w:ascii="Times New Roman" w:cs="Times New Roman" w:eastAsia="Times New Roman" w:hAnsi="Times New Roman"/>
          <w:sz w:val="14"/>
          <w:szCs w:val="14"/>
          <w:color w:val="auto"/>
        </w:rPr>
      </w:pPr>
    </w:p>
    <w:p>
      <w:pPr>
        <w:ind w:left="380" w:right="399" w:hanging="330"/>
        <w:spacing w:after="0" w:line="239"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income (loss) from SSAT in costs and expenses in the Condensed Consolidated Statement of Income and Comprehensive Income due to the nature of SSAT’s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Company’s investment in SSAT was $91.0 million and $84.1 million at March 31, 2025 and December 31, 2024, respectively.</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during the three months ended March 31, 2024, the Company recorded an increase in its investment in SSAT of approximately $13.2 million and increase in deferred income taxes of $3.1 million, and a corresponding increase in retained earnings of $10.1 million.</w:t>
      </w:r>
    </w:p>
    <w:p>
      <w:pPr>
        <w:spacing w:after="0" w:line="399" w:lineRule="exact"/>
        <w:rPr>
          <w:sz w:val="20"/>
          <w:szCs w:val="20"/>
          <w:color w:val="auto"/>
        </w:rPr>
      </w:pPr>
    </w:p>
    <w:p>
      <w:pPr>
        <w:ind w:left="640" w:hanging="590"/>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March 31, 2025 and December 31, 2024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equipment and other property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vessel construction in progress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(1,523.1)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New vessel construction in progress at March 31, 2025 and December 31, 2024 includes milestone progress payments, capitalized interest and other costs related to the construction of three new Jones Act vessels.</w:t>
      </w:r>
    </w:p>
    <w:p>
      <w:pPr>
        <w:spacing w:after="0" w:line="374" w:lineRule="exact"/>
        <w:rPr>
          <w:sz w:val="20"/>
          <w:szCs w:val="20"/>
          <w:color w:val="auto"/>
        </w:rPr>
      </w:pPr>
    </w:p>
    <w:p>
      <w:pPr>
        <w:ind w:left="640" w:hanging="590"/>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by segment as of March 31, 2025 and December 31, 2024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76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Ocean</w:t>
            </w:r>
          </w:p>
        </w:tc>
        <w:tc>
          <w:tcPr>
            <w:tcW w:w="180" w:type="dxa"/>
            <w:vAlign w:val="bottom"/>
          </w:tcPr>
          <w:p>
            <w:pPr>
              <w:spacing w:after="0"/>
              <w:rPr>
                <w:sz w:val="13"/>
                <w:szCs w:val="13"/>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8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Intangible assets as of March 31, 2025 and December 31, 2024 consisted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amount of excess of fair value over the carrying value of the reporting units in the 2024 annual impairment tests, the Company concluded that an impairment triggering event did not occur during the three months ended March 31, 2025.</w:t>
      </w:r>
    </w:p>
    <w:p>
      <w:pPr>
        <w:spacing w:after="0" w:line="14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including the impact of tariffs. It is possible that future changes in such circumstances, including future changes in the assumptions and estimates used in assessing the fair value of the reporting unit, could require the Company to record a non-cash impairment charge.</w:t>
      </w:r>
    </w:p>
    <w:p>
      <w:pPr>
        <w:spacing w:after="0" w:line="399" w:lineRule="exact"/>
        <w:rPr>
          <w:sz w:val="20"/>
          <w:szCs w:val="20"/>
          <w:color w:val="auto"/>
        </w:rPr>
      </w:pPr>
    </w:p>
    <w:p>
      <w:pPr>
        <w:ind w:left="640" w:hanging="590"/>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Capital Construction Fund (“CCF”) is described in Note 7 to the Consolidated Financial Statements included in Part II, Item 8 of the Company’s Annual Report on Form 10-K for the year ended December 31, 2024. A summary of the activities within the CCF cash and cash equivalents, and investments account for the three months ended March 31, 2025 and 2024 consisted of the following:</w:t>
      </w:r>
    </w:p>
    <w:tbl>
      <w:tblPr>
        <w:tblLayout w:type="fixed"/>
        <w:tblInd w:w="40" w:type="dxa"/>
        <w:tblCellMar>
          <w:top w:w="0" w:type="dxa"/>
          <w:left w:w="0" w:type="dxa"/>
          <w:bottom w:w="0" w:type="dxa"/>
          <w:right w:w="0" w:type="dxa"/>
        </w:tblCellMar>
      </w:tblPr>
      <w:tr>
        <w:trPr>
          <w:trHeight w:val="140"/>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340"/>
              <w:spacing w:after="0" w:line="14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cash and cash equivalents balance at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withdrawal for the purchase of U.S. Treasury debt securities and accrued interest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U.S. Treasury debt securities at maturity</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on cash and cash equivalents, and CCF investments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Repurchase of assigned accounts receivable</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Qualifying withdrawal payments out of the CCF</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(65.0)</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CCF cash and cash equivalents balance at end of period</w:t>
            </w: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CCF Investments: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CCF investments balance at beginning of period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U.S. Treasury debt securities</w:t>
            </w:r>
          </w:p>
        </w:tc>
        <w:tc>
          <w:tcPr>
            <w:tcW w:w="2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Withdrawals of U.S. Treasury debt securities at maturity</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(20.3)</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Accretion of investments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CCF investments balance at end of period</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CCF cash and cash equivalents, and investments balance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Cash and Cash Equivalents: </w:t>
      </w:r>
      <w:r>
        <w:rPr>
          <w:rFonts w:ascii="Times New Roman" w:cs="Times New Roman" w:eastAsia="Times New Roman" w:hAnsi="Times New Roman"/>
          <w:sz w:val="18"/>
          <w:szCs w:val="18"/>
          <w:color w:val="auto"/>
        </w:rPr>
        <w:t>Cash on deposit in the CCF account is invested in a short-term U.S. Treasury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fund with daily liquidity. At March 31, 2025, these short-term securities had a weighted average life of 89 days.</w:t>
      </w:r>
    </w:p>
    <w:p>
      <w:pPr>
        <w:spacing w:after="0" w:line="17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Investments: </w:t>
      </w:r>
      <w:r>
        <w:rPr>
          <w:rFonts w:ascii="Times New Roman" w:cs="Times New Roman" w:eastAsia="Times New Roman" w:hAnsi="Times New Roman"/>
          <w:sz w:val="18"/>
          <w:szCs w:val="18"/>
          <w:color w:val="auto"/>
        </w:rPr>
        <w:t>In February 2024, the Company purchased approximately $448.1 million of fixed-rate U.S. Treasuries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accrued interest of $1.7 million using CCF cash. The fixed-rate debt securities were purchased at a discount and have various maturity dates of less than 2 years. The cost of these investments accretes to face value on a straight-line basis until maturity. Such accretion is included in interest income in the Condensed Consolidated Statements of Income and Comprehensive Income.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2025, CCF investments maturities are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9"/>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CCF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CCF cash and cash equivalents, and investments are classified as a long-term asset on the Company’s Condensed Consolidated Balance Sheets as the Company intends to use withdrawals to fund qualified milestone progress payments for the construction of three new Jones Act vessels.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CCF Assigned Accounts Receivable: </w:t>
      </w:r>
      <w:r>
        <w:rPr>
          <w:rFonts w:ascii="Times New Roman" w:cs="Times New Roman" w:eastAsia="Times New Roman" w:hAnsi="Times New Roman"/>
          <w:sz w:val="18"/>
          <w:szCs w:val="18"/>
          <w:color w:val="auto"/>
        </w:rPr>
        <w:t>As of March 31, 2025 and December 31, 2024, eligible accounts receivable of</w:t>
      </w:r>
    </w:p>
    <w:p>
      <w:pPr>
        <w:spacing w:after="0" w:line="31"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$79.2 million and $178.1 million were assigned to the CCF, respectively. Due to the nature of the assignment of eligible accounts receivable into the CCF, such assigned amounts are classified as part of accounts receivable in the Condensed Consolidated Balance Sheets.</w:t>
      </w:r>
    </w:p>
    <w:p>
      <w:pPr>
        <w:spacing w:after="0" w:line="398" w:lineRule="exact"/>
        <w:rPr>
          <w:sz w:val="20"/>
          <w:szCs w:val="20"/>
          <w:color w:val="auto"/>
        </w:rPr>
      </w:pPr>
    </w:p>
    <w:p>
      <w:pPr>
        <w:ind w:left="640" w:hanging="590"/>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2025 and December 31, 2024, the Company’s debt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XI Debt: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loan fees</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Company’s debt is described in Note 8 to the Consolidated Financial Statements included in the Company’s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The Company’s revolving credit facility has committed available borrowing of up to</w:t>
      </w:r>
    </w:p>
    <w:p>
      <w:pPr>
        <w:spacing w:after="0" w:line="31" w:lineRule="exact"/>
        <w:rPr>
          <w:sz w:val="20"/>
          <w:szCs w:val="20"/>
          <w:color w:val="auto"/>
        </w:rPr>
      </w:pPr>
    </w:p>
    <w:p>
      <w:pPr>
        <w:ind w:left="60" w:right="259" w:firstLine="45"/>
        <w:spacing w:after="0" w:line="253" w:lineRule="auto"/>
        <w:rPr>
          <w:sz w:val="20"/>
          <w:szCs w:val="20"/>
          <w:color w:val="auto"/>
        </w:rPr>
      </w:pPr>
      <w:r>
        <w:rPr>
          <w:rFonts w:ascii="Times New Roman" w:cs="Times New Roman" w:eastAsia="Times New Roman" w:hAnsi="Times New Roman"/>
          <w:sz w:val="18"/>
          <w:szCs w:val="18"/>
          <w:color w:val="auto"/>
        </w:rPr>
        <w:t>$650 million and matures on March 31, 2026. As of March 31, 2025, the Company had $643.9 million of remaining borrowing availability under the revolving credit facility. The Company used $6.1 million of the revolving credit facility for letters of credit outstanding as of March 31, 2025. There were no outstanding borrowings under the revolving credit facility as of March 31, 2025 and December 31, 2024.</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was unsecured, except for the Title XI debt.</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As of March 31, 2025, debt maturities are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20" w:type="dxa"/>
            <w:vAlign w:val="bottom"/>
          </w:tcPr>
          <w:p>
            <w:pPr>
              <w:spacing w:after="0"/>
              <w:rPr>
                <w:sz w:val="13"/>
                <w:szCs w:val="13"/>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Company’s leases are described in Note 9 to the Consolidated Financial Statements included in Part II, Item 8 of the Company’s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and Comprehensive Income for the three months ended March 31, 2025 and 2024 consisted of the following:</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6"/>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2025 are as follows:</w:t>
            </w: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20" w:hanging="670"/>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hanging="670"/>
        <w:spacing w:after="0"/>
        <w:tabs>
          <w:tab w:leader="none" w:pos="7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and cash equivalents, and CCF cash and cash equivalents and investments, and Level 2 inputs for fixed rate debt. The fair values of cash and cash equivalents, and cash and cash equivalents in the CCF approximate their carrying values due to the nature of the instruments. The fair value of investments in the CCF is calculated based upon quoted prices available in active markets. The fair value of fixed rate debt is calculated based upon interest rates available for debt with terms and maturities similar to the Company’s existing debt arrangements.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March 31, 2025 and December 31, 2024 are as follows:</w:t>
      </w:r>
    </w:p>
    <w:tbl>
      <w:tblPr>
        <w:tblLayout w:type="fixed"/>
        <w:tblInd w:w="4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02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80" w:type="dxa"/>
            <w:vAlign w:val="bottom"/>
            <w:gridSpan w:val="9"/>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Measurements at March 31, 2025</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37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720" w:hanging="670"/>
        <w:spacing w:after="0"/>
        <w:tabs>
          <w:tab w:leader="none" w:pos="7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March 31, 2025 and 2024.</w:t>
      </w:r>
    </w:p>
    <w:p>
      <w:pPr>
        <w:spacing w:after="0" w:line="180"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three months ended March 31, 2025 and 2024 are as follows:</w:t>
      </w:r>
    </w:p>
    <w:tbl>
      <w:tblPr>
        <w:tblLayout w:type="fixed"/>
        <w:tblInd w:w="40" w:type="dxa"/>
        <w:tblCellMar>
          <w:top w:w="0" w:type="dxa"/>
          <w:left w:w="0" w:type="dxa"/>
          <w:bottom w:w="0" w:type="dxa"/>
          <w:right w:w="0" w:type="dxa"/>
        </w:tblCellMar>
      </w:tblP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gridSpan w:val="7"/>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2025</w:t>
            </w:r>
          </w:p>
        </w:tc>
        <w:tc>
          <w:tcPr>
            <w:tcW w:w="160" w:type="dxa"/>
            <w:vAlign w:val="bottom"/>
          </w:tcPr>
          <w:p>
            <w:pPr>
              <w:spacing w:after="0"/>
              <w:rPr>
                <w:sz w:val="11"/>
                <w:szCs w:val="11"/>
                <w:color w:val="auto"/>
              </w:rPr>
            </w:pPr>
          </w:p>
        </w:tc>
        <w:tc>
          <w:tcPr>
            <w:tcW w:w="2640" w:type="dxa"/>
            <w:vAlign w:val="bottom"/>
            <w:gridSpan w:val="7"/>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2024</w:t>
            </w:r>
          </w:p>
        </w:tc>
      </w:tr>
      <w:tr>
        <w:trPr>
          <w:trHeight w:val="99"/>
        </w:trPr>
        <w:tc>
          <w:tcPr>
            <w:tcW w:w="3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78"/>
              <w:spacing w:after="0" w:line="10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ind w:right="180"/>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center"/>
              <w:ind w:right="98"/>
              <w:spacing w:after="0" w:line="10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20" w:type="dxa"/>
            <w:vAlign w:val="bottom"/>
          </w:tcPr>
          <w:p>
            <w:pPr>
              <w:spacing w:after="0"/>
              <w:rPr>
                <w:sz w:val="8"/>
                <w:szCs w:val="8"/>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10"/>
                <w:szCs w:val="10"/>
                <w:color w:val="auto"/>
              </w:rPr>
            </w:pPr>
          </w:p>
        </w:tc>
        <w:tc>
          <w:tcPr>
            <w:tcW w:w="94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60" w:type="dxa"/>
            <w:vAlign w:val="bottom"/>
          </w:tcPr>
          <w:p>
            <w:pPr>
              <w:spacing w:after="0"/>
              <w:rPr>
                <w:sz w:val="10"/>
                <w:szCs w:val="10"/>
                <w:color w:val="auto"/>
              </w:rPr>
            </w:pPr>
          </w:p>
        </w:tc>
        <w:tc>
          <w:tcPr>
            <w:tcW w:w="7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40" w:type="dxa"/>
            <w:vAlign w:val="bottom"/>
          </w:tcPr>
          <w:p>
            <w:pPr>
              <w:spacing w:after="0"/>
              <w:rPr>
                <w:sz w:val="10"/>
                <w:szCs w:val="10"/>
                <w:color w:val="auto"/>
              </w:rPr>
            </w:pPr>
          </w:p>
        </w:tc>
        <w:tc>
          <w:tcPr>
            <w:tcW w:w="94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60" w:type="dxa"/>
            <w:vAlign w:val="bottom"/>
          </w:tcPr>
          <w:p>
            <w:pPr>
              <w:spacing w:after="0"/>
              <w:rPr>
                <w:sz w:val="10"/>
                <w:szCs w:val="10"/>
                <w:color w:val="auto"/>
              </w:rPr>
            </w:pPr>
          </w:p>
        </w:tc>
        <w:tc>
          <w:tcPr>
            <w:tcW w:w="88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8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60" w:type="dxa"/>
            <w:vAlign w:val="bottom"/>
          </w:tcPr>
          <w:p>
            <w:pPr>
              <w:spacing w:after="0"/>
              <w:rPr>
                <w:sz w:val="10"/>
                <w:szCs w:val="10"/>
                <w:color w:val="auto"/>
              </w:rPr>
            </w:pPr>
          </w:p>
        </w:tc>
        <w:tc>
          <w:tcPr>
            <w:tcW w:w="7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w:t>
            </w:r>
          </w:p>
        </w:tc>
      </w:tr>
      <w:tr>
        <w:trPr>
          <w:trHeight w:val="137"/>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160" w:type="dxa"/>
            <w:vAlign w:val="bottom"/>
          </w:tcPr>
          <w:p>
            <w:pPr>
              <w:spacing w:after="0"/>
              <w:rPr>
                <w:sz w:val="11"/>
                <w:szCs w:val="11"/>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40" w:type="dxa"/>
            <w:vAlign w:val="bottom"/>
          </w:tcPr>
          <w:p>
            <w:pPr>
              <w:spacing w:after="0"/>
              <w:rPr>
                <w:sz w:val="11"/>
                <w:szCs w:val="11"/>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142"/>
        </w:trPr>
        <w:tc>
          <w:tcPr>
            <w:tcW w:w="30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72.3</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2"/>
                <w:szCs w:val="12"/>
                <w:color w:val="auto"/>
              </w:rPr>
            </w:pPr>
          </w:p>
        </w:tc>
      </w:tr>
      <w:tr>
        <w:trPr>
          <w:trHeight w:val="149"/>
        </w:trPr>
        <w:tc>
          <w:tcPr>
            <w:tcW w:w="3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Effect of Dilutive Securities:</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2"/>
                <w:szCs w:val="12"/>
                <w:color w:val="auto"/>
              </w:rPr>
            </w:pPr>
          </w:p>
        </w:tc>
      </w:tr>
      <w:tr>
        <w:trPr>
          <w:trHeight w:val="142"/>
        </w:trPr>
        <w:tc>
          <w:tcPr>
            <w:tcW w:w="316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time-based restricted stock units and performance-based shares to certain of its employees totaling approximately 133,200 shares with a combined weighted average grant date fair value of $143.66 per share.</w:t>
      </w:r>
    </w:p>
    <w:p>
      <w:pPr>
        <w:spacing w:after="0" w:line="8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general and administrative expenses was $5.8 million and $5.7 million for the three months ended March 31, 2025 and 2024, respectively. Total unrecognized compensation cost related to unvested share-based compensation arrangements was $38.5 million at March 31, 2025, and is expected to be recognized over a weighted average period of approximately 1.9 years. Total unrecognized compensation cost may be adjusted for any unearned performance shares or forfeited shares.</w:t>
      </w:r>
    </w:p>
    <w:p>
      <w:pPr>
        <w:spacing w:after="0" w:line="399" w:lineRule="exact"/>
        <w:rPr>
          <w:sz w:val="20"/>
          <w:szCs w:val="20"/>
          <w:color w:val="auto"/>
        </w:rPr>
      </w:pPr>
    </w:p>
    <w:p>
      <w:pPr>
        <w:ind w:left="720" w:hanging="670"/>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left="60" w:right="459"/>
        <w:spacing w:after="0" w:line="258"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2024. Components of net periodic benefit cost and other amounts recognized in Other Comprehensive Income (Loss) for the qualified pension plans and the post-retirement benefit plans for the three months ended March 31, 2025 and 2024 consisted of the following:</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3"/>
                <w:szCs w:val="13"/>
                <w:color w:val="auto"/>
              </w:rPr>
            </w:pPr>
          </w:p>
        </w:tc>
        <w:tc>
          <w:tcPr>
            <w:tcW w:w="18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720" w:hanging="670"/>
        <w:spacing w:after="0"/>
        <w:tabs>
          <w:tab w:leader="none" w:pos="7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90"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2025 or future years, including such references included under “First Quarter 2025 Discussion and Outlook for 2025,” as well as statements generally identified through the inclusion of words such as “anticipate,” “believe,” “can,” “commit,” “estimate,” “expect,” “goal,”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II, Item 1A under the caption “Risk Factors” below.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29">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 the Company’s reports on Forms 10-Q and 8-K, and other publicly available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2025 DISCUSSION AND OUTLOOK FOR 2025</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first quarter 2025 was 3.2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year-over-year. The increase was primarily due to the dry-docking of a competitor’s vessel. The Hawaii economy remains stable with low unemployment, strong construction activity, and stable tourism, offset by challenging population growth and high inflation and interest rates. The Company expects volume in 2025 to be comparable to the level achieved in 2024, reflecting modest economic growth in Hawaii and stable market share.</w:t>
      </w:r>
    </w:p>
    <w:p>
      <w:pPr>
        <w:spacing w:after="0" w:line="18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China, the Company achieved significantly higher freight rates in the first quarter 2025 compared to the year ago period. The year-over-year increase benefitted from the carryover of elevated freight rates from the fourth quarter of 2024. Container volume in the first quarter 2025 decreased 1.4 percent year-over-year. Currently, there is significant uncertainty regarding tariffs and global trade, regulatory measures, the trajectory of the U.S. economy and other geopolitical factors. Since the tariffs were implemented in April, the Company’s container volume has declined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approximately 30 percent year-over-year. Given the pronounced market decline in demand in the Transpacific in April, coupled with limited visibility to the Company’s container demand, the Company expects container volume and average freight rates in the second quarter to be lower year-over-year. For full year 2025, the Company also expects container volume and average freight rates to be lower year-over-year.</w:t>
      </w:r>
    </w:p>
    <w:p>
      <w:pPr>
        <w:spacing w:after="0" w:line="180"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Guam, the Company’s container volume in the first quarter 2025 decreased 14.3 percent year-over-year. The decrease was primarily due to lower demand from retail and food and beverage segments. In the near term, the Company expects Guam’s economy to remain stable with a slow recovery in tourism, a low unemployment rate, and some increase in construction activity. For 2025, the Company expects volume to approach the level achieved last year.</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first quarter 2025 increased 4.8 percent year-over-year. The increase was primarily due to higher northbound volume, partially offset by an additional sailing in the year ago period. In the near term, the Company expects continued economic growth in Alaska supported by a low unemployment rate, jobs growth and continued oil and gas exploration and production activity. For 2025, the Company expects volume to be comparable to the level achieved last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contribution in the first quarter 2025 from the Company’s SSAT joint venture investment was $6.6 million, or</w:t>
      </w:r>
    </w:p>
    <w:p>
      <w:pPr>
        <w:spacing w:after="0" w:line="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$6.2 million higher than first quarter 2024. The increase was primarily due to higher lift volume. For 2025, the Company expects the contribution from SSAT to be lower than the $17.4 million achieved last year without taking into account the $18.4 million impairment charge at SSAT during the fourth quarter 2024.</w:t>
      </w:r>
    </w:p>
    <w:p>
      <w:pPr>
        <w:spacing w:after="0" w:line="18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Based on the outlook trends noted above, along with significant uncertainty regarding tariffs and global trade, regulatory measures, the trajectory of the U.S. economy and other geopolitical factors, the Company expects Ocean Transportation operating income for the second quarter 2025 to be meaningfully lower than the level achieved in the same period last year. For full year 2025, the Company expects Ocean Transportation operating income to be lower than the level achieved in the prior year, with the amount dependent on the impact and timing of the global trade and macroeconomic uncertainties described above.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first quarter 2025, operating income for the Company’s Logistics segment was $8.5 million, or</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$0.8 million lower compared to the level achieved in the first quarter 2024. The decrease was primarily due to a lower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contribution from freight forwarding and transportation brokerage, partially offset by a higher contribution from supply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chain management. For the second quarter 2025, the Company expects Logistics operating income to be lower than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$15.6 million achieved in the second quarter 2024. For full year 2025, the Company expects Logistics operating income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 lower than the level achieved in the prior year due to a challenging environment for all the business lines.</w:t>
      </w:r>
    </w:p>
    <w:p>
      <w:pPr>
        <w:spacing w:after="0" w:line="20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Income: </w:t>
      </w:r>
      <w:r>
        <w:rPr>
          <w:rFonts w:ascii="Times New Roman" w:cs="Times New Roman" w:eastAsia="Times New Roman" w:hAnsi="Times New Roman"/>
          <w:sz w:val="18"/>
          <w:szCs w:val="18"/>
          <w:color w:val="auto"/>
        </w:rPr>
        <w:t>For the second quarter 2025, the Company expects consolidated operating income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meaningfully lower than the $124.6 million achieved in the second quarter 2024. For full year 2025, the Company expects consolidated operating income to be lower than the $551.3 million achieved in 2024 due to the uncertain global trade and macroeconomic environment.</w:t>
      </w:r>
    </w:p>
    <w:p>
      <w:pPr>
        <w:spacing w:after="0" w:line="180"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full year 2025,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$200 million, inclusive of dry-docking amortization of approximately $26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Company expects interest income for the full year 2025 to be approximately $31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2025 to be approximately $7 million.</w:t>
      </w:r>
    </w:p>
    <w:p>
      <w:pPr>
        <w:spacing w:after="0" w:line="225"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2025 other income (expense) to be approximately $9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the amortization of certain components of net periodic benefit costs or gains related to the Company’s pension and post-retirement plans.</w:t>
      </w:r>
    </w:p>
    <w:p>
      <w:pPr>
        <w:spacing w:after="0" w:line="173"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first quarter 2025, the Company’s effective tax rate was 21.6 percent. For the full year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its effective tax rate to be approximately 23.0 percent.</w:t>
      </w:r>
    </w:p>
    <w:p>
      <w:pPr>
        <w:spacing w:after="0" w:line="158"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For the first quarter 2025, the Company made capital expenditure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new vessel construction expenditures of $22.5 million, new vessel construction expenditures (including capitalized interest and owner’s items) of $66.7 million, and dry-docking payments of $10.4 million. For the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full year 2025, the Company expects to make other capital expenditure payments, including maintenance capital expenditures, of approximately $100 to $120 million, new vessel construction expenditures (including capitalized interest and owner’s items) of approximately $305 million, and dry-docking payments of approximately $40 million.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Three months ended March 31, 2025 compared with 2024:</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(685.2)</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103.5 %</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0" w:type="dxa"/>
            <w:vAlign w:val="bottom"/>
          </w:tcPr>
          <w:p>
            <w:pPr>
              <w:spacing w:after="0"/>
              <w:rPr>
                <w:sz w:val="1"/>
                <w:szCs w:val="1"/>
                <w:color w:val="auto"/>
              </w:rPr>
            </w:pPr>
          </w:p>
        </w:tc>
      </w:tr>
      <w:tr>
        <w:trPr>
          <w:trHeight w:val="432"/>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March 31, 2025, compared to the three months ended March 31, 2024, was due to increased amounts of cash and cash equivalent, and CCF funds that were invested in interest bearing accounts during the three months ended March 31, 2025.</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2025, compared to the three months ended March 31, 2024, was due to lower outstanding debt during the period, and a higher offset of capitalized interest related to the construction of new vessels.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Income tax expense was $19.9 million, or 21.6 percent of income before taxes, for the three months ended March 31, 2025, compared to $9.2 million, or 20.3 percent of income before taxes, for the three months ended March 31, 2024. The increase in the effective tax rate for the three months ended March 31, 2025 was due to higher discrete tax adjustments recorded during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Three months ended March 31, 2025 compared with 2024:</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(551.4)</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 containers (2)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containers (3)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79" w:hanging="330"/>
        <w:spacing w:after="0" w:line="233"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line="22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transshipped in China from other Asian ports.</w:t>
      </w:r>
    </w:p>
    <w:p>
      <w:pPr>
        <w:ind w:left="380" w:hanging="330"/>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24"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Ocean Transportation revenue increased $58.4 million, or 10.1 percent, during the three months ended March 31, 2025, compared with the three months ended March 31, 2024. The increase was primarily due to significantly higher freight rates in China.</w:t>
      </w:r>
    </w:p>
    <w:p>
      <w:pPr>
        <w:spacing w:after="0" w:line="10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a year-over-year FEU basis, Hawaii container volume increased 3.2 percent primarily due to the dry-docking of a competitor’s vessel; Alaska volume increased 4.8 percent primarily due to higher northbound volume, partially offset by an additional sailing in the year ago period; China volume was 1.4 percent lower; Guam volume decreased 14.3 percent primarily due to lower demand from retail and food and beverage segments; and Other containers volume decreased 5.6 percent.</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Ocean Transportation operating income increased $46.0 million, or 166.7 percent, during the three months ended</w:t>
      </w:r>
    </w:p>
    <w:p>
      <w:pPr>
        <w:spacing w:after="0" w:line="2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March 31, 2025, compared with the three months ended March 31, 2024. The increase was primarily due to significantly higher freight rates in China and a higher contribution from SSAT, partially offset by higher direct cargo expense and operating overhead costs.</w:t>
      </w:r>
    </w:p>
    <w:p>
      <w:pPr>
        <w:spacing w:after="0" w:line="11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had an income of $6.6 million during the three months ended March 31, 2025, compared to income of $0.4 million during the three months ended March 31, 2024. The increase was primarily driven by higher lift volume.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 Three months ended March 31, 2025 compared with 2024:</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(133.8)</w:t>
            </w:r>
          </w:p>
        </w:tc>
        <w:tc>
          <w:tcPr>
            <w:tcW w:w="1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(8.6)%</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Logistics revenue increased $1.5 million, or 1.0 percent, during the three months ended March 31, 2025, compared with the three months ended March 31, 2024. The increase was primarily due to higher revenue in freight forwarding and supply chain management, partially offset by lower revenue from transportation brokerage.</w:t>
      </w:r>
    </w:p>
    <w:p>
      <w:pPr>
        <w:spacing w:after="0" w:line="176"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Logistics operating income decreased $0.8 million, or 8.6 percent, during the three months ended March 31, 2025, compared with the three months ended March 31, 2024. The decrease was primarily due to a lower contribution from freight forwarding and transportation brokerage, partially offset by a higher contribution from supply chain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Sources of liquidity available to the Company as of March 31, 2025 compared to December 31, 2024 were as follows:</w:t>
      </w:r>
    </w:p>
    <w:p>
      <w:pPr>
        <w:spacing w:after="0" w:line="22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Accounts Receivable and CCF: </w:t>
      </w:r>
      <w:r>
        <w:rPr>
          <w:rFonts w:ascii="Times New Roman" w:cs="Times New Roman" w:eastAsia="Times New Roman" w:hAnsi="Times New Roman"/>
          <w:sz w:val="18"/>
          <w:szCs w:val="18"/>
          <w:color w:val="auto"/>
        </w:rPr>
        <w:t>Cash and cash equivalents, accounts receivable and CCF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March 31, 2025 compared to December 31, 2024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receivable, net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equivalents, and investments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659" w:hanging="330"/>
        <w:spacing w:after="0" w:line="26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and December 31, 2024, $79.2 million and $178.1 million of eligible accounts receivable were assigned to the CCF, respectively.</w:t>
      </w:r>
    </w:p>
    <w:p>
      <w:pPr>
        <w:spacing w:after="0" w:line="16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Changes in the Company’s cash and cash equivalents for the three months ended March 31, 2025, compared to the three months ended March 31, 2024,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(2)</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(129.4)</w:t>
            </w:r>
          </w:p>
        </w:tc>
        <w:tc>
          <w:tcPr>
            <w:tcW w:w="1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(104.4)</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Changes in net cash provided by operating activities:</w:t>
      </w:r>
    </w:p>
    <w:p>
      <w:pPr>
        <w:spacing w:after="0" w:line="214"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three months ended March 31, 2025, compared to the three months ended March 31, 2024,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 from SSAT,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was $72.3 million for the three months ended March 31, 2025, compared to $36.1 million for the three months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March 31, 2024. Income from SSAT was $6.6 million for the three months ended March 31, 2025, compared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$0.4 million for the three months ended March 31, 2024. The increase in income from SSAT was primarily due to higher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lift volume during the three months ended March 31, 2025, compared to the same prior year period.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$14.0 million of cash distributions from SSAT during the three months ended March 31, 2024. No cash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distributions were received from SSAT during the three months ended March 31, 2025. Cash distributions from SSAT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dependent on the level of cash available for distribution after SSAT’s operational and capital needs. Changes in accounts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receivable were primarily due to the timing of collections associated with those receivables. Changes in prepaid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other assets were primarily due to an increase in vessel fuel. Changes in accounts payable, accruals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liabilities were due to the timing of payments associated with those liabilities. Changes in operating lease assets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liabilities were primarily due to new operating lease additions and renewals, offset by operating 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payments and terminations during the three months ended March 31, 2025, compared to the same prior year period. Deferred dry-docking payments for the three months ended March 31, 2025 were $10.4 million, compared to $5.2 million for the three months ended March 31, 2024. Changes in deferred dry-docking is primarily due to the timing of vessel dry-dock related activities and the payments associated with those activities.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 Changes in net cash used in investing activities:</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three months ended March 31, 2025, compared to the three months ended March 31, 2024, were due to the following: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construction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r>
              <w:rPr>
                <w:rFonts w:ascii="Times New Roman" w:cs="Times New Roman" w:eastAsia="Times New Roman" w:hAnsi="Times New Roman"/>
                <w:sz w:val="18"/>
                <w:szCs w:val="18"/>
                <w:u w:val="single" w:color="auto"/>
                <w:color w:val="auto"/>
              </w:rPr>
              <w:t>4)</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deposited $105.4 million of cash and interest into the CCF and made $65.0 million of qualifying withdrawal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out of the CCF during the three months ended March 31, 2025. The Company deposited $6.0 million of interest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into the CCF, and did not make any qualifying withdrawal payments out of the CCF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Cash and cash equivalents, and investments in the CCF are intended to fund milestone payments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construction of three new Jones Act vessels. Vessel construction expenditures (including capitalized interest) were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$66.7 million for the three months ended March 31, 2025, compared to $1.1 million for the three months ended March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Vessel construction expenditures relate to milestone payments and capitalized interest for the construction of three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Jones Act vessels. Maintenance and other capital expenditures payments were $22.5 million for the three months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March 31, 2025, compared to $54.2 million for the three months ended March 31, 2024. Maintenance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primarily relate to vessel related expenditures, the acquisition of containers, chassis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equipment, and expenditures on other capital related projects. The decrease in maintenance and other capital expenditure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for the three months ended March 31, 2025, compared to the same prior year period primarily related to the timing of when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vessel maintenance activities are performed and when other capital related projects are incurred.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Changes in net cash used in financing activities:</w:t>
      </w:r>
    </w:p>
    <w:p>
      <w:pPr>
        <w:spacing w:after="0" w:line="22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Changes in net cash used in financing activities for the three months ended March 31, 2025, compared to the three months ended March 31, 2024,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withheld for taxes related to settlement of restricted stock units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7)</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paid $66.9 million to repurchase Matson common stock,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$47.3 million during the three months ended March 31, 2024. During the three months ended March 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the Company paid $10.1 million in scheduled fixed interest debt payments, compared to $10.1 million during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2024. During the three months ended March 31, 2025, the Company paid $16.1 million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withholding taxes related to vested restricted stock units, compared to $17.2 million during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During the three months ended March 31, 2025, the Company paid $11.3 million in dividends, compared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$11.1 million during the three months ended March 31, 2024. The increase in dividend payments was due to an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dividends declared per share of common stock by the Company, offset by a reduction in common stock outstanding.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Company’s CCF is described in Note 7 of Part I, Item 1 above. CCF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and CCF investments as of March 31, 2025 and December 31, 2024 are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CCF Investments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CCF cash and cash equivalents, and CCF investments are intended to fund milestone payments for the construction of three new Jones Act vessels.</w:t>
      </w:r>
    </w:p>
    <w:p>
      <w:pPr>
        <w:spacing w:after="0" w:line="15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Company’s debt is described in Note 8 of Part I, Item 1 above. The Company utilizes a mix of fixed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debt for liquidity and to fund the Company’s operations. Total Debt as of March 31, 2025 and December 31, 2024 is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(excluding deferred loan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Total Debt decreased by $10.1 million during the three months ended March 31, 2025, compared to December 31, 2024, due to scheduled fixed interest debt repayments.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$643.9 million of remaining borrowing availability under the revolving credit facility, with a maturity date of March 31, 2026.</w:t>
      </w:r>
    </w:p>
    <w:p>
      <w:pPr>
        <w:spacing w:after="0" w:line="158" w:lineRule="exact"/>
        <w:rPr>
          <w:sz w:val="20"/>
          <w:szCs w:val="20"/>
          <w:color w:val="auto"/>
        </w:rPr>
      </w:pPr>
    </w:p>
    <w:p>
      <w:pPr>
        <w:ind w:left="60" w:right="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Working Capital: </w:t>
      </w:r>
      <w:r>
        <w:rPr>
          <w:rFonts w:ascii="Times New Roman" w:cs="Times New Roman" w:eastAsia="Times New Roman" w:hAnsi="Times New Roman"/>
          <w:sz w:val="17"/>
          <w:szCs w:val="17"/>
          <w:color w:val="auto"/>
        </w:rPr>
        <w:t>The Company had a working capital deficit of $78.4 million at March 31, 2025, compared to a working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surplus of $49.2 million at December 31, 2024.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March 31, 2025, compared to December 31, 2024 is primarily due to cash deposited into the CCF during the three months ended March 31, 2025.</w:t>
      </w:r>
    </w:p>
    <w:p>
      <w:pPr>
        <w:spacing w:after="0" w:line="168" w:lineRule="exact"/>
        <w:rPr>
          <w:sz w:val="20"/>
          <w:szCs w:val="20"/>
          <w:color w:val="auto"/>
        </w:rPr>
      </w:pPr>
    </w:p>
    <w:p>
      <w:pPr>
        <w:ind w:left="60" w:right="1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Except as described below, during the three months ended March 31, 2025, there were no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changes to the Company’s expected capital expenditures for the years ending December 31, 2025 and 2026 that are described in Part II, Item 7 of the Company’s </w:t>
      </w:r>
      <w:hyperlink r:id="rId29">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0" w:right="259"/>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During the three months ended March 31, 2025, the Company paid $65.0 million in milestone payments under the vessel construction agreements. The following represents the estimated timing of future milestone payments under the vessel </w:t>
      </w:r>
      <w:hyperlink r:id="rId29">
        <w:r>
          <w:rPr>
            <w:rFonts w:ascii="Times New Roman" w:cs="Times New Roman" w:eastAsia="Times New Roman" w:hAnsi="Times New Roman"/>
            <w:sz w:val="18"/>
            <w:szCs w:val="18"/>
            <w:color w:val="auto"/>
          </w:rPr>
          <w:t xml:space="preserve">construction agreements as of March 31, 2025, as described in Part II, Item 7 of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10-K for the year ended December 31, 2024</w:t>
        </w:r>
        <w:r>
          <w:rPr>
            <w:rFonts w:ascii="Times New Roman" w:cs="Times New Roman" w:eastAsia="Times New Roman" w:hAnsi="Times New Roman"/>
            <w:sz w:val="18"/>
            <w:szCs w:val="18"/>
            <w:color w:val="000000"/>
          </w:rPr>
          <w:t>:</w:t>
        </w:r>
      </w:hyperlink>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Future Milestone Payments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08"/>
        </w:trPr>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top w:val="single" w:sz="8" w:color="auto"/>
            </w:tcBorders>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Remainder</w:t>
            </w: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Vessel Construction Obligations</w:t>
            </w:r>
          </w:p>
        </w:tc>
        <w:tc>
          <w:tcPr>
            <w:tcW w:w="18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As of</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March 31, 2025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80" w:type="dxa"/>
            <w:vAlign w:val="bottom"/>
          </w:tcPr>
          <w:p>
            <w:pPr>
              <w:spacing w:after="0"/>
              <w:rPr>
                <w:sz w:val="13"/>
                <w:szCs w:val="13"/>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3"/>
                <w:szCs w:val="13"/>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2027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2028</w:t>
            </w:r>
          </w:p>
        </w:tc>
        <w:tc>
          <w:tcPr>
            <w:tcW w:w="18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Aloha Class Containerships</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225.4</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313.6</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185.0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$ 1,003.6</w:t>
            </w: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intends to use the CCF cash and cash equivalents, and CCF investments to fund future milestone progress payments.</w:t>
      </w:r>
    </w:p>
    <w:p>
      <w:pPr>
        <w:spacing w:after="0" w:line="16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the full year 2025, the Company expects to make other capital expenditure payments, including maintenance capital expenditures, of approximately $100 to $120 million, and dry-docking payments of approximately $40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months ended March 31, 2025, the Company repurchased approximately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0.5 million shares for a total cost of $69.2 million, compared to 0.4 million shares for a total cost of $48.9 million for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three months ended March 31, 2024. The maximum number of remaining shares that may be repurchased under the Company’s share repurchase program was approximately 3.3 million shares at March 31, 2025.</w:t>
      </w:r>
    </w:p>
    <w:p>
      <w:pPr>
        <w:spacing w:after="0" w:line="158" w:lineRule="exact"/>
        <w:rPr>
          <w:sz w:val="20"/>
          <w:szCs w:val="20"/>
          <w:color w:val="auto"/>
        </w:rPr>
      </w:pPr>
    </w:p>
    <w:p>
      <w:pPr>
        <w:ind w:left="60" w:right="179"/>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Other Material Cash Requirements: </w:t>
      </w:r>
      <w:r>
        <w:rPr>
          <w:rFonts w:ascii="Times New Roman" w:cs="Times New Roman" w:eastAsia="Times New Roman" w:hAnsi="Times New Roman"/>
          <w:sz w:val="18"/>
          <w:szCs w:val="18"/>
          <w:color w:val="auto"/>
        </w:rPr>
        <w:t>There were no other material changes during the quarter ended March 31, 2025 to</w:t>
      </w:r>
      <w:r>
        <w:rPr>
          <w:rFonts w:ascii="Times New Roman" w:cs="Times New Roman" w:eastAsia="Times New Roman" w:hAnsi="Times New Roman"/>
          <w:sz w:val="18"/>
          <w:szCs w:val="18"/>
          <w:b w:val="1"/>
          <w:bCs w:val="1"/>
          <w:i w:val="1"/>
          <w:iCs w:val="1"/>
          <w:color w:val="auto"/>
        </w:rPr>
        <w:t xml:space="preserve"> </w:t>
      </w:r>
      <w:hyperlink r:id="rId29">
        <w:r>
          <w:rPr>
            <w:rFonts w:ascii="Times New Roman" w:cs="Times New Roman" w:eastAsia="Times New Roman" w:hAnsi="Times New Roman"/>
            <w:sz w:val="18"/>
            <w:szCs w:val="18"/>
            <w:color w:val="auto"/>
          </w:rPr>
          <w:t xml:space="preserve">the Company’s other cash requirements that are described in Part II, Item 7 of the Company’s </w:t>
        </w:r>
        <w:r>
          <w:rPr>
            <w:rFonts w:ascii="Times New Roman" w:cs="Times New Roman" w:eastAsia="Times New Roman" w:hAnsi="Times New Roman"/>
            <w:sz w:val="18"/>
            <w:szCs w:val="18"/>
            <w:u w:val="single" w:color="auto"/>
            <w:color w:val="0000EE"/>
          </w:rPr>
          <w:t>Annual Report on Form 10-</w:t>
        </w:r>
      </w:hyperlink>
      <w:hyperlink r:id="rId29">
        <w:r>
          <w:rPr>
            <w:rFonts w:ascii="Times New Roman" w:cs="Times New Roman" w:eastAsia="Times New Roman" w:hAnsi="Times New Roman"/>
            <w:sz w:val="18"/>
            <w:szCs w:val="18"/>
            <w:u w:val="single" w:color="auto"/>
            <w:color w:val="0000EE"/>
          </w:rPr>
          <w:t>K for the year ended December 31, 2024</w:t>
        </w:r>
        <w:r>
          <w:rPr>
            <w:rFonts w:ascii="Times New Roman" w:cs="Times New Roman" w:eastAsia="Times New Roman" w:hAnsi="Times New Roman"/>
            <w:sz w:val="18"/>
            <w:szCs w:val="18"/>
            <w:color w:val="000000"/>
          </w:rPr>
          <w:t>.</w:t>
        </w:r>
      </w:hyperlink>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during this quarter to the Company’s critical accounting policies and estimates as discussed in Part II, Item 7 of the Company’s </w:t>
      </w:r>
      <w:hyperlink r:id="rId29">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Company’s first quarter 2025 cash dividend of $0.34 per share was paid on March 6, 2025. On April 24, 2025, the Company’s Board of Directors declared a cash dividend of $0.34 per share payable on June 5, 2025 to shareholders of record on May 8,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left="60" w:right="59"/>
        <w:spacing w:after="0" w:line="260" w:lineRule="auto"/>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auto"/>
          </w:rPr>
          <w:t xml:space="preserve">Part II, Item 7A, “Quantitative and Qualitative Disclosures About Market Risk,” of its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year ended December 31, 2024</w:t>
        </w:r>
        <w:r>
          <w:rPr>
            <w:rFonts w:ascii="Times New Roman" w:cs="Times New Roman" w:eastAsia="Times New Roman" w:hAnsi="Times New Roman"/>
            <w:sz w:val="18"/>
            <w:szCs w:val="18"/>
            <w:color w:val="000000"/>
          </w:rPr>
          <w:t>.</w:t>
        </w:r>
      </w:hyperlink>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7"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Company’s management,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2025, the Company’s disclosure controls and procedures are effective.</w:t>
      </w:r>
    </w:p>
    <w:p>
      <w:pPr>
        <w:spacing w:after="0" w:line="18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that occurred during the three months ended March 31, 2025, that have materially affected, or are reasonably likely to materially affect, the Company’s internal control over financial reporting.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175"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1" w:lineRule="exact"/>
        <w:rPr>
          <w:sz w:val="20"/>
          <w:szCs w:val="20"/>
          <w:color w:val="auto"/>
        </w:rPr>
      </w:pPr>
    </w:p>
    <w:p>
      <w:pPr>
        <w:ind w:left="60" w:right="29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Other Matters: </w:t>
      </w:r>
      <w:r>
        <w:rPr>
          <w:rFonts w:ascii="Times New Roman" w:cs="Times New Roman" w:eastAsia="Times New Roman" w:hAnsi="Times New Roman"/>
          <w:sz w:val="17"/>
          <w:szCs w:val="17"/>
          <w:color w:val="auto"/>
        </w:rPr>
        <w:t>The Company and its subsidiaries are parties to, or may be contingently liable in connection with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 actions arising in the normal course of their businesses, the outcomes of which, in the opinion of management after</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consultation with counsel, would not have a material effect on the Company’s financial condition, results of operations, or cash flows.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following material risks, events and uncertainties may make an investment in the Company speculative or risky and should be reviewed carefully. The Company faces the material risks set forth below; however, the description below does not purport to include all risks the Company faces, and additional risks or uncertainties that are currently unknown or are not currently believed to be material may occur or become material.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these or the risks and uncertainties described below may, in ways the Company may not be able to accurately predict, recognize or mitigate, adversely affect the Company’s business, competitive environment, strategy, financial condition, operating results, cash flows, liquidity, demand, revenue, growth, prospects, reputation or stock price. All forward-looking statements made in this Form 10-Q are qualified by the risks and uncertainties described below.</w:t>
      </w:r>
    </w:p>
    <w:p>
      <w:pPr>
        <w:spacing w:after="0" w:line="192" w:lineRule="exact"/>
        <w:rPr>
          <w:sz w:val="20"/>
          <w:szCs w:val="20"/>
          <w:color w:val="auto"/>
        </w:rPr>
      </w:pPr>
    </w:p>
    <w:p>
      <w:pPr>
        <w:ind w:left="60" w:right="2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factors described below include material changes to and supersede the risk factors previously described in Part I, Item 1A, “Risk Factors” of the Company’s </w:t>
      </w:r>
      <w:hyperlink r:id="rId29">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Jones Act</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Repeal, invalidation, substantial amendment, or waiver of the Jones Act or changes in its application would have an adverse effect on the Company’s business.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Merchant Marine Act of 1920 (commonly referred to as the Jones Act) regulates all interstate and intrastate marine commerce within the U.S. From time to time, various interests have sought to repeal, amend or waive the Jones Act. For example, in February 2025, a lawsuit was filed in the U.S. District Court for the District of Columbia challenging the Jones Act, arguing that it violates the Port Preference Clause of the U.S. Constitution; the Company believes this lawsuit is without merit and has filed a motion to intervene in the case. If the Jones Act were to be repealed, invalidated,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including recent campaigns by foreign governments, to circumvent or repeal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which could have other adverse impacts to our business.</w:t>
      </w:r>
    </w:p>
    <w:p>
      <w:pPr>
        <w:spacing w:after="0" w:line="19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would be adversely affected if the Company were determined not to be a U.S. citizen under the Jones Act.</w:t>
      </w:r>
    </w:p>
    <w:p>
      <w:pPr>
        <w:spacing w:after="0" w:line="15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the Company, including seizure or forfeiture of its vessels.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Operations</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macroeconomic conditions, geopolitical developments, or governmental policies, including due to outbreaks of disease, have affected and could in the future affect the Company.</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transportation industry in which the Company operates has been and could in the future be impacted by macroeconomic fluctuations, volatility, downturns, inflation, recessions, interest rates and other economic shifts or market instabilities, including due to outbreaks of disease and instability in financial institutions, as well as the development of and changes in governmental policies, relations, priorities and budgeting constraints, and uncertainties resulting from the U.S. political environment, including increased political polarization and the potential for political gridlock (such as the prospect of a shutdown of the U.S. federal government), and geopolitical developments across the jurisdictions in which it operates. For example, there have been increases in geopolitical and trade tensions among a number of the world’s major economies, including the United States’ recent imposition of tariffs and the imposition by other countries of new or increased tariffs. These tensions have resulted in protectionist measures by governments, including reciprocal tariffs, non-tariff trade barriers, and sanctions, including the use of export control restrictions and sanctions against certain countries and individual companies. On April 17, 2025, the U.S. Trade Representative (the “USTR”) also announced service fees on certain Chinese-owned or operated, or Chinese-built vessels entering U.S. ports and proposed additional duties on cranes, containers, certain chassis and spare parts, which could result in higher equipment costs. These actions and uncertainty regarding domestic and foreign tariff policy, including uncertainty associated with the scope, level, magnitude, duration and product range of tariffs, have, and may continue to have, an adverse economic impact in the markets in which the Company operates and could result in a reduced demand for the Company’s services.</w:t>
      </w:r>
    </w:p>
    <w:p>
      <w:pPr>
        <w:spacing w:after="0" w:line="19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These adverse economic conditions can also impact the Company’s customers’ business levels and needs. Within the U.S., a weakening of economic drivers in Hawaii, Alaska or Guam, which include tourism, military spending, construction, personal income growth and employment, the weakening of consumer confidence, market demand, the economy in the U.S. Mainland, inflation, interest rates, recession, increased political polarization and the potential for political gridlock (such as the prospect of a shutdown of the U.S. federal government), and the effect of a change in the strength of the U.S. dollar against other foreign currencies has reduced and could in the future reduce the demand for goods, adversely affecting inland and ocean transportation volumes or rates. In addition, overcapacity in the global or transpacific ocean transportation markets, a change in the cost of goods or currency exchange rates, pressure from U.S. or foreign governments, and changes in tariff policies or international trade policies and related uncertainties could adversely affect freight volumes and rates in the Company’s China services. Additionally, fluctuations in the price of oil could further impact the Alaskan economy, which in turn could impact the Company’s business.</w:t>
      </w:r>
    </w:p>
    <w:p>
      <w:pPr>
        <w:spacing w:after="0" w:line="188"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shipping industry is competitive, and the Company has been and may continue to be impacted by new or increased competition.</w:t>
      </w:r>
    </w:p>
    <w:p>
      <w:pPr>
        <w:spacing w:after="0" w:line="15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 has faced and may continue to face new competition by established or start-up shipping operators that enter into the Company’s markets. The shipping industry is competitive with limited barriers to entry. Ocean carriers can shift vessels in and out of tradelanes or charter vessels to manage capacity and meet customer demands. The Company also competes with air freight carriers some of which are able to offer more attractive schedules and services, or to increase capacity. The entry of a new competitor or the addition of new vessels or capacity by existing competitors on any of the Company’s existing routes could result in a significant increase in available shipping capacity that could have an adverse effect on the Company’s volumes and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or damage to key customer relationships may adversely affect the Company’s business.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Company’s businesses are dependent on their relationships with customers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the Company’s Annual Report on Form 10-K for the year ended December 31, 2024. The loss of or damage to any of these key relationships may adversely affect the Company’s business and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businesses are dependent upon key vendors who provide terminal, rail, truck, agent and ocean transportation services. Service structures and relationships with these parties are important in the Company’s intermodal business, as well as in the China, Guam, Micronesia, Japan, Alaska export and South Pacific services. If the Company cannot reliably secure sufficient transportation equipment, capacity or services from these third parties at reasonable prices or rates to meet its or its customers’ needs and schedules, or if there are changes to the costs of such services, customers may seek to have their transportation and logistics needs met by others on a temporary or permanent basis. If this were to occur, the Company’s business, results of operations and financial condition could be adversely affected. The loss of or damage to any of these key relationships may also adversely affect the Company’s business and revenue.</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 increase in fuel prices, changes in the Company’s ability to collect fuel-related surcharges, and/or the cost or limited availability of required fuels may adversely affect the Company’s profits.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Fuel, including LNG fuels and biofuels, is a significant operating expense for the Company’s Ocean Transportation business. The price and supply of fuel are difficult to predict and fluctuate based on events beyond the Company’s control, including impacts from global macroeconomic conditions, geopolitical events and governmental policies such as the USTR action. Increases in the price of fuel may adversely affect the Company’s results of operations. Any such increases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surcharges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w:t>
      </w:r>
    </w:p>
    <w:p>
      <w:pPr>
        <w:spacing w:after="0" w:line="18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development of alternative fuels (such as low- or carbon-neutral fuels), including the necessary infrastructure and technology to utilize such fuels, is still in early experimental stages. There is significant uncertainty as to when, if at all, these alternative fuels will become commercially available or viable at a reasonable cost and in sufficient quantities, and whether Matson will be able to utilize or have access to these alternative fuels (or any such alternative fuels developed in the future) in a timely and cost-effective manner. In addition, advances in fuel technology could require Matson to incur significant capital costs to utilize any such technologies (including, for example, efforts to accelerate building of new vessels, retrofit existing vessels, retire vessels early or make reserve vessels unusable) and Matson may be unable to equip its vessels with these technologies on a timely basis, if at all. It is also uncertain to what extent charter vessel owners may be willing to experiment with, or make the necessary investments to utilize, alternative fuels.</w:t>
      </w:r>
    </w:p>
    <w:p>
      <w:pPr>
        <w:spacing w:after="0" w:line="184"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regulations and stakeholder expectations related to sustainability matters exposes the Company to heightened scrutiny, additional costs, operational challenges and a number of risks.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state of California and certain other regulators, investors, advisory firms, employees, customers, suppliers, governments and certain other stakeholders are increasingly focused on and have established regulations and expectations related to sustainability matters and related corporate practices, disclosures and initiatives. These evolving regulations and expectations may impact the Company’s reputation, business and attractiveness as an investment, employer or business partner to the extent the Company – including its initiatives, goals and reporting – fails to satisfy or is perceived to fail to satisfy those regulations and expectations, including as a result of any third-party rating or assessment. The adoption and expansion of related legislation and regulations have also resulted and may again result in increased capital expenditures and compliance, operational and other costs to the Company. For example, the state of California has adopted climate change disclosure requirements. Compliance with such rules could require significant effort and resources and result in changes to the Company’s current GHG emission reduction goals.</w:t>
      </w:r>
    </w:p>
    <w:p>
      <w:pPr>
        <w:spacing w:after="0" w:line="194"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Company’s public disclosures on its climate, sustainability, human capital and other initiatives include its goals or expectations with respect to those matters, including GHG emission reduction targets. These disclosures are aspirational and based on standards and frameworks for presenting and measuring progress that are not harmonized and are still developing, assumptions that may change, disclosure controls and procedures that continue to evolve, and with respect to our GHG emissions targets, dependent in part on the industry’s successful and timely development of alternative fuels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and technologies. The Company’s use of disclosure frameworks and standards, and the interpretation or application of those frameworks and standards, may change from time to time or differ from those of others. This may result in a lack of consistent or meaningful comparative data from period to period or between the Company and other companies in the same industry. The Company’s initiatives and goals may not be favored by certain stakeholders and could impact the attraction and retention of investors, customers and employees, as well as the Company’s willingness to do business with other companies or customers or their willingness to do business with the Company. Efforts to achieve or accurately track the Company’s initiatives and goals face numerous risks and may be untimely, be unsuccessful, result in additional costs or experience delays, and as a result may have an adverse impact on the Company, including its brand, reputation, financial performance and growth and stock price, and may expose the Company to increased scrutiny from the investment community as well as enforcement authorities.</w:t>
      </w:r>
    </w:p>
    <w:p>
      <w:pPr>
        <w:spacing w:after="0" w:line="190"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not be timely or successful in completing its fleet upgrade initiatives, which may result in significant costs and adversely impact the Company’s ability to meet its climate goals.</w:t>
      </w:r>
    </w:p>
    <w:p>
      <w:pPr>
        <w:spacing w:after="0" w:line="15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The Company’s four commissioned Aloha and Kanaloa class vessels include dual fuel capable engines that can run on low sulfur fuel oil or LNG. The Company has completed the installation of tanks, piping and cryogenic equipment on </w:t>
      </w:r>
      <w:r>
        <w:rPr>
          <w:rFonts w:ascii="Times New Roman" w:cs="Times New Roman" w:eastAsia="Times New Roman" w:hAnsi="Times New Roman"/>
          <w:sz w:val="18"/>
          <w:szCs w:val="18"/>
          <w:i w:val="1"/>
          <w:iCs w:val="1"/>
          <w:color w:val="auto"/>
        </w:rPr>
        <w:t>Daniel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 Inouye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Kaimana Hila </w:t>
      </w:r>
      <w:r>
        <w:rPr>
          <w:rFonts w:ascii="Times New Roman" w:cs="Times New Roman" w:eastAsia="Times New Roman" w:hAnsi="Times New Roman"/>
          <w:sz w:val="18"/>
          <w:szCs w:val="18"/>
          <w:color w:val="auto"/>
        </w:rPr>
        <w:t>and re-engined</w:t>
      </w:r>
      <w:r>
        <w:rPr>
          <w:rFonts w:ascii="Times New Roman" w:cs="Times New Roman" w:eastAsia="Times New Roman" w:hAnsi="Times New Roman"/>
          <w:sz w:val="18"/>
          <w:szCs w:val="18"/>
          <w:i w:val="1"/>
          <w:iCs w:val="1"/>
          <w:color w:val="auto"/>
        </w:rPr>
        <w:t xml:space="preserve"> Manukai </w:t>
      </w:r>
      <w:r>
        <w:rPr>
          <w:rFonts w:ascii="Times New Roman" w:cs="Times New Roman" w:eastAsia="Times New Roman" w:hAnsi="Times New Roman"/>
          <w:sz w:val="18"/>
          <w:szCs w:val="18"/>
          <w:color w:val="auto"/>
        </w:rPr>
        <w:t>to operate on LNG. In addition, construction has begun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LNG-ready Aloha Class vessels. The Company has made and anticipates making significant capital expenditures in connection with these fleet initiatives. Additional operating costs may be incurred to the extent use of LNG presents new maintenance requirements or unforeseen complications.</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vessel construction agreements with Philly Shipyard subject the Company to risks.</w:t>
      </w:r>
    </w:p>
    <w:p>
      <w:pPr>
        <w:spacing w:after="0" w:line="229"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On November 1, 2022, MatNav and Philly Shipyard entered into vessel construction agreements pursuant to which Philly Shipyard will construct three new 3,600-TEU Aloha Class dual-fuel capable containerships, with expected delivery dates during the first quarter 2027, the third quarter 2027 and the second quarter 2028.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(vi) the insolvency of, or the refusal or inability to perform for any reason, by Philly Shipyard or any of its subcontractors, (vii) the ability of Hanwha Ocean and Hanwha Systems (collectively, “Hanwha”) to integrate Philly Shipyard successfully into their global operations following Hanwha’s acquisition of Philly Shipyard, or</w:t>
      </w:r>
    </w:p>
    <w:p>
      <w:pPr>
        <w:spacing w:after="0" w:line="1" w:lineRule="exact"/>
        <w:rPr>
          <w:sz w:val="20"/>
          <w:szCs w:val="20"/>
          <w:color w:val="auto"/>
        </w:rPr>
      </w:pPr>
    </w:p>
    <w:p>
      <w:pPr>
        <w:ind w:left="60" w:right="139" w:hanging="10"/>
        <w:spacing w:after="0" w:line="253" w:lineRule="auto"/>
        <w:tabs>
          <w:tab w:leader="none" w:pos="4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construction of vessels scheduled to be completed before the Company’s vessels. Significant delays in the delivery of the new vessels could limit our ability to replace aging vessels in the Alaska service without substantial modifications and delay the Company’s ability to upsize the CLX service, which could also have an adverse impact on our business plans, financial condition and results of operations.</w:t>
      </w:r>
    </w:p>
    <w:p>
      <w:pPr>
        <w:spacing w:after="0" w:line="18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susceptible to weather, natural disasters, risks arising from climate change, maritime accidents, spill events and other physical and operating risks.</w:t>
      </w:r>
    </w:p>
    <w:p>
      <w:pPr>
        <w:spacing w:after="0" w:line="15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As a maritime transportation company, the Company’s operations are vulnerable to delay, disruptions and loss of life and property as a result of weather, natural disasters and other climate-driven events, such as rising temperatures and heat waves, rising sea levels, bad weather at sea (including increased storm severity), lightning strikes, wildfires, lava flows, hurricanes, typhoons, tsunamis, droughts, windstorms, floods and earthquakes. Climate change has increased and may continue to increase the frequency, severity and uncertainty of such events. For example, sea level rise could potentially impact coastal and other low-lying areas, cause erosion of shorelines, higher water tables and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flooding, which could damage the Company’s vessels, terminals or facilities. In addition, the Company’s customers and the island communities it serves throughout the Pacific are particularly vulnerable to rising sea levels and severe storms, which may drive inhabitants away from these regions and reduce demand for the Company’s services in the affected areas and adversely impact our business.</w:t>
      </w:r>
    </w:p>
    <w:p>
      <w:pPr>
        <w:spacing w:after="0" w:line="18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operations are also vulnerable to risks related to the operation of ocean-going vessels, including risks of potential marine accidents, or disasters, including grounding, fires, explosions, collisions, mechanical failures, human error, maintenance issues, latent defects, oil or other spill or environmental accidents, whale strikes, war, terrorism and piracy, lost or damaged cargo, delays, injury and loss of life. These risks could be exacerbated by severe weather or other climate-driven events. Changing macroeconomic and geopolitical conditions, including geopolitical conflict, may also result increased attacks on vessels, piracy or terrorism.</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Such events could interfere with the Company’s ability to provide on-time scheduled service, require evacuation of personnel or stoppage of services or impact the Company’s customer’s operations,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ports such as Dutch Harbor and Kodiak, Alaska where the Company is dependent on a single crane. The Company’s vessels and their cargoes, terminals and other facilities are also subject to operating risks such as mechanical failure, collisions and human error.</w:t>
      </w:r>
    </w:p>
    <w:p>
      <w:pPr>
        <w:spacing w:after="0" w:line="18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occurrence of any of these events may result in damage to or loss of terminals, port facilities and infrastructure, vessels, containers, cargo and other equipment, increased maintenance expense, loss of life or physical injury to its employees or people, pollution, or the slow down or suspension of operations. For example, damage to the Company’s vessels could require repair at a dry-docking facility. The costs of repairs may be substantial which may adversely affect the Company’s business and financial condition. Further, the Company may be unable to find space at a suitable dry-docking facility, the vessels may be forced to wait for space or be towed to a different facility, all of which could result in additional expenses and delays, and may adversely affect the Company’s business.</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These events can also expose the Company to reputational harm and liability for resulting damages, including for loss of life and property, and possible penalties that, pursuant to typical maritime industry policies, it must pay and then seek reimbursement from its insurer. Affected vessels may also be removed from service and thus would be unavailable for income-generating activity. Furthermore, the Port of Alaska requires upgrades to its port facilities and infrastructure to improve operational safety and efficiency, accommodate modern shipping operations and improve resiliency, as well as to mitigate the risk of failure due to corrosion, deterioration or loss of load bearing capacity. As a result, there is an increased risk that an earthquake or other natural disaster could damage or render inoperable, in whole or in part, port facilities and infrastructure at the Port of Alaska. This, in turn, could adversely affect transportation volumes or rates in Alaska and adversely impact the Company’s Ocean Transportation business and Span Alaska’s freight forwarding business, particularly given the Alaskan economy’s dependence on this port for ocean cargo.</w:t>
      </w:r>
    </w:p>
    <w:p>
      <w:pPr>
        <w:spacing w:after="0" w:line="19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There is no assurance that our efforts to mitigate the impact of these risks, including from severe weather or other climate-driven events on our operations, will be effective. Although we take measures that we believe are reasonable to mitigate these risks, it is not practicable to eliminate such risks altogether. 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or any amendments, modifications or changes in the interpretation, application or enforcement of any such operations or requirements, may require the Company to increase expenditures, make changes to existing infrastructure, vessels and equipment, limit the speed at which the Company’s vessels are permitted to travel, and make other changes to its business model. For example, the maritime industry is moving toward deployment of clean energy technologies and use of electricity powered by renewable energy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addition, compliance with climate change requirements or regulations such as the IMO’s CII requirements, or any amendments, modifications or changes in the interpretation, application or enforcement of any such requirements or regulations, may create schedule disruptions and could require Matson’s fleet to slow down if efficiency improvements or transitions to alternative fuels together are not enough to reduce GHG emissions sufficiently, thus impacting Matson’s expedited business model and competitive advantage.</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faces risks related to actual or threatened health epidemics, outbreaks of disease, pandemics or other major health crises, which could significantly disrupt the Company’s business.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 has in the past, and could in the future, be impacted adversely by outbreaks of disease, the effects of public health epidemics, pandemics or other major heath crises (which the Company refers to collectively as public health crises), such as the COVID-19 pandemic. Actual or threatened public health crises can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can adversely impact the Company’s business, financial condition, operating results and cash flows.</w:t>
      </w:r>
    </w:p>
    <w:p>
      <w:pPr>
        <w:spacing w:after="0" w:line="18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significant operating agreements and leases could be renewed/replaced on less favorable terms or may not be renewed/replaced on acceptable terms, if at all.</w:t>
      </w:r>
    </w:p>
    <w:p>
      <w:pPr>
        <w:spacing w:after="0" w:line="15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significant operating agreements and leases entered into by the Company in the course of its operations, including those related to terminals, chartered vessels, bonded and unbonded container yards, cross-dock facilities, warehouses and offices as well as those entered into with SSAT, expire at various points in time and may not be renewed/replaced with comparable assets with the specifications necessary for the Company’s or SSAT’s businesses or could be renewed/replaced on less favorable terms, if at all, thereby adversely affecting the Company’s future financial position,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routinely engages shipyards to dry-dock its vessels for regulatory compliance and to provide repair and maintenance, and capital enhancements.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and can be substantial. In addition, the time when a vessel is out of service for maintenance is determined by a number of factors, including regulatory deadlines, market conditions, shipyard availability, shipyard location, availability of employees and repairmen, and customer requirements, and accordingly, the length of time that a vessel may be out of service may be longer than anticipated, which could adversely affect the Company’s business, financial condition, results of operations and cash flows. The timing and expense required for repairs could be exacerbated by compliance with MARAD and Jones Act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76" w:lineRule="exact"/>
        <w:rPr>
          <w:sz w:val="20"/>
          <w:szCs w:val="20"/>
          <w:color w:val="auto"/>
        </w:rPr>
      </w:pPr>
    </w:p>
    <w:p>
      <w:pPr>
        <w:ind w:left="380" w:right="459" w:hanging="330"/>
        <w:spacing w:after="0" w:line="26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lack of voting control over the joint venture, including the risk that the joint venture takes actions resulting in reputational harm to the Company;</w:t>
      </w: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or inconsistency of interests between the Company and the joint venture partner;</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joint venture partner to fund its share of capital or fulfill its other commitments, including the risk that the joint venture partner could become bankrupt; and</w:t>
      </w:r>
    </w:p>
    <w:p>
      <w:pPr>
        <w:ind w:left="380" w:right="79" w:hanging="330"/>
        <w:spacing w:after="0" w:line="26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and financial losses, including from abandonment or termination of terminal lease agreements, at the joint venture, which may lead to SSAT writing down assets or incurring impairment charges.</w:t>
      </w:r>
    </w:p>
    <w:p>
      <w:pPr>
        <w:spacing w:after="0" w:line="181"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share of income from SSAT, including as a result of declines in lift volumes due to reduced carrier volumes into U.S. West Coast ports.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risks associated with conducting business in foreign markets.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Matson’s China service and other international services are subject to risks associated with conducting business in foreign markets, which include:</w:t>
      </w:r>
    </w:p>
    <w:p>
      <w:pPr>
        <w:spacing w:after="0" w:line="162" w:lineRule="exact"/>
        <w:rPr>
          <w:sz w:val="20"/>
          <w:szCs w:val="20"/>
          <w:color w:val="auto"/>
        </w:rPr>
      </w:pPr>
    </w:p>
    <w:p>
      <w:pPr>
        <w:ind w:left="380" w:right="619" w:hanging="330"/>
        <w:spacing w:after="0" w:line="261"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foreign countries and developing relationships with foreign companies, business associates and governments, including as a result of cultural differences;</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dynamic employment and immigration laws;</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continued access to existing port facilities or feeder vessels;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changes in the cost of goods or currency exchange rate fluctuations;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or slower growth in the local markets or geographic areas in which we conduct business;</w:t>
      </w:r>
    </w:p>
    <w:p>
      <w:pPr>
        <w:spacing w:after="0" w:line="9" w:lineRule="exact"/>
        <w:rPr>
          <w:rFonts w:ascii="Times New Roman" w:cs="Times New Roman" w:eastAsia="Times New Roman" w:hAnsi="Times New Roman"/>
          <w:sz w:val="18"/>
          <w:szCs w:val="18"/>
          <w:color w:val="auto"/>
        </w:rPr>
      </w:pPr>
    </w:p>
    <w:p>
      <w:pPr>
        <w:ind w:left="380" w:right="119" w:hanging="330"/>
        <w:spacing w:after="0" w:line="265" w:lineRule="auto"/>
        <w:tabs>
          <w:tab w:leader="none" w:pos="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involving U.S. trade relations with other countries, including uncertainty associated with the scope, level, magnitude, duration and product range of tariffs, non-tariff trade barriers or sanctions, including the use of export control restrictions and sanctions against certain countries and individual companies, or other retaliatory governmental actions, and responsive actions taken by the Company’s customers, including with respect to their supply chains;</w:t>
      </w:r>
    </w:p>
    <w:p>
      <w:pPr>
        <w:ind w:left="380" w:right="239" w:hanging="330"/>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offer a differentiated service for which customers are willing to pay a significant premium; and</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to diversify supply chains away from, or otherwise limit sourcing from, certain countries.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has completed the first phase of renovating and modernizing its Sand Island terminal in Honolulu Harbor. However, significant upgrades remain, including the long-term expansion program at the Sand Island terminal and projects to improve resiliency to risks from events such as severe weather, natural disasters, sea level rise and other climate-change related risks. The Company is continuing discussions with state and local authorities regarding a port modernization program for the Port of Alaska. Significant upgrades to the terminal and port facilities at the Port of Alaska are needed to improve operational safety and efficiency, accommodate modern shipping operations, and improve resiliency, including to risks due to severe weather events, natural disasters and climate-change related risks. For example, the aging cranes and dock facilities of the port are increasingly exposed to the risk of failure due to corrosion, deterioration, and the loss of load-bearing capacity particularly in the event of extreme seismic events or other natural disasters. Regulatory, construction or other delays or cost overruns related to the expansion and modernization of the terminals could have an adverse impact on the Company’s business plans,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19"/>
        <w:spacing w:after="0" w:line="312" w:lineRule="auto"/>
        <w:rPr>
          <w:sz w:val="20"/>
          <w:szCs w:val="20"/>
          <w:color w:val="auto"/>
        </w:rPr>
      </w:pPr>
      <w:r>
        <w:rPr>
          <w:rFonts w:ascii="Times New Roman" w:cs="Times New Roman" w:eastAsia="Times New Roman" w:hAnsi="Times New Roman"/>
          <w:sz w:val="17"/>
          <w:szCs w:val="17"/>
          <w:color w:val="auto"/>
        </w:rPr>
        <w:t>In addition, the terminal modernization programs may not result in improved operational productivity or improved resiliency to severe weather events, extreme seismic events or other natural disasters or generate expected returns.</w:t>
      </w:r>
    </w:p>
    <w:p>
      <w:pPr>
        <w:spacing w:after="0" w:line="13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War,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operations.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expansion through acquisitions, including, for example, the Company’s acquisitions of Horizon Lines, Inc. (“Horizon”) in 2015 and Span Alaska in 2016. There is no assurance that the Company will be successful in identifying, negotiating or consummating any future acquisitions. Even if suitable candidates are identified, such transactions may result in regulatory scrutiny, litigation or difficulties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w:t>
      </w:r>
    </w:p>
    <w:p>
      <w:pPr>
        <w:spacing w:after="0" w:line="225" w:lineRule="exact"/>
        <w:rPr>
          <w:sz w:val="20"/>
          <w:szCs w:val="20"/>
          <w:color w:val="auto"/>
        </w:rPr>
      </w:pPr>
    </w:p>
    <w:p>
      <w:pPr>
        <w:jc w:val="both"/>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5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Part I, Item 1, Subheading C. Employees and Labor Relations of the Company’s Annual Report on Form 10-K for the year ended December 31, 2024.</w:t>
      </w:r>
    </w:p>
    <w:p>
      <w:pPr>
        <w:spacing w:after="0" w:line="18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Previously, 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Loss of the Company’s key personnel or failure to adequately manage human capital could adversely affect its business.</w:t>
      </w:r>
    </w:p>
    <w:p>
      <w:pPr>
        <w:spacing w:after="0" w:line="15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The Company’s future success depends,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9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investments in and efforts to manage its human capital and maintain a desirable workplace culture, including to create a safe and healthy work environment,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or to compare favorably with the progress or goals of its industry or peers.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w:t>
      </w:r>
    </w:p>
    <w:p>
      <w:pPr>
        <w:spacing w:after="0" w:line="225"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not able to use its information technology and communications systems effectively, the Company’s ability to conduct business might be negatively impacted.</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In addition, adoption of new and rapid changes in technology, such as the rise in artificial intelligence applications, may impact the transportation and logistics industry. If Matson does not appropriately adapt its operations to these new technologies as quickly or effectively as its competitors, the Company’s business could be adversely affected.</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Some of the Company’s employees work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cyber attacks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88"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13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The Company’s practices, policies and other efforts, including as described in Part I, Item 1C of its Annual Report on Form 10-K for the fiscal year ended December 31, 2024, may not be sufficient to prevent, detect or remediate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cybersecurity risks or other disruptions, and the Company and its service providers have in the past experienced and may in the future experience cybersecurity incidents, disruptions, threats and vulnerabilities such as malware (including computer viruses and ransomware), software bugs, denial-of-service (“DoS”) attacks, phishing, spoofing, identity-based attacks, code injection attacks, cyber terrorism, sabotage, circumvention of security systems (whether physical or virtual), malfeasance, breaches due to employee error, natural disasters, accidents, power disruptions or loss, telecommunications failure, unauthorized access or other catastrophic events or failures at the Company’s facilities, aboard its vessels or at third-party locations.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potentially could result in reductions in revenue and profits, damage to its reputation or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Matters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revolving credit facility and other committed lines of credit may become restricted, or the Company may not be able to refinance debt at the same levels or on the same terms. Because the Company relies on its ability to draw on its revolving credit facility to support its operations when required, any volatility or disruption in the credit and financial markets or other development that prevents the Company from accessing funds (for example, a lender that does not fulfill its lending obligation) or renewing its revolving credit facility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as market interest rates increase, as was the case in connection with the U.S. Federal Reserve’s interest rate increases in 2022 and 2023, and high interest rates can adversely affect the Company’s cash flow and results of operations. Disruptions to the credit markets as a result of macroeconomic, geopolitical, or financial market developments could increase the Company’s cost of capital and limit the Company’s access to capital.</w:t>
      </w:r>
    </w:p>
    <w:p>
      <w:pPr>
        <w:spacing w:after="0" w:line="19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7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acquisitions and changes in the Company’s corporate structure. These factors may result in periodic revisions to the Company’s effective income tax rate, which could affect the Company’s cash flow and results of operations.</w:t>
      </w:r>
    </w:p>
    <w:p>
      <w:pPr>
        <w:spacing w:after="0" w:line="15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value of pension assets, or a change in pension law or key assumptions, may adversely affect the Company’s financial performance.</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90"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the Company’s Annual Report on Form 10-K for the year ended December 31, 2024).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22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the Company to liability.</w:t>
      </w:r>
    </w:p>
    <w:p>
      <w:pPr>
        <w:spacing w:after="0" w:line="17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storage, transportation, handling, emission and disposal of solid and hazardous materials, oil and oil related products, hazardous substances and wastes; the investigation and remediation of contamination and liability for damages to the environment; health, safety and the protection of the environment and natural resources; and climate change, including any regulations, mandates or restrictions related to GHG emissions, such as a potential carbon tax,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the Company’s Annual Report on Form 10-K for the year ended December 31, 2024.</w:t>
      </w:r>
    </w:p>
    <w:p>
      <w:pPr>
        <w:spacing w:after="0" w:line="197"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Federal, state and local laws and regulations require us to obtain certificates of financial responsibility and to adopt procedures for oil and hazardous substance spill prevention, response and clean up, among other requirements impacting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92"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laws and regulations provide for substantial fines, sanctions, as well as criminal and civil penalties and significant environmental liabilities,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79"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exposes it to the potential for disputes, legal or other proceedings, and government inquiries or investigations relating to antitrust matters, labor and employment matters, personal injury, loss of life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ind w:left="60" w:right="159" w:hanging="10"/>
        <w:spacing w:after="0" w:line="262" w:lineRule="auto"/>
        <w:tabs>
          <w:tab w:leader="none" w:pos="30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Purchases of Equity Securities by the Issuer and Affiliated Purchases: </w:t>
      </w:r>
      <w:r>
        <w:rPr>
          <w:rFonts w:ascii="Times New Roman" w:cs="Times New Roman" w:eastAsia="Times New Roman" w:hAnsi="Times New Roman"/>
          <w:sz w:val="18"/>
          <w:szCs w:val="18"/>
          <w:color w:val="auto"/>
        </w:rPr>
        <w:t>The following is the summary of Matson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were repurchased under the Company’s share repurchase program during the three months ended March 31, 2025:</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 (2)</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 2025</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 28,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499,571</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r>
              <w:rPr>
                <w:rFonts w:ascii="Times New Roman" w:cs="Times New Roman" w:eastAsia="Times New Roman" w:hAnsi="Times New Roman"/>
                <w:sz w:val="18"/>
                <w:szCs w:val="18"/>
                <w:u w:val="single" w:color="auto"/>
                <w:color w:val="auto"/>
              </w:rPr>
              <w:t>63</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499,571</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Matson’s Board of Directors approved a share repurchase program of up to 3.0 million shares of common stock, with subsequent approvals for the addition of 3.0 million shares on each of January 27, 2022, August 23, 2022, April 27, 2023 and February 27, 2025, for an aggregate total of 15.0 million shares of common stock. The share repurchase program expires on December 31, 2027. Shares will be repurchased in the open market from time to time, and may be made pursuant to a trading plan in accordance with Rule 10b5-1 of the Securities Exchange Act of 1934.</w:t>
      </w:r>
    </w:p>
    <w:p>
      <w:pPr>
        <w:spacing w:after="0" w:line="114" w:lineRule="exact"/>
        <w:rPr>
          <w:rFonts w:ascii="Times New Roman" w:cs="Times New Roman" w:eastAsia="Times New Roman" w:hAnsi="Times New Roman"/>
          <w:sz w:val="14"/>
          <w:szCs w:val="14"/>
          <w:color w:val="auto"/>
        </w:rPr>
      </w:pPr>
    </w:p>
    <w:p>
      <w:pPr>
        <w:ind w:left="380" w:hanging="33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shares withheld for employee taxes upon vesting of stock-based awards.</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7" w:lineRule="exact"/>
        <w:rPr>
          <w:sz w:val="20"/>
          <w:szCs w:val="20"/>
          <w:color w:val="auto"/>
        </w:rPr>
      </w:pPr>
    </w:p>
    <w:p>
      <w:pPr>
        <w:ind w:left="60" w:right="219" w:hanging="10"/>
        <w:spacing w:after="0" w:line="284" w:lineRule="auto"/>
        <w:tabs>
          <w:tab w:leader="none" w:pos="30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March 31, 2025, no director or Section 16 officer adopted or terminated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arrangements or non-Rule 10b5-1 trading arrangements except as described below.</w:t>
      </w:r>
    </w:p>
    <w:p>
      <w:pPr>
        <w:spacing w:after="0" w:line="16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February 28, 2025, Matthew J. Cox, Chairman and Chief Executive Officer, adopted a trading plan intended to satisfy the affirmative defense conditions of Rule 10b5-1(c) to sell up to 29,856 shares of Matson common stock through December 31, 2025, subject to certain pricing and other conditions.</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Act of 1934.</w:t>
            </w: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Securities Exchange</w:t>
            </w:r>
          </w:p>
        </w:tc>
      </w:tr>
      <w:tr>
        <w:trPr>
          <w:trHeight w:val="237"/>
        </w:trPr>
        <w:tc>
          <w:tcPr>
            <w:tcW w:w="1060" w:type="dxa"/>
            <w:vAlign w:val="bottom"/>
          </w:tcPr>
          <w:p>
            <w:pPr>
              <w:spacing w:after="0"/>
              <w:rPr>
                <w:sz w:val="20"/>
                <w:szCs w:val="20"/>
                <w:color w:val="auto"/>
              </w:rPr>
            </w:pPr>
          </w:p>
        </w:tc>
        <w:tc>
          <w:tcPr>
            <w:tcW w:w="7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Act of 1934.</w:t>
            </w:r>
          </w:p>
        </w:tc>
        <w:tc>
          <w:tcPr>
            <w:tcW w:w="6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6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 Section 1350.</w:t>
            </w:r>
          </w:p>
        </w:tc>
      </w:tr>
      <w:tr>
        <w:trPr>
          <w:trHeight w:val="5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240" w:type="dxa"/>
            <w:vAlign w:val="bottom"/>
            <w:gridSpan w:val="2"/>
          </w:tcPr>
          <w:p>
            <w:pPr>
              <w:spacing w:after="0"/>
              <w:rPr>
                <w:sz w:val="24"/>
                <w:szCs w:val="24"/>
                <w:color w:val="auto"/>
              </w:rPr>
            </w:pPr>
          </w:p>
        </w:tc>
      </w:tr>
      <w:tr>
        <w:trPr>
          <w:trHeight w:val="257"/>
        </w:trPr>
        <w:tc>
          <w:tcPr>
            <w:tcW w:w="1060" w:type="dxa"/>
            <w:vAlign w:val="bottom"/>
          </w:tcPr>
          <w:p>
            <w:pPr>
              <w:spacing w:after="0"/>
              <w:rPr>
                <w:sz w:val="22"/>
                <w:szCs w:val="22"/>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1" w:lineRule="exact"/>
        <w:rPr>
          <w:sz w:val="20"/>
          <w:szCs w:val="20"/>
          <w:color w:val="auto"/>
        </w:rPr>
      </w:pPr>
    </w:p>
    <w:p>
      <w:pPr>
        <w:ind w:left="680" w:hanging="63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80" w:hanging="63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60"/>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ind w:left="79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Matson, Inc. (the “Company”) for the quarterly period ended March 31, 2025,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80" w:lineRule="exact"/>
        <w:rPr>
          <w:sz w:val="20"/>
          <w:szCs w:val="20"/>
          <w:color w:val="auto"/>
        </w:rPr>
      </w:pPr>
    </w:p>
    <w:p>
      <w:pPr>
        <w:ind w:left="60" w:right="519" w:hanging="10"/>
        <w:spacing w:after="0" w:line="282" w:lineRule="auto"/>
        <w:tabs>
          <w:tab w:leader="none" w:pos="7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8"/>
          <w:szCs w:val="18"/>
          <w:color w:val="auto"/>
        </w:rPr>
      </w:pPr>
    </w:p>
    <w:p>
      <w:pPr>
        <w:ind w:left="60" w:right="99" w:hanging="10"/>
        <w:spacing w:after="0" w:line="282" w:lineRule="auto"/>
        <w:tabs>
          <w:tab w:leader="none" w:pos="7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6, 2025</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decimal"/>
      <w:start w:val="3"/>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lvl w:ilvl="1">
      <w:lvlJc w:val="left"/>
      <w:lvlText w:val="o"/>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o"/>
      <w:numFmt w:val="bullet"/>
      <w:start w:val="1"/>
    </w:lvl>
  </w:abstractNum>
  <w:abstractNum w:abstractNumId="16">
    <w:nsid w:val="22221A70"/>
    <w:multiLevelType w:val="hybridMultilevel"/>
    <w:lvl w:ilvl="0">
      <w:lvlJc w:val="left"/>
      <w:lvlText w:val="%1."/>
      <w:numFmt w:val="decimal"/>
      <w:start w:val="4"/>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5"/>
    </w:lvl>
  </w:abstractNum>
  <w:abstractNum w:abstractNumId="19">
    <w:nsid w:val="614FD4A1"/>
    <w:multiLevelType w:val="hybridMultilevel"/>
    <w:lvl w:ilvl="0">
      <w:lvlJc w:val="left"/>
      <w:lvlText w:val="%1."/>
      <w:numFmt w:val="decimal"/>
      <w:start w:val="6"/>
    </w:lvl>
  </w:abstractNum>
  <w:abstractNum w:abstractNumId="20">
    <w:nsid w:val="419AC241"/>
    <w:multiLevelType w:val="hybridMultilevel"/>
    <w:lvl w:ilvl="0">
      <w:lvlJc w:val="left"/>
      <w:lvlText w:val="%1."/>
      <w:numFmt w:val="decimal"/>
      <w:start w:val="7"/>
    </w:lvl>
  </w:abstractNum>
  <w:abstractNum w:abstractNumId="21">
    <w:nsid w:val="5577F8E1"/>
    <w:multiLevelType w:val="hybridMultilevel"/>
    <w:lvl w:ilvl="0">
      <w:lvlJc w:val="left"/>
      <w:lvlText w:val="%1."/>
      <w:numFmt w:val="decimal"/>
      <w:start w:val="8"/>
    </w:lvl>
  </w:abstractNum>
  <w:abstractNum w:abstractNumId="22">
    <w:nsid w:val="440BADFC"/>
    <w:multiLevelType w:val="hybridMultilevel"/>
    <w:lvl w:ilvl="0">
      <w:lvlJc w:val="left"/>
      <w:lvlText w:val="%1."/>
      <w:numFmt w:val="decimal"/>
      <w:start w:val="9"/>
    </w:lvl>
  </w:abstractNum>
  <w:abstractNum w:abstractNumId="23">
    <w:nsid w:val="5072367"/>
    <w:multiLevelType w:val="hybridMultilevel"/>
    <w:lvl w:ilvl="0">
      <w:lvlJc w:val="left"/>
      <w:lvlText w:val="%1."/>
      <w:numFmt w:val="decimal"/>
      <w:start w:val="10"/>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1."/>
      <w:numFmt w:val="decimal"/>
      <w:start w:val="12"/>
    </w:lvl>
  </w:abstractNum>
  <w:abstractNum w:abstractNumId="26">
    <w:nsid w:val="7724C67E"/>
    <w:multiLevelType w:val="hybridMultilevel"/>
    <w:lvl w:ilvl="0">
      <w:lvlJc w:val="left"/>
      <w:lvlText w:val="%1."/>
      <w:numFmt w:val="decimal"/>
      <w:start w:val="13"/>
    </w:lvl>
  </w:abstractNum>
  <w:abstractNum w:abstractNumId="27">
    <w:nsid w:val="5C482A97"/>
    <w:multiLevelType w:val="hybridMultilevel"/>
    <w:lvl w:ilvl="0">
      <w:lvlJc w:val="left"/>
      <w:lvlText w:val="%1."/>
      <w:numFmt w:val="decimal"/>
      <w:start w:val="14"/>
    </w:lvl>
  </w:abstractNum>
  <w:abstractNum w:abstractNumId="28">
    <w:nsid w:val="2463B9EA"/>
    <w:multiLevelType w:val="hybridMultilevel"/>
    <w:lvl w:ilvl="0">
      <w:lvlJc w:val="left"/>
      <w:lvlText w:val="%1."/>
      <w:numFmt w:val="decimal"/>
      <w:start w:val="15"/>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lowerRoman"/>
      <w:start w:val="8"/>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Letter"/>
      <w:start w:val="3"/>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3"/>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5"/>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decimal"/>
      <w:start w:val="5"/>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29" Type="http://schemas.openxmlformats.org/officeDocument/2006/relationships/hyperlink" Target="https://www.sec.gov/ix?doc=/Archives/edgar/data/3453/000155837025001875/matx-2024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2025-05-06T05:25:14Z</dcterms:created>
  <dcterms:modified xsi:type="dcterms:W3CDTF">2025-05-06T05:25:14Z</dcterms:modified>
</cp:coreProperties>
</file>