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March 31, 2020: 43,041,265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Arial" w:cs="Arial" w:eastAsia="Arial" w:hAnsi="Arial"/>
                <w:sz w:val="18"/>
                <w:szCs w:val="18"/>
                <w:b w:val="1"/>
                <w:bCs w:val="1"/>
                <w:color w:val="auto"/>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6920" w:type="dxa"/>
            <w:vAlign w:val="bottom"/>
          </w:tcPr>
          <w:p>
            <w:pPr>
              <w:ind w:left="25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7860" w:type="dxa"/>
            <w:vAlign w:val="bottom"/>
            <w:gridSpan w:val="2"/>
            <w:vMerge w:val="restart"/>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860" w:type="dxa"/>
            <w:vAlign w:val="bottom"/>
            <w:gridSpan w:val="2"/>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03"/>
        </w:trPr>
        <w:tc>
          <w:tcPr>
            <w:tcW w:w="94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 and Comprehensive Income</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Shareholders’ Equity</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w w:val="96"/>
              </w:rPr>
            </w:pPr>
            <w:hyperlink w:anchor="page20">
              <w:r>
                <w:rPr>
                  <w:rFonts w:ascii="Arial" w:cs="Arial" w:eastAsia="Arial" w:hAnsi="Arial"/>
                  <w:sz w:val="18"/>
                  <w:szCs w:val="18"/>
                  <w:u w:val="single" w:color="auto"/>
                  <w:color w:val="0000EE"/>
                  <w:w w:val="96"/>
                </w:rPr>
                <w:t>Management’s Discussion and Analysis of Financial Condition and Results of Operations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32"/>
        </w:trPr>
        <w:tc>
          <w:tcPr>
            <w:tcW w:w="7860" w:type="dxa"/>
            <w:vAlign w:val="bottom"/>
            <w:gridSpan w:val="2"/>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8"/>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1A.</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Defaults Upon Senior Securities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692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6.</w:t>
              </w:r>
            </w:hyperlink>
          </w:p>
        </w:tc>
        <w:tc>
          <w:tcPr>
            <w:tcW w:w="692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424"/>
        </w:trPr>
        <w:tc>
          <w:tcPr>
            <w:tcW w:w="9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(514.9)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Arial" w:cs="Arial" w:eastAsia="Arial" w:hAnsi="Arial"/>
                <w:sz w:val="18"/>
                <w:szCs w:val="18"/>
                <w:color w:val="auto"/>
              </w:rPr>
              <w:t>Other adjustments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credit loss of $4.7 million and $4.3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million, respectively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Repayments of debt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(133.5)</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financing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payments, net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$ 504.2</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$ 805.7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Equity interest in SSAT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2020</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$ 32.3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$ 500.7</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$ 800.2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$ 460.0</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$ 755.3</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Adoption of new lease accounting standard</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2019</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$ 32.1</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$ 467.8</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$ 763.0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7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provides terminal and stevedoring services to various carriers at eight terminal facilities on the U.S. West Coast, including four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390"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2019, filed with the Securities and Exchange Commission (“SEC”) on February 28, 2020.</w:t>
      </w:r>
    </w:p>
    <w:p>
      <w:pPr>
        <w:spacing w:after="0" w:line="165"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covered by this report is March 31, 2020.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March, or March 27, 2020, for the first quarter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2019.</w:t>
      </w:r>
    </w:p>
    <w:p>
      <w:pPr>
        <w:spacing w:after="0" w:line="18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uninsured risks and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b w:val="1"/>
          <w:bCs w:val="1"/>
          <w:i w:val="1"/>
          <w:iCs w:val="1"/>
          <w:color w:val="auto"/>
        </w:rPr>
        <w:t xml:space="preserve">Allowance for Doubtful Accounts Receivable: </w:t>
      </w:r>
      <w:r>
        <w:rPr>
          <w:rFonts w:ascii="Arial" w:cs="Arial" w:eastAsia="Arial" w:hAnsi="Arial"/>
          <w:sz w:val="17"/>
          <w:szCs w:val="17"/>
          <w:color w:val="auto"/>
        </w:rPr>
        <w:t>Allowance for doubtful accounts receivable is established by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7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Related Expenses: </w:t>
      </w:r>
      <w:r>
        <w:rPr>
          <w:rFonts w:ascii="Arial" w:cs="Arial" w:eastAsia="Arial" w:hAnsi="Arial"/>
          <w:sz w:val="18"/>
          <w:szCs w:val="18"/>
          <w:color w:val="auto"/>
        </w:rPr>
        <w:t>Revenue in the Company’s Condensed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is 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78" w:lineRule="exact"/>
        <w:rPr>
          <w:sz w:val="20"/>
          <w:szCs w:val="20"/>
          <w:color w:val="auto"/>
        </w:rPr>
      </w:pPr>
    </w:p>
    <w:p>
      <w:pPr>
        <w:ind w:left="380" w:right="119"/>
        <w:spacing w:after="0" w:line="302" w:lineRule="auto"/>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1"/>
              </w:rPr>
              <w:t>2019 (2)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68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268"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ind w:left="380" w:right="119" w:hanging="330"/>
        <w:spacing w:after="0" w:line="232"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has reclassified $3.1 million from transportation brokerage and freight forwarding services to warehouse and distribution services for the quarter ended March 31, 2019 to be consistent with its current period presentation. There was no change in total Logistics revenue for the quarter ended March 31, 2019.</w:t>
      </w:r>
    </w:p>
    <w:p>
      <w:pPr>
        <w:spacing w:after="0" w:line="87" w:lineRule="exact"/>
        <w:rPr>
          <w:sz w:val="20"/>
          <w:szCs w:val="20"/>
          <w:color w:val="auto"/>
        </w:rPr>
      </w:pPr>
    </w:p>
    <w:p>
      <w:pPr>
        <w:jc w:val="both"/>
        <w:ind w:left="380" w:right="499"/>
        <w:spacing w:after="0" w:line="311" w:lineRule="auto"/>
        <w:rPr>
          <w:sz w:val="20"/>
          <w:szCs w:val="20"/>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labor and equipment. Revenue and the related purchased third-party transportation costs are recognized over the duration of a delivery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59"/>
        <w:spacing w:after="0" w:line="253" w:lineRule="auto"/>
        <w:rPr>
          <w:sz w:val="20"/>
          <w:szCs w:val="20"/>
          <w:color w:val="auto"/>
        </w:rPr>
      </w:pPr>
      <w:r>
        <w:rPr>
          <w:rFonts w:ascii="Arial" w:cs="Arial" w:eastAsia="Arial" w:hAnsi="Arial"/>
          <w:sz w:val="18"/>
          <w:szCs w:val="18"/>
          <w:color w:val="auto"/>
        </w:rPr>
        <w:t>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1" w:lineRule="exact"/>
        <w:rPr>
          <w:sz w:val="20"/>
          <w:szCs w:val="20"/>
          <w:color w:val="auto"/>
        </w:rPr>
      </w:pPr>
    </w:p>
    <w:p>
      <w:pPr>
        <w:ind w:left="380" w:right="99"/>
        <w:spacing w:after="0" w:line="266"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2" w:lineRule="exact"/>
        <w:rPr>
          <w:sz w:val="20"/>
          <w:szCs w:val="20"/>
          <w:color w:val="auto"/>
        </w:rPr>
      </w:pP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78"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2019. As of March 31, 2020 and December 31, 2019, $1.7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months ended March 31, 2020 and 2019, the Company deposited $70.4 million and $13.4 million into the CCF, and made qualifying cash withdrawals of $70.4 million and $13.4 million from the CCF, respectively. The balance of cash on deposit at March 31, 2020 and December 31, 2019 was nominal.</w:t>
      </w:r>
    </w:p>
    <w:p>
      <w:pPr>
        <w:spacing w:after="0" w:line="168"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(unaudited) for SSAT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and 2019 consisted of the following:</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(265.4)</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jc w:val="both"/>
        <w:ind w:left="60" w:right="459"/>
        <w:spacing w:after="0" w:line="259" w:lineRule="auto"/>
        <w:rPr>
          <w:sz w:val="20"/>
          <w:szCs w:val="20"/>
          <w:color w:val="auto"/>
        </w:rPr>
      </w:pPr>
      <w:r>
        <w:rPr>
          <w:rFonts w:ascii="Arial" w:cs="Arial" w:eastAsia="Arial" w:hAnsi="Arial"/>
          <w:sz w:val="18"/>
          <w:szCs w:val="18"/>
          <w:color w:val="auto"/>
        </w:rPr>
        <w:t>The Company’s investment in SSAT was $74.3 million and $76.2 million at March 31, 2020 and December 31, 2019, respectively. During the three months ended March 31, 2020, the Company recorded an increase of $2.2 million in its investment in SSAT and a corresponding increase in retained earnings related to the formation of a new subsidiary of SSAT, whose controlling interest is retained by SSAT.</w:t>
      </w:r>
    </w:p>
    <w:p>
      <w:pPr>
        <w:spacing w:after="0" w:line="187"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Company’s first quarter 2020 cash dividend of $0.22 per share was paid on March 5, 2020. On April 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the Company’s Board of Directors declared a cash dividend of $0.22 per share payable on June 4, 2020.</w:t>
      </w:r>
    </w:p>
    <w:p>
      <w:pPr>
        <w:spacing w:after="0" w:line="6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 2016-13”)</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Financial Accounting Standards Board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w:t>
      </w:r>
    </w:p>
    <w:p>
      <w:pPr>
        <w:spacing w:after="0" w:line="19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Company adopted ASU 2016-13 effective January 1, 2020 using the modified retrospective approach. Upon adoption, the Company included an evaluation of expected future credit losses as part of its estimate for determining the allowance for doubtful accounts. The impact of this change was not material to the Company’s allowance for doubtful accounts receivable in the Condensed Consolidated Financial Statements. The Company will continue to monitor the impact of the recent COVID-19 pandemic on expected future credit losses. The Company’s accounting policy related to allowance for doubtful accounts receivable is described above.</w:t>
      </w:r>
    </w:p>
    <w:p>
      <w:pPr>
        <w:spacing w:after="0" w:line="390" w:lineRule="exact"/>
        <w:rPr>
          <w:sz w:val="20"/>
          <w:szCs w:val="20"/>
          <w:color w:val="auto"/>
        </w:rPr>
      </w:pPr>
    </w:p>
    <w:p>
      <w:pPr>
        <w:ind w:left="640" w:hanging="59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consists of two reportable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78"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$19.4 million and $21.8 million for the three months ended March 31, 2020 and 2019, respectively, have been eliminated from operating revenues in the table below.</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Reportable segment financial information for the three months ended March 31, 2020 and 2019 are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400.9</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8"/>
                <w:szCs w:val="18"/>
                <w:color w:val="auto"/>
              </w:rPr>
              <w:t>Ocean Transportation (3)</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319" w:hanging="330"/>
        <w:spacing w:after="0" w:line="230"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$9.4 million and $11.4 million for the three months ended March 31, 2020 and 2019, respectively.</w:t>
      </w:r>
    </w:p>
    <w:p>
      <w:pPr>
        <w:ind w:left="380" w:right="399" w:hanging="330"/>
        <w:spacing w:after="0" w:line="22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$10.0 million and $10.4 million for the three months ended March 31, 2020 and 2019, respectively.</w:t>
      </w:r>
    </w:p>
    <w:p>
      <w:pPr>
        <w:ind w:left="380" w:right="339" w:hanging="330"/>
        <w:spacing w:after="0" w:line="237"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$4.0 million and $8.5 million of equity in income from the Company’s equity investment in SSAT for the three months ended March 31, 2020 and 2019, respectively.</w:t>
      </w:r>
    </w:p>
    <w:p>
      <w:pPr>
        <w:spacing w:after="0" w:line="399"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March 31, 2020 and December 31, 2019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1,966.1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(1,253.4)</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 xml:space="preserve">Vessel construction in progress relates to progress payments for the construction of new vessels, capitalized owner’s items and capitalized interest. During the three months ended March 31, 2020, the newly constructed vessel, </w:t>
      </w:r>
      <w:r>
        <w:rPr>
          <w:rFonts w:ascii="Arial" w:cs="Arial" w:eastAsia="Arial" w:hAnsi="Arial"/>
          <w:sz w:val="18"/>
          <w:szCs w:val="18"/>
          <w:i w:val="1"/>
          <w:iCs w:val="1"/>
          <w:color w:val="auto"/>
        </w:rPr>
        <w:t>Lurline</w:t>
      </w:r>
      <w:r>
        <w:rPr>
          <w:rFonts w:ascii="Arial" w:cs="Arial" w:eastAsia="Arial" w:hAnsi="Arial"/>
          <w:sz w:val="18"/>
          <w:szCs w:val="18"/>
          <w:color w:val="auto"/>
        </w:rPr>
        <w:t xml:space="preserve"> was placed into service resulting in $308.2 million, including $16.5 million of capitalized interest, being transferred from the Vessel construction in progress category to the Vessels category within Property and Equipment. Capitalized interest included in Vessel construction in progress was $7.4 million and $22.0 million at March 31, 2020 and December 31, 2019, respectively.</w:t>
      </w:r>
    </w:p>
    <w:p>
      <w:pPr>
        <w:spacing w:after="0" w:line="200" w:lineRule="exact"/>
        <w:rPr>
          <w:sz w:val="20"/>
          <w:szCs w:val="20"/>
          <w:color w:val="auto"/>
        </w:rPr>
      </w:pPr>
    </w:p>
    <w:p>
      <w:pPr>
        <w:spacing w:after="0" w:line="204"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March 31, 2020 and December 31, 2019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6"/>
          </w:tcPr>
          <w:p>
            <w:pPr>
              <w:ind w:left="20"/>
              <w:spacing w:after="0"/>
              <w:rPr>
                <w:sz w:val="20"/>
                <w:szCs w:val="20"/>
                <w:color w:val="auto"/>
              </w:rPr>
            </w:pPr>
            <w:r>
              <w:rPr>
                <w:rFonts w:ascii="Arial" w:cs="Arial" w:eastAsia="Arial" w:hAnsi="Arial"/>
                <w:sz w:val="18"/>
                <w:szCs w:val="18"/>
                <w:color w:val="auto"/>
                <w:w w:val="97"/>
              </w:rPr>
              <w:t>Intangible assets as of March 31, 2020 and December 31, 2019 consisted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172.9</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deterioration in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units in the 2019 annual impairment tests, the Company concluded that an impairment triggering event did not occur during the quarter ended March 31, 2020.</w:t>
      </w:r>
    </w:p>
    <w:p>
      <w:pPr>
        <w:spacing w:after="0" w:line="17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 or future changes in the assumptions and estimates used in assessing the fair value of the reporting unit, could require the Company to record a non-cash impairment charge.</w:t>
      </w:r>
    </w:p>
    <w:p>
      <w:pPr>
        <w:spacing w:after="0" w:line="349"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March 31, 2020 and December 31, 2019,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20"/>
              <w:spacing w:after="0"/>
              <w:rPr>
                <w:sz w:val="20"/>
                <w:szCs w:val="20"/>
                <w:color w:val="auto"/>
              </w:rPr>
            </w:pPr>
            <w:r>
              <w:rPr>
                <w:rFonts w:ascii="Arial" w:cs="Arial" w:eastAsia="Arial" w:hAnsi="Arial"/>
                <w:sz w:val="18"/>
                <w:szCs w:val="18"/>
                <w:color w:val="auto"/>
              </w:rPr>
              <w:t>5.79 %, payable through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20"/>
              <w:spacing w:after="0"/>
              <w:rPr>
                <w:sz w:val="20"/>
                <w:szCs w:val="20"/>
                <w:color w:val="auto"/>
              </w:rPr>
            </w:pPr>
            <w:r>
              <w:rPr>
                <w:rFonts w:ascii="Arial" w:cs="Arial" w:eastAsia="Arial" w:hAnsi="Arial"/>
                <w:sz w:val="18"/>
                <w:szCs w:val="18"/>
                <w:color w:val="auto"/>
              </w:rPr>
              <w:t>4.16 %, payable through 2027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20"/>
              <w:spacing w:after="0"/>
              <w:rPr>
                <w:sz w:val="20"/>
                <w:szCs w:val="20"/>
                <w:color w:val="auto"/>
              </w:rPr>
            </w:pPr>
            <w:r>
              <w:rPr>
                <w:rFonts w:ascii="Arial" w:cs="Arial" w:eastAsia="Arial" w:hAnsi="Arial"/>
                <w:sz w:val="18"/>
                <w:szCs w:val="18"/>
                <w:color w:val="auto"/>
              </w:rPr>
              <w:t>3.14 %, payable through 2031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20"/>
              <w:spacing w:after="0"/>
              <w:rPr>
                <w:sz w:val="20"/>
                <w:szCs w:val="20"/>
                <w:color w:val="auto"/>
              </w:rPr>
            </w:pPr>
            <w:r>
              <w:rPr>
                <w:rFonts w:ascii="Arial" w:cs="Arial" w:eastAsia="Arial" w:hAnsi="Arial"/>
                <w:sz w:val="18"/>
                <w:szCs w:val="18"/>
                <w:color w:val="auto"/>
              </w:rPr>
              <w:t>4.35 %, payable through 2044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Title XI Debt: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20"/>
              <w:spacing w:after="0"/>
              <w:rPr>
                <w:sz w:val="20"/>
                <w:szCs w:val="20"/>
                <w:color w:val="auto"/>
              </w:rPr>
            </w:pPr>
            <w:r>
              <w:rPr>
                <w:rFonts w:ascii="Arial" w:cs="Arial" w:eastAsia="Arial" w:hAnsi="Arial"/>
                <w:sz w:val="18"/>
                <w:szCs w:val="18"/>
                <w:color w:val="auto"/>
              </w:rPr>
              <w:t>5.27 %, payable through 2029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maturity date of June 29, 2022</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description of the Company’s debt:</w:t>
      </w:r>
    </w:p>
    <w:p>
      <w:pPr>
        <w:spacing w:after="0" w:line="221"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i w:val="1"/>
          <w:iCs w:val="1"/>
          <w:color w:val="auto"/>
        </w:rPr>
        <w:t>Private Placement Term Loans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5.79 percent notes payable through 2020 are amortized by semi-annual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of $3.5 million plus interest.</w:t>
      </w:r>
    </w:p>
    <w:p>
      <w:pPr>
        <w:spacing w:after="0" w:line="16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During the second quarter of 2012, the Company issued $170.0 million of unsecured notes, which funded in three tranches, $77.5 million at an interest rate of 3.66 percent, $55.0 million at an interest rate of 4.16 percent, and $37.5 million at an interest rate of 4.31 percent (the “2012 Notes”). Principal and interest are payable semi-annually. The 2012 Notes began to amortize in 2015 with aggregate semi-annual payments of $4.6 million which continued through 2016, followed by $8.4 million in 2017 through mid-year 2023, $3.8 million through mid-year 2027, and $1.2 million thereafter.</w:t>
      </w:r>
    </w:p>
    <w:p>
      <w:pPr>
        <w:spacing w:after="0" w:line="161"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January 2014, the Company issued $100.0 million of 30-year senior unsecured notes at an interest rate of 4.35 percent, payable semi-annually (the “2014 Notes”).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In July 2015, the Company issued $75.0 million of 30-year senior unsecured notes at an interest rate of 3.92 percent, payable semi-annually (the “2015 Notes”). The 2015 Notes began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87" w:lineRule="auto"/>
        <w:rPr>
          <w:sz w:val="20"/>
          <w:szCs w:val="20"/>
          <w:color w:val="auto"/>
        </w:rPr>
      </w:pPr>
      <w:r>
        <w:rPr>
          <w:rFonts w:ascii="Arial" w:cs="Arial" w:eastAsia="Arial" w:hAnsi="Arial"/>
          <w:sz w:val="16"/>
          <w:szCs w:val="16"/>
          <w:color w:val="auto"/>
        </w:rPr>
        <w:t>In September 2016, the Company issued $200.0 million of 15-year senior unsecured notes (the “Series D Notes”) at an interest rate of 3.14 percent, payable semi-annually. The Series D Notes began to amortize in 2019, with semi-annual principal payments of $6.0 million. During the years 2020 through 2023, semi-annual principal payments will be</w:t>
      </w:r>
    </w:p>
    <w:p>
      <w:pPr>
        <w:spacing w:after="0" w:line="2" w:lineRule="exact"/>
        <w:rPr>
          <w:sz w:val="20"/>
          <w:szCs w:val="20"/>
          <w:color w:val="auto"/>
        </w:rPr>
      </w:pPr>
    </w:p>
    <w:p>
      <w:pPr>
        <w:ind w:left="60" w:right="259" w:firstLine="45"/>
        <w:spacing w:after="0" w:line="260" w:lineRule="auto"/>
        <w:rPr>
          <w:sz w:val="20"/>
          <w:szCs w:val="20"/>
          <w:color w:val="auto"/>
        </w:rPr>
      </w:pPr>
      <w:r>
        <w:rPr>
          <w:rFonts w:ascii="Arial" w:cs="Arial" w:eastAsia="Arial" w:hAnsi="Arial"/>
          <w:sz w:val="18"/>
          <w:szCs w:val="18"/>
          <w:color w:val="auto"/>
        </w:rPr>
        <w:t>$9.2 million. Starting in 2024, and in each year thereafter through maturity in 2031, the semi-annual principal payments will be $7.15 million.</w:t>
      </w:r>
    </w:p>
    <w:p>
      <w:pPr>
        <w:spacing w:after="0" w:line="185"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 of 3.37 percent, payable semi-annually (the “Series A Notes”). The Series A Notes will begin to amortize in 2021, with principal payments of $5.8 million in 2021 and $11.5 million per year, paid semi-annually, from 2022 through 2027.</w:t>
      </w:r>
    </w:p>
    <w:p>
      <w:pPr>
        <w:spacing w:after="0" w:line="381"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b w:val="1"/>
          <w:bCs w:val="1"/>
          <w:i w:val="1"/>
          <w:iCs w:val="1"/>
          <w:color w:val="auto"/>
        </w:rPr>
        <w:t xml:space="preserve">Existing and 2020 Title XI Bonds: </w:t>
      </w:r>
      <w:r>
        <w:rPr>
          <w:rFonts w:ascii="Arial" w:cs="Arial" w:eastAsia="Arial" w:hAnsi="Arial"/>
          <w:sz w:val="17"/>
          <w:szCs w:val="17"/>
          <w:color w:val="auto"/>
        </w:rPr>
        <w:t>In September 2003, MatNav issued $55.0 million in U.S. Government guaranteed 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financing bonds (Title XI) to finance the delivery of </w:t>
      </w:r>
      <w:r>
        <w:rPr>
          <w:rFonts w:ascii="Arial" w:cs="Arial" w:eastAsia="Arial" w:hAnsi="Arial"/>
          <w:sz w:val="17"/>
          <w:szCs w:val="17"/>
          <w:i w:val="1"/>
          <w:iCs w:val="1"/>
          <w:color w:val="auto"/>
        </w:rPr>
        <w:t>Manukai</w:t>
      </w:r>
      <w:r>
        <w:rPr>
          <w:rFonts w:ascii="Arial" w:cs="Arial" w:eastAsia="Arial" w:hAnsi="Arial"/>
          <w:sz w:val="17"/>
          <w:szCs w:val="17"/>
          <w:color w:val="auto"/>
        </w:rPr>
        <w:t xml:space="preserve"> (the “Existing Title XI Bonds”). The bonds have a final maturity in September 2028 with a coupon rate of 5.34 percent. The bonds are amortized by semi-annual payments of $1.1 million plus interest. In August 2004, MatNav issued $55.0 million of U.S. Government guaranteed ship financing bonds (Title XI) to finance the delivery of </w:t>
      </w:r>
      <w:r>
        <w:rPr>
          <w:rFonts w:ascii="Arial" w:cs="Arial" w:eastAsia="Arial" w:hAnsi="Arial"/>
          <w:sz w:val="17"/>
          <w:szCs w:val="17"/>
          <w:i w:val="1"/>
          <w:iCs w:val="1"/>
          <w:color w:val="auto"/>
        </w:rPr>
        <w:t>Maunawili</w:t>
      </w:r>
      <w:r>
        <w:rPr>
          <w:rFonts w:ascii="Arial" w:cs="Arial" w:eastAsia="Arial" w:hAnsi="Arial"/>
          <w:sz w:val="17"/>
          <w:szCs w:val="17"/>
          <w:color w:val="auto"/>
        </w:rPr>
        <w:t>. The bonds have a final maturity in July 2029 with a coupon rate of 5.27 percent. The bonds are amortized by semi-annual payments of $1.1 million plus interest.</w:t>
      </w:r>
    </w:p>
    <w:p>
      <w:pPr>
        <w:spacing w:after="0" w:line="178"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On April 27, 2020, MatNav entered into (i) a consolidated agreement (the “Consolidated Agreement”) among MatNav, the United States of America, represented by the Maritime Administrator of the Maritime Administration (“MARAD”) and, with respect to certain provisions, the Company and (ii) a Note Purchase Agreement (the “Note Purchase Agreement”) among MatNav, MARAD, and the Federal Financing Bank (the “FFB”). Pursuant to the Consolidated Agreement, the Note Purchase Agreement and certain related agreements (collectively, the “2020 Title XI Debt Agreements”), MatNav obtained Title XI financing in the amount of $185.9 million (the “2020 Title XI Bonds” and, collectively with the Existing Title XI Bonds, the “Title XI Bonds”). A fee of approximately $8.7 million was paid to MARAD out of the proceeds at closing. The net proceeds of approximately $177 million were used to reduce outstanding debt.</w:t>
      </w:r>
    </w:p>
    <w:p>
      <w:pPr>
        <w:spacing w:after="0" w:line="16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 xml:space="preserve">The 2020 Title XI Bonds mature on October 15, 2043 and have a cash interest rate of 1.22 percent, payable semi-annually in arrears on April 15 and October 15, commencing on October 15, 2020, together with a principal payment of approximately $4.0 million. MatNav may prepay any amounts outstanding under the Consolidated Agreement subject to a potential prepayment premium or other adjustment, in accordance with the 2020 Title XI Debt Agreements. Once amounts under the 2020 Title XI Bonds are repaid, they may not be reborrowed. Mandatory prepayments are required under certain limited circumstances, including specified casualty events with respect to the vessel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(the “Vessel”).</w:t>
      </w:r>
    </w:p>
    <w:p>
      <w:pPr>
        <w:spacing w:after="0" w:line="164"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On June 29, 2017 (the “Closing Date”), the Company entered into an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that 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Matson’s principal operating subsidiary MatNav and by certain other subsidiaries.</w:t>
      </w:r>
    </w:p>
    <w:p>
      <w:pPr>
        <w:spacing w:after="0" w:line="18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March 31, 2020 the Company entered into a First Amendment to Amended and Restated Credit Agreement (the “Credit Agreement Amendment”) to the Credit Agreement. The Credit Agreement Amendment provides for amendments to certain covenants and other terms, including increasing the permitted consolidated leverage ratio from March 31, 2020 to December 30, 2021, amending the pricing grid to provide for pricing ranging from, at the Company’s election, LIBOR plus a margin between 1.75 percent and 3.50 percent or a base rate plus a margin between 0.75 percent and 2.50 percent depending on the Company’s consolidated net leverage ratio; providing for additional limitations on stock redemptions and repurchases, sale leaseback transactions and asset sales during the period from March 31, 2020 through December 30, 2021; and providing for additional limitations on incurrence of priority debt through December 21, 2027. In addition, the Credit Agreement Amendment adds a “most favored lender” provision for the benefit of the lenders with respect to the Company’s Private Loan Facilities.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Pursuant to the Credit Agreement Amendment, commencing March 31, 2020, borrowings under the Credit Agreement bear interest at either LIBOR plus a margin of between 1.75 percent and 3.50 percent or the base rate plus a margin of between 0.75 percent and 2.50 percent. Letters of credit are subject to fees based on the Company’s consolidated net leverage ratio at a rate of between 1.75 percent and 3.50 percent, and the Company also pays a commitment fee of between 0.25 percent and 0.55 percent depending on the Company’s consolidated net leverage ratio.</w:t>
      </w:r>
    </w:p>
    <w:p>
      <w:pPr>
        <w:spacing w:after="0" w:line="1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As of March 31, 2020, the Company had $163.6 million of remaining borrowing availability under the revolving credit facility. The Company used $7.7 million of the sublimit for letters of credit outstanding as of March 31, 2020. Based on the Company’s consolidated net leverage ratio, which stipulates borrowing margins, the interest rate applicable to revolving credit facility was approximately 3.50 percent at March 31, 2020.</w:t>
      </w:r>
    </w:p>
    <w:p>
      <w:pPr>
        <w:spacing w:after="0" w:line="187"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b w:val="1"/>
          <w:bCs w:val="1"/>
          <w:i w:val="1"/>
          <w:iCs w:val="1"/>
          <w:color w:val="auto"/>
        </w:rPr>
        <w:t xml:space="preserve">Amendments to Existing Private Placement Term Loan Facilities and New Shelf Facilities (“Private Debt Agreements”): </w:t>
      </w:r>
      <w:r>
        <w:rPr>
          <w:rFonts w:ascii="Arial" w:cs="Arial" w:eastAsia="Arial" w:hAnsi="Arial"/>
          <w:sz w:val="16"/>
          <w:szCs w:val="16"/>
          <w:color w:val="auto"/>
        </w:rPr>
        <w:t>On June 29, 2017, the Company and the holders of the Company’s term loans entered into amendments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the “2017 Amendments”) to each of Company’s Private Debt Agreements, previously issued prior to the Closing Date. 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w:t>
      </w:r>
    </w:p>
    <w:p>
      <w:pPr>
        <w:spacing w:after="0" w:line="164"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On March 31, 2020, the Company and the holders of notes party thereto entered into amendments (collectively, the “2020 Amendments”) to each of the Company’s Private Loan Facilities. The 2020 Amendments modify certain covenants and other terms, including increasing the permitted consolidated leverage ratio from March 31, 2020 to December 30, 2021; providing for additional quarterly interest enhancement payments based on the Company’s consolidated leverage ratio from the quarter ended March 31, 2020 through the quarters ending December 31, 2021; providing for an additional 25 basis points of interest on the Notes commencing on January 1, 2022 (subject to termination of such incremental interest upon the Company meeting a consolidated leverage ratio of less than 3:00 to 1:00 for two consecutive fiscal quarters); providing for additional fee payments to be made for the quarters ending June 30, 2021 and September 30, 2021; providing for prepayment at par at the option of the holders with proceeds of certain Title XI debt and dispositions of capital assets; providing for additional limitations on stock redemptions and repurchases, sale leaseback transactions and asset sales during the period from March 31, 2020 through and including December 30, 2021; and providing for additional limitations on incurrence of priority debt through December 21, 2027. In addition, the 2020 Amendments add a “most favored lender” provision for the benefit of the noteholders with respect to the other Private Loan Facilities and the Credit Agreement.</w:t>
      </w:r>
    </w:p>
    <w:p>
      <w:pPr>
        <w:spacing w:after="0" w:line="174"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 xml:space="preserve">Financing Costs: </w:t>
      </w:r>
      <w:r>
        <w:rPr>
          <w:rFonts w:ascii="Arial" w:cs="Arial" w:eastAsia="Arial" w:hAnsi="Arial"/>
          <w:sz w:val="18"/>
          <w:szCs w:val="18"/>
          <w:color w:val="auto"/>
        </w:rPr>
        <w:t>The Company paid approximately $2.0 million and $0.8 million related to the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and the 2020 Amendments, respectively. These amounts have been included in other assets in the Condensed Consolidated Balance Sheet as of March 31, 2020.</w:t>
      </w:r>
    </w:p>
    <w:p>
      <w:pPr>
        <w:spacing w:after="0" w:line="180" w:lineRule="exact"/>
        <w:rPr>
          <w:sz w:val="20"/>
          <w:szCs w:val="20"/>
          <w:color w:val="auto"/>
        </w:rPr>
      </w:pPr>
    </w:p>
    <w:p>
      <w:pPr>
        <w:ind w:left="60" w:right="159"/>
        <w:spacing w:after="0" w:line="292" w:lineRule="auto"/>
        <w:rPr>
          <w:sz w:val="20"/>
          <w:szCs w:val="20"/>
          <w:color w:val="auto"/>
        </w:rPr>
      </w:pPr>
      <w:r>
        <w:rPr>
          <w:rFonts w:ascii="Arial" w:cs="Arial" w:eastAsia="Arial" w:hAnsi="Arial"/>
          <w:sz w:val="16"/>
          <w:szCs w:val="16"/>
          <w:b w:val="1"/>
          <w:bCs w:val="1"/>
          <w:i w:val="1"/>
          <w:iCs w:val="1"/>
          <w:color w:val="auto"/>
        </w:rPr>
        <w:t>Debt Covenants in the Private Placement Term Loans and the Revolving Credit Facility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Credit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Loan Facilities (collectively, the “Private Debt Agreements”) contain affirmative, negative and financial covenants customary for financings of this type, including, among other things, limitations on certain other indebtedness, loans and investments, liens, mergers, asset sales, and transactions with affiliates as defined within the Private Debt Agreements. The Private Debt Agreements also contain customary events of default, including cross defaults to other material indebtedness, including the Title XI debt. A brief description of the principal covenants contained in the Private Debt Agreements includes, but is not limited to the following (as defined within the Private Debt Agreements):</w:t>
      </w:r>
    </w:p>
    <w:p>
      <w:pPr>
        <w:spacing w:after="0" w:line="165" w:lineRule="exact"/>
        <w:rPr>
          <w:sz w:val="20"/>
          <w:szCs w:val="20"/>
          <w:color w:val="auto"/>
        </w:rPr>
      </w:pPr>
    </w:p>
    <w:p>
      <w:pPr>
        <w:ind w:left="380" w:right="119" w:hanging="330"/>
        <w:spacing w:after="0" w:line="258"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Consolidated Interest Coverage Ratio as of the end of any fiscal quarter is not permitted to be less than 3.50 to 1.0;</w:t>
      </w:r>
    </w:p>
    <w:p>
      <w:pPr>
        <w:spacing w:after="0" w:line="1" w:lineRule="exact"/>
        <w:rPr>
          <w:rFonts w:ascii="Arial" w:cs="Arial" w:eastAsia="Arial" w:hAnsi="Arial"/>
          <w:sz w:val="18"/>
          <w:szCs w:val="18"/>
          <w:color w:val="auto"/>
        </w:rPr>
      </w:pPr>
    </w:p>
    <w:p>
      <w:pPr>
        <w:ind w:left="380" w:right="69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Consolidated Leverage Ratio as of the end of any fiscal quarter is not permitted to exceed the ratios specified in the Private Debt Agreements for the applicable quarter; and</w:t>
      </w:r>
    </w:p>
    <w:p>
      <w:pPr>
        <w:ind w:left="380" w:right="279" w:hanging="330"/>
        <w:spacing w:after="0" w:line="255"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Priority Debt may be incurred other than: (i) an aggregate of $331,000,000 principal amount of Title XI Priority Debt and (ii) Priority Debt incurred by Foreign Subsidiaries in an aggregate principal amount not to exceed $20,000,000.</w:t>
      </w:r>
    </w:p>
    <w:p>
      <w:pPr>
        <w:spacing w:after="0" w:line="190" w:lineRule="exact"/>
        <w:rPr>
          <w:sz w:val="20"/>
          <w:szCs w:val="20"/>
          <w:color w:val="auto"/>
        </w:rPr>
      </w:pPr>
    </w:p>
    <w:p>
      <w:pPr>
        <w:jc w:val="both"/>
        <w:ind w:left="60" w:right="619"/>
        <w:spacing w:after="0" w:line="263" w:lineRule="auto"/>
        <w:rPr>
          <w:sz w:val="20"/>
          <w:szCs w:val="20"/>
          <w:color w:val="auto"/>
        </w:rPr>
      </w:pPr>
      <w:r>
        <w:rPr>
          <w:rFonts w:ascii="Arial" w:cs="Arial" w:eastAsia="Arial" w:hAnsi="Arial"/>
          <w:sz w:val="18"/>
          <w:szCs w:val="18"/>
          <w:color w:val="auto"/>
        </w:rPr>
        <w:t>Principal covenants generally will restrict the incurrence of liens except for permitted liens, which include, without limitation, liens securing Title XI debt up to certain thresholds, as defined within the Private Debt Agreements. The Company was in compliance with these covenants as of March 31, 2020.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b w:val="1"/>
          <w:bCs w:val="1"/>
          <w:i w:val="1"/>
          <w:iCs w:val="1"/>
          <w:color w:val="auto"/>
        </w:rPr>
        <w:t xml:space="preserve">Debt Covenants in Existing Title XI Bonds and 2020 Title XI Debt Agreements: </w:t>
      </w:r>
      <w:r>
        <w:rPr>
          <w:rFonts w:ascii="Arial" w:cs="Arial" w:eastAsia="Arial" w:hAnsi="Arial"/>
          <w:sz w:val="17"/>
          <w:szCs w:val="17"/>
          <w:color w:val="auto"/>
        </w:rPr>
        <w:t>The Existing Title XI Bonds contain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representations and warranties as well as affirmative and negative covenants, defaults and other provisions typical for MARAD-guaranteed financings of this type, with definitions and limitations as defined within the Existing Title XI Bonds. These covenants include, among other things, minimum working capital and net worth requirements, limitations on certain other indebtedness, loans and investments, liens, mergers, asset sales, sale and leaseback transactions, and transactions with affiliates as defined within the Existing Title XI Bonds. Certain of the covenants in the Existing Title XI Bonds are applicable only upon and during the continuance of either (i) an event of default or (ii) the failure of MatNav to meet certain financial requirements.</w:t>
      </w:r>
    </w:p>
    <w:p>
      <w:pPr>
        <w:spacing w:after="0" w:line="178"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2020 Title XI Debt Agreements contain customary representations and warranties as well as affirmative and negative covenants, defaults and other provisions typical for MARAD-guaranteed financings of this type, with definitions, limitations and financial tests all as negotiated between MatNav and MARAD. As part of the 2020 Title XI Debt Agreements, certain covenants contained in the Existing Title XI Bonds were eliminated. The covenants in the 2020 Title XI Debt Agreements include, among other things, limitations on certain other indebtedness, loans and investments, liens, mergers, asset sales, sale-leasebacks, and transactions with affiliates as defined within the 2020 Title XI Debt Agreements. Certain of the covenants in the 2020 Title XI Debt Agreements are applicable only upon and during the continuance of either (i) an event of default or (ii) the failure of either the Company or MatNav to meet certain supplemental financial tests.</w:t>
      </w:r>
    </w:p>
    <w:p>
      <w:pPr>
        <w:spacing w:after="0" w:line="196" w:lineRule="exact"/>
        <w:rPr>
          <w:sz w:val="20"/>
          <w:szCs w:val="20"/>
          <w:color w:val="auto"/>
        </w:rPr>
      </w:pPr>
    </w:p>
    <w:p>
      <w:pPr>
        <w:ind w:left="380" w:right="179" w:hanging="330"/>
        <w:spacing w:after="0" w:line="25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supplemental financial tests applicable to MatNav include maintenance of a working capital minimum of $1, and maintenance of a long term debt to net worth ratio of greater than or equal to 2.0 to 1.0; and</w:t>
      </w:r>
    </w:p>
    <w:p>
      <w:pPr>
        <w:spacing w:after="0" w:line="1" w:lineRule="exact"/>
        <w:rPr>
          <w:rFonts w:ascii="Arial" w:cs="Arial" w:eastAsia="Arial" w:hAnsi="Arial"/>
          <w:sz w:val="18"/>
          <w:szCs w:val="18"/>
          <w:color w:val="auto"/>
        </w:rPr>
      </w:pPr>
    </w:p>
    <w:p>
      <w:pPr>
        <w:ind w:left="380" w:right="179" w:hanging="330"/>
        <w:spacing w:after="0" w:line="25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supplemental financial tests applicable to the Company include maintenance of a net worth greater than or equal to 90% of the net worth of the Company as set forth in the most recent audited financial statements prior to closing of the issuance of the 2020 Title XI Bonds and compliance with the leverage ratio set forth in the Company’s Credit Agreement.</w:t>
      </w:r>
    </w:p>
    <w:p>
      <w:pPr>
        <w:spacing w:after="0" w:line="193"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unsecured, except for the Title XI debt.</w:t>
      </w:r>
    </w:p>
    <w:p>
      <w:pPr>
        <w:spacing w:after="0" w:line="170" w:lineRule="exact"/>
        <w:rPr>
          <w:sz w:val="20"/>
          <w:szCs w:val="20"/>
          <w:color w:val="auto"/>
        </w:rPr>
      </w:pPr>
    </w:p>
    <w:p>
      <w:pPr>
        <w:ind w:left="60" w:right="299"/>
        <w:spacing w:after="0" w:line="296" w:lineRule="auto"/>
        <w:rPr>
          <w:sz w:val="20"/>
          <w:szCs w:val="20"/>
          <w:color w:val="auto"/>
        </w:rPr>
      </w:pPr>
      <w:r>
        <w:rPr>
          <w:rFonts w:ascii="Arial" w:cs="Arial" w:eastAsia="Arial" w:hAnsi="Arial"/>
          <w:sz w:val="16"/>
          <w:szCs w:val="16"/>
          <w:color w:val="auto"/>
        </w:rPr>
        <w:t>Under the 2020 Title XI Debt Agreements, MARAD has guaranteed certain obligations of MatNav to the FFB. MatNav has agreed to reimburse MARAD for any payments it makes under the MARAD guaranty, and MatNav’s obligations to MARAD with respect to the 2020 Title XI Bonds are secured by a mortgage on the Vessel and certain related assets (the “Collateral”), as well as the Existing Vessels (as defined below). In addition, MatNav’s obligations to MARAD with respect to the 2020 Title XI Bonds are guaranteed by the Company under an Affiliate Guaranty (the “Guaranty”).</w:t>
      </w:r>
    </w:p>
    <w:p>
      <w:pPr>
        <w:spacing w:after="0" w:line="16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 xml:space="preserve">The 2020 Title XI Debt Agreements also provide that the two vessels securing MatNav’s Existing Title XI Bonds – </w:t>
      </w:r>
      <w:r>
        <w:rPr>
          <w:rFonts w:ascii="Arial" w:cs="Arial" w:eastAsia="Arial" w:hAnsi="Arial"/>
          <w:sz w:val="18"/>
          <w:szCs w:val="18"/>
          <w:i w:val="1"/>
          <w:iCs w:val="1"/>
          <w:color w:val="auto"/>
        </w:rPr>
        <w:t xml:space="preserve">Manukai </w:t>
      </w:r>
      <w:r>
        <w:rPr>
          <w:rFonts w:ascii="Arial" w:cs="Arial" w:eastAsia="Arial" w:hAnsi="Arial"/>
          <w:sz w:val="18"/>
          <w:szCs w:val="18"/>
          <w:color w:val="auto"/>
        </w:rPr>
        <w:t>and</w:t>
      </w:r>
      <w:r>
        <w:rPr>
          <w:rFonts w:ascii="Arial" w:cs="Arial" w:eastAsia="Arial" w:hAnsi="Arial"/>
          <w:sz w:val="18"/>
          <w:szCs w:val="18"/>
          <w:i w:val="1"/>
          <w:iCs w:val="1"/>
          <w:color w:val="auto"/>
        </w:rPr>
        <w:t xml:space="preserve"> Maunawili </w:t>
      </w:r>
      <w:r>
        <w:rPr>
          <w:rFonts w:ascii="Arial" w:cs="Arial" w:eastAsia="Arial" w:hAnsi="Arial"/>
          <w:sz w:val="18"/>
          <w:szCs w:val="18"/>
          <w:color w:val="auto"/>
        </w:rPr>
        <w:t>(the “Existing Vessels”) – also secure the 2020 Title XI Bonds until the Existing Title XI Bonds</w:t>
      </w:r>
      <w:r>
        <w:rPr>
          <w:rFonts w:ascii="Arial" w:cs="Arial" w:eastAsia="Arial" w:hAnsi="Arial"/>
          <w:sz w:val="18"/>
          <w:szCs w:val="18"/>
          <w:i w:val="1"/>
          <w:iCs w:val="1"/>
          <w:color w:val="auto"/>
        </w:rPr>
        <w:t xml:space="preserve"> </w:t>
      </w:r>
      <w:r>
        <w:rPr>
          <w:rFonts w:ascii="Arial" w:cs="Arial" w:eastAsia="Arial" w:hAnsi="Arial"/>
          <w:sz w:val="18"/>
          <w:szCs w:val="18"/>
          <w:color w:val="auto"/>
        </w:rPr>
        <w:t>are retired in 2028 and 2029, respectively, subject to certain exceptions.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Maturities: </w:t>
      </w:r>
      <w:r>
        <w:rPr>
          <w:rFonts w:ascii="Arial" w:cs="Arial" w:eastAsia="Arial" w:hAnsi="Arial"/>
          <w:sz w:val="18"/>
          <w:szCs w:val="18"/>
          <w:color w:val="auto"/>
        </w:rPr>
        <w:t>At March 31, 2020, debt maturities during the next five years and thereafter are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(in millions)</w:t>
            </w:r>
          </w:p>
        </w:tc>
        <w:tc>
          <w:tcPr>
            <w:tcW w:w="28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r>
      <w:tr>
        <w:trPr>
          <w:trHeight w:val="216"/>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60" w:type="dxa"/>
            <w:vAlign w:val="bottom"/>
            <w:tcBorders>
              <w:bottom w:val="single" w:sz="8" w:color="CCEEFF"/>
            </w:tcBorders>
          </w:tcPr>
          <w:p>
            <w:pPr>
              <w:spacing w:after="0"/>
              <w:rPr>
                <w:sz w:val="18"/>
                <w:szCs w:val="18"/>
                <w:color w:val="auto"/>
              </w:rPr>
            </w:pPr>
          </w:p>
        </w:tc>
      </w:tr>
      <w:tr>
        <w:trPr>
          <w:trHeight w:val="209"/>
        </w:trPr>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i w:val="1"/>
          <w:iCs w:val="1"/>
          <w:color w:val="auto"/>
        </w:rPr>
        <w:t xml:space="preserve">Description of Operating Leases: </w:t>
      </w:r>
      <w:r>
        <w:rPr>
          <w:rFonts w:ascii="Arial" w:cs="Arial" w:eastAsia="Arial" w:hAnsi="Arial"/>
          <w:sz w:val="16"/>
          <w:szCs w:val="16"/>
          <w:color w:val="auto"/>
        </w:rPr>
        <w:t>The Company has different types of operating leases, the specific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Except for the residual value guarantee described below, the Company’s leases do not contain any other residual value guarantees.</w:t>
      </w:r>
    </w:p>
    <w:p>
      <w:pPr>
        <w:spacing w:after="0" w:line="165"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 Company’s sub-lease income was nominal to the Company’s Condensed Consolidated Statements of Income and Comprehensive Income for the three months ended March 31, 2020 and 2019. The Company did not have any finance leases during the three months ended March 31, 2020 and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lease type by underlying asset class and maximum terms of the Company’s operating leases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1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r>
      <w:tr>
        <w:trPr>
          <w:trHeight w:val="209"/>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years</w:t>
            </w:r>
          </w:p>
        </w:tc>
      </w:tr>
      <w:tr>
        <w:trPr>
          <w:trHeight w:val="216"/>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Vessel charter leases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bl>
    <w:p>
      <w:pPr>
        <w:spacing w:after="0" w:line="202"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i w:val="1"/>
          <w:iCs w:val="1"/>
          <w:color w:val="auto"/>
        </w:rPr>
        <w:t xml:space="preserve">Incremental Borrowing Rate: </w:t>
      </w:r>
      <w:r>
        <w:rPr>
          <w:rFonts w:ascii="Arial" w:cs="Arial" w:eastAsia="Arial" w:hAnsi="Arial"/>
          <w:sz w:val="16"/>
          <w:szCs w:val="16"/>
          <w:color w:val="auto"/>
        </w:rPr>
        <w:t>As most of the Company’s operating leases do not provide an implicit rate,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uses an estimated incremental borrowing rate based on information available at the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and Comprehensive Income for the three months ended March 31, 2020 and 2019 consisted of the following: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i w:val="1"/>
          <w:iCs w:val="1"/>
          <w:color w:val="auto"/>
        </w:rPr>
        <w:t xml:space="preserve">Sale and Leaseback of Equipment: </w:t>
      </w:r>
      <w:r>
        <w:rPr>
          <w:rFonts w:ascii="Arial" w:cs="Arial" w:eastAsia="Arial" w:hAnsi="Arial"/>
          <w:sz w:val="18"/>
          <w:szCs w:val="18"/>
          <w:color w:val="auto"/>
        </w:rPr>
        <w:t>On March 25, 2020, the Company entered into an agreement for the sale and leaseback</w:t>
      </w:r>
      <w:r>
        <w:rPr>
          <w:rFonts w:ascii="Arial" w:cs="Arial" w:eastAsia="Arial" w:hAnsi="Arial"/>
          <w:sz w:val="18"/>
          <w:szCs w:val="18"/>
          <w:i w:val="1"/>
          <w:iCs w:val="1"/>
          <w:color w:val="auto"/>
        </w:rPr>
        <w:t xml:space="preserve"> </w:t>
      </w:r>
      <w:r>
        <w:rPr>
          <w:rFonts w:ascii="Arial" w:cs="Arial" w:eastAsia="Arial" w:hAnsi="Arial"/>
          <w:sz w:val="18"/>
          <w:szCs w:val="18"/>
          <w:color w:val="auto"/>
        </w:rPr>
        <w:t>of multiple tranches of chassis and container equipment. The net proceeds from the sales were $14.3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 The Company has included the right of use asset and related lease liabilities in other lease information below. There were no sale and leaseback transactions during the three months ended March 31,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Other Lease Information: </w:t>
      </w:r>
      <w:r>
        <w:rPr>
          <w:rFonts w:ascii="Arial" w:cs="Arial" w:eastAsia="Arial" w:hAnsi="Arial"/>
          <w:sz w:val="17"/>
          <w:szCs w:val="17"/>
          <w:color w:val="auto"/>
        </w:rPr>
        <w:t>Other information related to the Company’s operating leases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and 2019 consisted of the following:</w:t>
      </w:r>
    </w:p>
    <w:tbl>
      <w:tblPr>
        <w:tblLayout w:type="fixed"/>
        <w:tblInd w:w="40" w:type="dxa"/>
        <w:tblCellMar>
          <w:top w:w="0" w:type="dxa"/>
          <w:left w:w="0" w:type="dxa"/>
          <w:bottom w:w="0" w:type="dxa"/>
          <w:right w:w="0" w:type="dxa"/>
        </w:tblCellMar>
      </w:tblPr>
      <w:tr>
        <w:trPr>
          <w:trHeight w:val="148"/>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4"/>
          </w:tcPr>
          <w:p>
            <w:pPr>
              <w:jc w:val="right"/>
              <w:ind w:right="416"/>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0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8"/>
              </w:rPr>
              <w:t>March 31, 2020</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 years</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1"/>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Maturities of operating lease liabilities at March 31, 2020 are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Interest</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Short-term portion</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Long-term operating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i w:val="1"/>
          <w:iCs w:val="1"/>
          <w:color w:val="auto"/>
        </w:rPr>
        <w:t xml:space="preserve">Vessel Charter: </w:t>
      </w:r>
      <w:r>
        <w:rPr>
          <w:rFonts w:ascii="Arial" w:cs="Arial" w:eastAsia="Arial" w:hAnsi="Arial"/>
          <w:sz w:val="16"/>
          <w:szCs w:val="16"/>
          <w:color w:val="auto"/>
        </w:rPr>
        <w:t>On November 26, 2018, a wholly-owned subsidiary of the Company entered into a Bareboat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“Charter”). Charter lease payments are approximately $3.0 million per quarter and are included in the operating lease liabilities described above. The base term of the Charter is five years with a two year end-of-term renewal option. The Charter also includes a maximum residual value guarantee amount of $50.9 million after five years, or $47.7 million after the extended term. The residual value guarantee is excluded from operating lease liabilities described above as the Company determined that it is not probable that any portion of the residual value guarantee will be paid by the Company. The Charter and residual value guarantee are described in Note 9 to the Consolidated Financial Statements included in Part II, Item 8 of the Company’s Annual Report on Form 10-K for the year ended December 31, 2019.</w:t>
      </w:r>
    </w:p>
    <w:p>
      <w:pPr>
        <w:spacing w:after="0" w:line="200" w:lineRule="exact"/>
        <w:rPr>
          <w:sz w:val="20"/>
          <w:szCs w:val="20"/>
          <w:color w:val="auto"/>
        </w:rPr>
      </w:pPr>
    </w:p>
    <w:p>
      <w:pPr>
        <w:spacing w:after="0" w:line="204" w:lineRule="exact"/>
        <w:rPr>
          <w:sz w:val="20"/>
          <w:szCs w:val="20"/>
          <w:color w:val="auto"/>
        </w:rPr>
      </w:pPr>
    </w:p>
    <w:p>
      <w:pPr>
        <w:ind w:left="620" w:hanging="570"/>
        <w:spacing w:after="0"/>
        <w:tabs>
          <w:tab w:leader="none" w:pos="6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3"/>
              </w:rPr>
              <w:t>Pensions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Qualified</w:t>
            </w:r>
          </w:p>
        </w:tc>
        <w:tc>
          <w:tcPr>
            <w:tcW w:w="180" w:type="dxa"/>
            <w:vAlign w:val="bottom"/>
          </w:tcPr>
          <w:p>
            <w:pPr>
              <w:spacing w:after="0"/>
              <w:rPr>
                <w:sz w:val="12"/>
                <w:szCs w:val="12"/>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58"/>
        </w:trPr>
        <w:tc>
          <w:tcPr>
            <w:tcW w:w="4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Retirement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09"/>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2019 consisted of the following:</w:t>
      </w:r>
    </w:p>
    <w:tbl>
      <w:tblPr>
        <w:tblLayout w:type="fixed"/>
        <w:tblInd w:w="40" w:type="dxa"/>
        <w:tblCellMar>
          <w:top w:w="0" w:type="dxa"/>
          <w:left w:w="0" w:type="dxa"/>
          <w:bottom w:w="0" w:type="dxa"/>
          <w:right w:w="0" w:type="dxa"/>
        </w:tblCellMar>
      </w:tblP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3"/>
              </w:rPr>
              <w:t>Pensions</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Retirement</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Plans</w:t>
            </w:r>
          </w:p>
        </w:tc>
        <w:tc>
          <w:tcPr>
            <w:tcW w:w="700" w:type="dxa"/>
            <w:vAlign w:val="bottom"/>
            <w:gridSpan w:val="3"/>
            <w:vMerge w:val="continue"/>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Balance at March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7"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March 31, 2020 and December 31, 2019 are as follows:</w:t>
      </w:r>
    </w:p>
    <w:tbl>
      <w:tblPr>
        <w:tblLayout w:type="fixed"/>
        <w:tblInd w:w="40" w:type="dxa"/>
        <w:tblCellMar>
          <w:top w:w="0" w:type="dxa"/>
          <w:left w:w="0" w:type="dxa"/>
          <w:bottom w:w="0" w:type="dxa"/>
          <w:right w:w="0" w:type="dxa"/>
        </w:tblCellMar>
      </w:tblP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w w:val="97"/>
              </w:rPr>
              <w:t>Quoted Prices in</w:t>
            </w:r>
          </w:p>
        </w:tc>
        <w:tc>
          <w:tcPr>
            <w:tcW w:w="180" w:type="dxa"/>
            <w:vAlign w:val="bottom"/>
          </w:tcPr>
          <w:p>
            <w:pPr>
              <w:spacing w:after="0"/>
              <w:rPr>
                <w:sz w:val="12"/>
                <w:szCs w:val="12"/>
                <w:color w:val="auto"/>
              </w:rPr>
            </w:pPr>
          </w:p>
        </w:tc>
        <w:tc>
          <w:tcPr>
            <w:tcW w:w="940" w:type="dxa"/>
            <w:vAlign w:val="bottom"/>
          </w:tcPr>
          <w:p>
            <w:pPr>
              <w:jc w:val="right"/>
              <w:ind w:right="134"/>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120" w:type="dxa"/>
            <w:vAlign w:val="bottom"/>
            <w:gridSpan w:val="3"/>
          </w:tcPr>
          <w:p>
            <w:pPr>
              <w:ind w:left="26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9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Inputs (Level 2)</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Inputs (Level 3)</w:t>
            </w:r>
          </w:p>
        </w:tc>
        <w:tc>
          <w:tcPr>
            <w:tcW w:w="0" w:type="dxa"/>
            <w:vAlign w:val="bottom"/>
          </w:tcPr>
          <w:p>
            <w:pPr>
              <w:spacing w:after="0"/>
              <w:rPr>
                <w:sz w:val="1"/>
                <w:szCs w:val="1"/>
                <w:color w:val="auto"/>
              </w:rPr>
            </w:pPr>
          </w:p>
        </w:tc>
      </w:tr>
      <w:tr>
        <w:trPr>
          <w:trHeight w:val="142"/>
        </w:trPr>
        <w:tc>
          <w:tcPr>
            <w:tcW w:w="30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4"/>
              </w:rPr>
              <w:t>March 31, 2020</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760" w:type="dxa"/>
            <w:vAlign w:val="bottom"/>
            <w:tcBorders>
              <w:top w:val="single" w:sz="8" w:color="auto"/>
              <w:bottom w:val="single" w:sz="8" w:color="auto"/>
            </w:tcBorders>
            <w:gridSpan w:val="6"/>
          </w:tcPr>
          <w:p>
            <w:pPr>
              <w:ind w:left="660"/>
              <w:spacing w:after="0" w:line="142" w:lineRule="exact"/>
              <w:rPr>
                <w:sz w:val="20"/>
                <w:szCs w:val="20"/>
                <w:color w:val="auto"/>
              </w:rPr>
            </w:pPr>
            <w:r>
              <w:rPr>
                <w:rFonts w:ascii="Arial" w:cs="Arial" w:eastAsia="Arial" w:hAnsi="Arial"/>
                <w:sz w:val="14"/>
                <w:szCs w:val="14"/>
                <w:b w:val="1"/>
                <w:bCs w:val="1"/>
                <w:color w:val="auto"/>
              </w:rPr>
              <w:t>Fair Value Measurements at March 31, 2020</w:t>
            </w: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357.0</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357.0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567.9</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558.7</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558.7</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2019</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7.2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379.1</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379.1</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579.3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585.9</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585.9</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March 31, 2020 and 2019.</w:t>
      </w:r>
    </w:p>
    <w:p>
      <w:pPr>
        <w:spacing w:after="0" w:line="15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three months ended March 31, 2020 and 2019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96"/>
              </w:rPr>
              <w:t>Three Months Ended March 31, 2020</w:t>
            </w:r>
          </w:p>
        </w:tc>
        <w:tc>
          <w:tcPr>
            <w:tcW w:w="2280" w:type="dxa"/>
            <w:vAlign w:val="bottom"/>
            <w:gridSpan w:val="8"/>
          </w:tcPr>
          <w:p>
            <w:pPr>
              <w:jc w:val="center"/>
              <w:ind w:right="40"/>
              <w:spacing w:after="0"/>
              <w:rPr>
                <w:sz w:val="20"/>
                <w:szCs w:val="20"/>
                <w:color w:val="auto"/>
              </w:rPr>
            </w:pPr>
            <w:r>
              <w:rPr>
                <w:rFonts w:ascii="Arial" w:cs="Arial" w:eastAsia="Arial" w:hAnsi="Arial"/>
                <w:sz w:val="13"/>
                <w:szCs w:val="13"/>
                <w:b w:val="1"/>
                <w:bCs w:val="1"/>
                <w:color w:val="auto"/>
                <w:w w:val="96"/>
              </w:rPr>
              <w:t>Three Months Ended March 31, 2019</w:t>
            </w:r>
          </w:p>
        </w:tc>
      </w:tr>
      <w:tr>
        <w:trPr>
          <w:trHeight w:val="129"/>
        </w:trPr>
        <w:tc>
          <w:tcPr>
            <w:tcW w:w="4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3"/>
                <w:szCs w:val="13"/>
                <w:b w:val="1"/>
                <w:bCs w:val="1"/>
                <w:color w:val="auto"/>
                <w:w w:val="95"/>
              </w:rPr>
              <w:t>Per</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w w:val="95"/>
              </w:rPr>
              <w:t>Per</w:t>
            </w:r>
          </w:p>
        </w:tc>
        <w:tc>
          <w:tcPr>
            <w:tcW w:w="40" w:type="dxa"/>
            <w:vAlign w:val="bottom"/>
          </w:tcPr>
          <w:p>
            <w:pPr>
              <w:spacing w:after="0"/>
              <w:rPr>
                <w:sz w:val="11"/>
                <w:szCs w:val="11"/>
                <w:color w:val="auto"/>
              </w:rPr>
            </w:pPr>
          </w:p>
        </w:tc>
      </w:t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Average</w:t>
            </w: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Common</w:t>
            </w: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Share</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Net</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Share</w:t>
            </w:r>
          </w:p>
        </w:tc>
      </w:tr>
      <w:tr>
        <w:trPr>
          <w:trHeight w:val="161"/>
        </w:trPr>
        <w:tc>
          <w:tcPr>
            <w:tcW w:w="43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1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Income</w:t>
            </w: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Amount</w:t>
            </w:r>
          </w:p>
        </w:tc>
      </w:tr>
      <w:tr>
        <w:trPr>
          <w:trHeight w:val="209"/>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Effect of Dilutive Securities: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During the three months ended March 31, 2020, the Company granted approximately 316,200 in total of time-based restricted stock units and performance-based shares to certain of its employees at a weighted average grant date fair value of $39.43.</w:t>
      </w:r>
    </w:p>
    <w:p>
      <w:pPr>
        <w:spacing w:after="0" w:line="184"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$3.1 million and $3.2 million for the three months ended March 31, 2020 and 2019, respectively. Total unrecognized compensation cost related to unvested share-based compensation arrangements was $20.1 million at March 31, 2020, and is expected to be recognized over a weighted average period of approximately 2.2 years. Total unrecognized compensation cost may be adjusted for any unearned performance shares or forfeited shares.</w:t>
      </w:r>
    </w:p>
    <w:p>
      <w:pPr>
        <w:spacing w:after="0" w:line="200" w:lineRule="exact"/>
        <w:rPr>
          <w:sz w:val="20"/>
          <w:szCs w:val="20"/>
          <w:color w:val="auto"/>
        </w:rPr>
      </w:pPr>
    </w:p>
    <w:p>
      <w:pPr>
        <w:spacing w:after="0" w:line="204" w:lineRule="exact"/>
        <w:rPr>
          <w:sz w:val="20"/>
          <w:szCs w:val="20"/>
          <w:color w:val="auto"/>
        </w:rPr>
      </w:pPr>
    </w:p>
    <w:p>
      <w:pPr>
        <w:ind w:left="720" w:hanging="670"/>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right="45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2019. Components of net periodic benefit cost and other amounts recognized in Other Comprehensive Income (Loss) for the qualified pension plans and the post-retirement benefit plans for the three months ended March 31, 2020 and 2019 consisted of the following:</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3"/>
                <w:szCs w:val="13"/>
                <w:color w:val="auto"/>
              </w:rPr>
            </w:pPr>
          </w:p>
        </w:tc>
        <w:tc>
          <w:tcPr>
            <w:tcW w:w="18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2"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risk factors that are described in Part II, Item 1A, “Risk Factors” below.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2019, the Company’s reports on Forms 10-Q and 8-K, and other publicly available information.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FIRST QUARTER 2020 DISCUSSION AND UPDATE ON BUSINESS CONDITIONS</w:t>
      </w:r>
    </w:p>
    <w:p>
      <w:pPr>
        <w:spacing w:after="0" w:line="22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Company’s container volume in the Hawaii service in the first quarter 2020 was 1.7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higher year-over-year primarily due to increased volume of home food and essential goods as residents sheltered-in-place due to COVID-19. In March of this year, the State of Hawaii implemented several orders to address the spread of COVID-19 on the islands. As a result, tourism to Hawaii fell significantly in late March and in April, and is expected to have a meaningfully negative impact on Hawaii’s economy in the near-term.</w:t>
      </w:r>
    </w:p>
    <w:p>
      <w:pPr>
        <w:spacing w:after="0" w:line="176"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In China, the Company’s container volume in the first quarter 2020 was 6.5 percent lower year-over-year primarily due to an elongated post-Lunar New Year period as China’s shelter-in-place orders impacted factory production, factory-to-port infrastructure logistics, and inventory sourcing. Matson continued to realize a rate premium in the first quarter 2020 and achieved average freight rates that approximated the level achieved in the first quarter 2019. The Company expects the disruption and loss of capacity in the transpacific air cargo and ocean freight markets to provide opportunities for its differentiated, expedited CLX service.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In Guam, the Company’s container volume in the first quarter 2020 was 3.9 percent lower on a year-over-year basis primarily due to typhoon relief-related volume in the year ago period, partially offset by higher volume due to COVID-19 related home food and essential goods demand. The loss of tourism and the temporary closure of retail stores is expected to have a meaningfully negative impact on the Guam economy in the near-term.</w:t>
      </w:r>
    </w:p>
    <w:p>
      <w:pPr>
        <w:spacing w:after="0" w:line="171"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In Alaska, the Company’s container volume for the first quarter 2020 increased 11.0 percent year-over-year. The Company experienced higher northbound volume in the quarter compared to the year ago period primarily due to greater demand for home food and essential goods as residents sheltered-in-place due to COVID-19 as well as volume associated with the dry-docking of a competitor’s vessel. Southbound volume in the quarter was modestly lower than the level achieved in first quarter 2019. The combination of negative economic effects from the COVID-19 mitigation efforts and a low oil price environment is expected to have a meaningfully negative impact on Alaska’s economy in the near-term.</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contribution in the first quarter 2020 from the Company’s SSAT joint venture investment was $4.0 million, or</w:t>
      </w:r>
    </w:p>
    <w:p>
      <w:pPr>
        <w:spacing w:after="0" w:line="3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$4.5 million lower than the first quarter 2019. The decrease was primarily due to the additional expense related to the new lease accounting standard adopted in the second quarter of 2019, and lower lift volume due to cancelled transpacific sailings.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first quarter 2020, operating income for the Company’s Logistics segment was $5.1 million, or</w:t>
      </w:r>
    </w:p>
    <w:p>
      <w:pPr>
        <w:spacing w:after="0" w:line="23"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$3.0 million lower compared to the operating income achieved in the first quarter 2019. The decrease was due primarily to lower contributions from transportation brokerage and freight forwarding.</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Withdrawal of 2020 Outlook</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Matson withdrew its full year 2020 outlook on April 6, 2020 due to the increasing economic uncertainties regarding the COVID-19 pandemic.</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Three months ended March 31, 2020, compared with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(500.9)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(514.9)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(25.7)%</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(63.0)%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7)</w:t>
            </w:r>
          </w:p>
        </w:tc>
        <w:tc>
          <w:tcPr>
            <w:tcW w:w="2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(0.20)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(69.0)%</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(0.20)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(69.0)%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799"/>
        <w:spacing w:after="0" w:line="342" w:lineRule="auto"/>
        <w:rPr>
          <w:sz w:val="20"/>
          <w:szCs w:val="20"/>
          <w:color w:val="auto"/>
        </w:rPr>
      </w:pPr>
      <w:r>
        <w:rPr>
          <w:rFonts w:ascii="Arial" w:cs="Arial" w:eastAsia="Arial" w:hAnsi="Arial"/>
          <w:sz w:val="16"/>
          <w:szCs w:val="16"/>
          <w:color w:val="auto"/>
        </w:rPr>
        <w:t>The increase in interest expense for the three months ended March 31, 2020, compared to the three months ended March 31, 2019, was due to a lower amount of capitalized interest associated with the new vessel construction.</w:t>
      </w:r>
    </w:p>
    <w:p>
      <w:pPr>
        <w:spacing w:after="0" w:line="124"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Income tax expense was $1.2 million or 24.0 percent of income before income taxes for the three months ended March 31, 2020, compared to $1.0 million or 7.4 percent of income before income taxes for the three months ended March 31, 2019. The effective tax rate for the three months ended March 31, 2020 benefited by a discrete adjustment related to stock compensation that lowered the effective tax rate for the period. In connection with the Tax Cuts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Jobs Act of 2017 (the “Tax Act”), the Company recorded a non-cash tax adjustment of $2.9 million that decreased income taxes for the three months ended March 31, 2019. Excluding the impact of this discrete tax adjustment, the adjusted effective tax rate would have been 28.9 percent for the three months ended March 31, 2019.</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March 31,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(393.0)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(388.5)</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(16.0)%</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(21.8)%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Ocean Transportation revenue increased $3.0 million during the three months ended March 31, 2020, compared with the three months ended March 31, 2019. The increase was primarily due to higher freight revenue in Alaska, partially offset by lower freight revenue in China.</w:t>
      </w:r>
    </w:p>
    <w:p>
      <w:pPr>
        <w:spacing w:after="0" w:line="18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On a year-over-year FEU basis, Hawaii container volume increased 1.7 percent primarily due to increased volume of home food and essential goods as residents sheltered-in-place due to COVID-19; Alaska volume increased 11.0 percent with higher northbound volume primarily due to greater demand for home food and essential goods as residents sheltered-in-place due to COVID-19 as well as volume associated with the dry-docking of a competitor’s vessel, partially offset by modestly lower southbound volume; China volume was 6.5 percent lower primarily due to an elongated post-Lunar New Year period related to China’s COVID-19 mitigation efforts; Guam volume was 3.9 percent lower primarily due to typhoon relief volume in the year ago period, partially offset by higher volume due to COVID-19 related home food and essential goods demand; and Other containers volume increased 17.1 percent.</w:t>
      </w:r>
    </w:p>
    <w:p>
      <w:pPr>
        <w:spacing w:after="0" w:line="178"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Ocean Transportation operating income decreased $1.5 million, or 16.0 percent, during the three months ended March 31, 2020, compared with the three months ended March 31, 2019. The decrease was primarily due to a lower contribution from China and SSAT and higher depreciation, partially offset by lower vessel operating costs, primarily resulting from one less vessel operating in the Hawaii service, and the timing of fuel surcharge collections.</w:t>
      </w:r>
    </w:p>
    <w:p>
      <w:pPr>
        <w:spacing w:after="0" w:line="17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Company’s SSAT terminal joint venture investment contributed $4.0 million during the three months ended March 31, 2020, compared to a contribution of $8.5 million during the three months ended March 31, 2019. The decrease was primarily due to the additional expense related to the new lease accounting standard adopted in the second quarter of 2019 and lower lift volume due to cancelled transpacific sailings.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4"/>
              </w:rPr>
              <w:t>Three Months Ended March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(16.0)%</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(14.6)%</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(37.0)%</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Logistics revenue decreased $21.5 million, or 16.0 percent, during the three months ended March 31, 2020, compared with the three months ended March 31, 2019. The decrease was primarily due to lower transportation brokerage revenue.</w:t>
      </w:r>
    </w:p>
    <w:p>
      <w:pPr>
        <w:spacing w:after="0" w:line="12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Logistics operating income decreased $3.0 million, or 37.0 percent, for the three months ended March 31, 2020, compared with the three months ended March 31, 2019. The decrease was due primarily to lower contributions from transportation brokerage and freight forwarding.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March 31, 2020, compared to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40" w:type="dxa"/>
        <w:tblCellMar>
          <w:top w:w="0" w:type="dxa"/>
          <w:left w:w="0" w:type="dxa"/>
          <w:bottom w:w="0" w:type="dxa"/>
          <w:right w:w="0" w:type="dxa"/>
        </w:tblCellMar>
      </w:tblPr>
      <w:tr>
        <w:trPr>
          <w:trHeight w:val="141"/>
        </w:trPr>
        <w:tc>
          <w:tcPr>
            <w:tcW w:w="6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19" w:hanging="330"/>
        <w:spacing w:after="0" w:line="25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March 31, 2020 and December 31, 2019, $1.7 million and $1.7 million, respectively, of eligible accounts receivable were assigned to the CCF (see Note 2 of the Condensed Consolidated Financial Statements).</w:t>
      </w:r>
    </w:p>
    <w:p>
      <w:pPr>
        <w:spacing w:after="0" w:line="178" w:lineRule="exact"/>
        <w:rPr>
          <w:sz w:val="20"/>
          <w:szCs w:val="20"/>
          <w:color w:val="auto"/>
        </w:rPr>
      </w:pPr>
    </w:p>
    <w:p>
      <w:pPr>
        <w:ind w:left="60" w:right="119"/>
        <w:spacing w:after="0" w:line="381" w:lineRule="auto"/>
        <w:rPr>
          <w:sz w:val="20"/>
          <w:szCs w:val="20"/>
          <w:color w:val="auto"/>
        </w:rPr>
      </w:pPr>
      <w:r>
        <w:rPr>
          <w:rFonts w:ascii="Arial" w:cs="Arial" w:eastAsia="Arial" w:hAnsi="Arial"/>
          <w:sz w:val="15"/>
          <w:szCs w:val="15"/>
          <w:b w:val="1"/>
          <w:bCs w:val="1"/>
          <w:i w:val="1"/>
          <w:iCs w:val="1"/>
          <w:color w:val="auto"/>
        </w:rPr>
        <w:t xml:space="preserve">Cash, Cash Equivalents and Restricted Cash: </w:t>
      </w:r>
      <w:r>
        <w:rPr>
          <w:rFonts w:ascii="Arial" w:cs="Arial" w:eastAsia="Arial" w:hAnsi="Arial"/>
          <w:sz w:val="15"/>
          <w:szCs w:val="15"/>
          <w:color w:val="auto"/>
        </w:rPr>
        <w:t>Significant changes in the Company’s cash, cash equivalents and restricted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for the three months ended March 31, 2020, compared to the three months ended March 31, 2019 are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5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196"/>
        </w:trPr>
        <w:tc>
          <w:tcPr>
            <w:tcW w:w="6240" w:type="dxa"/>
            <w:vAlign w:val="bottom"/>
            <w:gridSpan w:val="3"/>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Changes in net cash provided by operating activities for the three months ended March 31, 2020, compared to the three months ended March 31, 2019, were due to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r>
      <w:tr>
        <w:trPr>
          <w:trHeight w:val="210"/>
        </w:trPr>
        <w:tc>
          <w:tcPr>
            <w:tcW w:w="7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The change in equity in income and distributions from SSAT results from a decrease in the Company’s share of income from SSAT to $4.0 million during the three months ended March 31, 2020, compared to $8.5 million for the three months ended March 31, 2019, while distributions from SSAT increased to $7.8 million for the three months ended March 31, 2020, compared to $4.2 million for the three months ended March 31, 2019. Changes in accounts receivable were primarily due to the timing of collections associated with those receivables. Changes in accounts payable, accruals and other liabilities were primarily due to the timing of payments associated with those liabilities.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Changes in net cash used in investing activities for the three months ended March 31, 2020, compared to the three months ended March 31, 2019, were due to the following: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Cash deposits into CCF</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Withdrawals from CCF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r>
      <w:tr>
        <w:trPr>
          <w:trHeight w:val="20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39"/>
        <w:spacing w:after="0" w:line="287" w:lineRule="auto"/>
        <w:rPr>
          <w:sz w:val="20"/>
          <w:szCs w:val="20"/>
          <w:color w:val="auto"/>
        </w:rPr>
      </w:pPr>
      <w:r>
        <w:rPr>
          <w:rFonts w:ascii="Arial" w:cs="Arial" w:eastAsia="Arial" w:hAnsi="Arial"/>
          <w:sz w:val="16"/>
          <w:szCs w:val="16"/>
          <w:color w:val="auto"/>
        </w:rPr>
        <w:t>Capitalized vessel construction expenditures (including capitalized interest) were $9.1 million for the three months ended March 31, 2020, compared to $20.9 million for the three months ended March 31, 2019. Capitalized vessel construction expenditures relate to progress payments for the construction of new vessels, capitalized interest and owner’s items.</w:t>
      </w:r>
    </w:p>
    <w:p>
      <w:pPr>
        <w:spacing w:after="0" w:line="2" w:lineRule="exact"/>
        <w:rPr>
          <w:sz w:val="20"/>
          <w:szCs w:val="20"/>
          <w:color w:val="auto"/>
        </w:rPr>
      </w:pPr>
    </w:p>
    <w:p>
      <w:pPr>
        <w:ind w:left="60" w:right="199"/>
        <w:spacing w:after="0" w:line="268" w:lineRule="auto"/>
        <w:rPr>
          <w:sz w:val="20"/>
          <w:szCs w:val="20"/>
          <w:color w:val="auto"/>
        </w:rPr>
      </w:pPr>
      <w:r>
        <w:rPr>
          <w:rFonts w:ascii="Arial" w:cs="Arial" w:eastAsia="Arial" w:hAnsi="Arial"/>
          <w:sz w:val="17"/>
          <w:szCs w:val="17"/>
          <w:color w:val="auto"/>
        </w:rPr>
        <w:t>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$26.1 million for the three months ended March 31, 2020, compared to $13.5 million for the three months ended March 31, 2019. The increase in other capital expenditures is primarily due to the timing of certain capital project activities incurred during 2020 as compared to 2019. The increase in proceeds from disposal of property and equipment is primarily due to the sale and leaseback of chassis and container equipment for net proceeds of $14.3 million during the three months ended March 31, 2020. There were no sale and leaseback transactions during the three months ended March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Changes in net cash used in financing activities for the three months ended March 31, 2020, compared to the three months ended March 31, 2019, were due to the following:</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Repayments of fixed interest debt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Borrowings under revolving credit facility, net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other payments,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0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During the three months ended March 31, 2020, the Company paid $11.4 million in scheduled fixed debt payments compared to $8.2 million during the three months ended March 31, 2019. During the three months ended March 31, 2020, the Company decreased net borrowings under the revolving credit facility by $22.1 million, compared to increased net borrowings under the revolving credit facility by $20.0 million during the three months ended March 31, 2019. During the three months ended March 31, 2020, the Company paid $3.1 million in financing costs related to the amendment of its revolving credit facility and private placement term loans. No financing costs were paid during the three months ended March 31, 2019. During the three months ended March 31, 2020, the Company paid $9.5 million in dividends, compared to $9.1 million during the three months ended March 31, 2019. The increase in dividend payments resulted from an increase in dividends declared per share of common stock by the Company.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March 31, 2020 and December 31, 2019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Fixed interest debt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Total debt decreased by $33.5 million during the three months ended March 31, 2020. The decrease in the Company’s revolving credit facility was primarily due to the timing of collections associated with accounts receivables, and the timing of payments associated with accounts payables, accruals and other liabilities during the three months ended March 31, 2020. The reduction in fixed interest debt was due to scheduled debt payments made during the three months ended March 31, 2020.</w:t>
      </w:r>
    </w:p>
    <w:p>
      <w:pPr>
        <w:spacing w:after="0" w:line="188"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As of March 31, 2020, the Company had $163.6 million of remaining borrowing availability under the revolving credit facility, with a maturity date of June 29, 2022. The Company’s debt is described in Note 6 of Part I, Item 1 above.</w:t>
      </w:r>
    </w:p>
    <w:p>
      <w:pPr>
        <w:spacing w:after="0" w:line="12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$162.2 million and $147.1 million at March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2019, respectively. The increase in working capital deficiency at March 31, 2020 is partially due to the timing of billings and collections associated with accounts receivable and other assets, and the timing of payments associated with accounts payable, accruals and other liabilities.</w:t>
      </w:r>
    </w:p>
    <w:p>
      <w:pPr>
        <w:spacing w:after="0" w:line="183"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left="60" w:right="99"/>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There were no material changes during this quarter to the Company’s contractual obligations, commitments, contingencies </w:t>
      </w:r>
      <w:hyperlink r:id="rId38">
        <w:r>
          <w:rPr>
            <w:rFonts w:ascii="Arial" w:cs="Arial" w:eastAsia="Arial" w:hAnsi="Arial"/>
            <w:sz w:val="18"/>
            <w:szCs w:val="18"/>
            <w:color w:val="auto"/>
          </w:rPr>
          <w:t xml:space="preserve">and off-balance sheet arrangements that are described in Part II, Item 7 of the Company’s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the year ended December 31, 2019</w:t>
        </w:r>
        <w:r>
          <w:rPr>
            <w:rFonts w:ascii="Arial" w:cs="Arial" w:eastAsia="Arial" w:hAnsi="Arial"/>
            <w:sz w:val="18"/>
            <w:szCs w:val="18"/>
            <w:color w:val="000000"/>
          </w:rPr>
          <w:t>, which is incorporated herein by reference, except as described in Note 6 of Part I, Item</w:t>
        </w:r>
      </w:hyperlink>
      <w:r>
        <w:rPr>
          <w:rFonts w:ascii="Arial" w:cs="Arial" w:eastAsia="Arial" w:hAnsi="Arial"/>
          <w:sz w:val="18"/>
          <w:szCs w:val="18"/>
          <w:color w:val="0000EE"/>
        </w:rPr>
        <w:t xml:space="preserve"> </w:t>
      </w:r>
      <w:r>
        <w:rPr>
          <w:rFonts w:ascii="Arial" w:cs="Arial" w:eastAsia="Arial" w:hAnsi="Arial"/>
          <w:sz w:val="18"/>
          <w:szCs w:val="18"/>
          <w:color w:val="000000"/>
        </w:rPr>
        <w:t>1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The Company’s first quarter 2020 cash dividend of $0.22 per share was paid on March 5, 2020. On April 23, 2020, the Company’s Board of Directors declared a cash dividend of $0.22 per share payable on June 4,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2020,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March 31, 2020, that have materially affected, or are reasonably likely to materially affect, the Company’s internal control over financial reporting.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 The risk factors described below include any material changes to and supersede the risk factors previously described in Part I, Item 1A, “Risk Factors” of the Company’s Annual Report on Form 10-K for the year ended December 31,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3" w:lineRule="auto"/>
        <w:rPr>
          <w:sz w:val="20"/>
          <w:szCs w:val="20"/>
          <w:color w:val="auto"/>
        </w:rPr>
      </w:pPr>
      <w:r>
        <w:rPr>
          <w:rFonts w:ascii="Arial" w:cs="Arial" w:eastAsia="Arial" w:hAnsi="Arial"/>
          <w:sz w:val="17"/>
          <w:szCs w:val="17"/>
          <w:color w:val="auto"/>
        </w:rPr>
        <w:t>U.S. citizen operator of Jones Act vessels would be eroded if periodic efforts and attempts by foreign interests to circumvent certain aspects of the Jones Act were ever successful. If maritime cabotage services were included in the General Agreement on Trade in Services, the North American Free Trade Agreement, the United States-Mexico-Canada Agreement, the U.S.-EU Trade Agreement or other international trade agreements, or if the restrictions contained in the Jones Act were otherwise altered, the shipping of cargo between covered U.S. ports could be opened to foreign-flag or foreign-built vessels or would have other adverse impacts.</w:t>
      </w:r>
    </w:p>
    <w:p>
      <w:pPr>
        <w:spacing w:after="0" w:line="174"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would have an adverse effect on the Company’s financial condition and results of operation.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Operations</w:t>
      </w:r>
    </w:p>
    <w:p>
      <w:pPr>
        <w:spacing w:after="0" w:line="221"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Our results of operations have been adversely affected and could in the future be materially adversely impacted by the COVID-19 pandemic.</w:t>
      </w:r>
    </w:p>
    <w:p>
      <w:pPr>
        <w:spacing w:after="0" w:line="166"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On March 11, 2020, the World Health Organization declared COVID-19 a global pandemic. Although the full scope and final duration of the COVID-19 pandemic remains uncertain, the pandemic has resulted in severe global macroeconomic disruptions and financial market volatility. In the United States and in many other countries worldwide, public health officials and state and local governments have recommended and mandated precautions to mitigate the spread of COVID-19, including prohibitions on large or public gatherings, prohibited or restricted travel which have forced businesses to change practices or in some cases close, quarantining people who have travelled, requiring individuals to “shelter-in-place,” and instituting social distancing, except as needed for critical services or businesses. The outbreak of COVID-19 has harmed the U.S. and global economies, shut down many business operations and disrupted manufacturing, supply chains, travel, drayage of containers, and transportation of goods. Although the full impact of such economic disruptions on our business remains uncertain, we have experienced reductions in container volume resulting from lower demand or service disruptions which could adversely affect volumes and rates in all our businesses. Spread of COVID-19 has severely reduced tourism, and is expected to continue to limit tourism, including to Hawaii, Guam and Alaska, and has led to reduced demand for freight that we would otherwise carry. For example, the governor of Hawaii issued an order that requires any person flying to any island to be quarantined in a hotel or their home for 14 days. Our operations may also be impacted adversely if our employees’ ability to travel continues to be restricted or they are otherwise unable to perform their duties, including mariners aboard our vessels, or if our terminals are temporarily closed due to a COVID-19 outbreak. Vessel dry-dockings and scrubber installations could also be delayed or become more expensive if Chinese shipyards are unable to accommodate demand or obtain parts or if necessary personnel are not allowed to travel to China. The financial difficulties or bankruptcies of Matson’s customers could also impact our revenue. In addition to operational disruptions related to public health measures, the global macroeconomic effects of the COVID-19 pandemic and related impacts on our customers’ business operations may persist for an indefinite period, even after the COVID-19 pandemic has subsided. Due to the continuing uncertainty around the duration, breadth and severity of the COVID-19 pandemic, the actions taken to contain the virus or treat its impact, and the impact of economic stimulus measures, the ultimate impact on our business, financial condition, operating results or cash flows cannot be reasonably estimated at this time.</w:t>
      </w:r>
    </w:p>
    <w:p>
      <w:pPr>
        <w:spacing w:after="0" w:line="175" w:lineRule="exact"/>
        <w:rPr>
          <w:sz w:val="20"/>
          <w:szCs w:val="20"/>
          <w:color w:val="auto"/>
        </w:rPr>
      </w:pPr>
    </w:p>
    <w:p>
      <w:pPr>
        <w:ind w:left="60" w:right="359"/>
        <w:spacing w:after="0" w:line="301" w:lineRule="auto"/>
        <w:rPr>
          <w:sz w:val="20"/>
          <w:szCs w:val="20"/>
          <w:color w:val="auto"/>
        </w:rPr>
      </w:pPr>
      <w:r>
        <w:rPr>
          <w:rFonts w:ascii="Arial" w:cs="Arial" w:eastAsia="Arial" w:hAnsi="Arial"/>
          <w:sz w:val="16"/>
          <w:szCs w:val="16"/>
          <w:color w:val="auto"/>
        </w:rPr>
        <w:t>During the first quarter of 2020, we amended our bank credit facility and private lender note agreements to enhance our liquidity position and access to borrowings our bank credit facility in response to uncertainty related to the COVID-19 pandemic. However, if our access to capital is restricted or our borrowing costs increase as a result of developments in financial markets relating to the pandemic, our operations and financial condition could be adversely impacted.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have resulted in a decrease in consumer confidence and market demand for the Company’s services and products in Hawaii and Alaska, the U.S. Mainland, Guam, Asia and the South Pacific and have adversely affected the Company’s financial position, results of operations, liquidity, or cash flows.</w:t>
      </w:r>
    </w:p>
    <w:p>
      <w:pPr>
        <w:spacing w:after="0" w:line="184"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A weakening of domestic and global economies has adversely impacted, and will continue to adversely impact (although the duration is not yet known), the level of freight volumes and freight rates. Within the U.S., a weakening of economic drivers in Hawaii and Alaska, which include tourism, military spending, construction starts, personal income growth and employment, the weakening of consumer confidence, market demand, and the economy in the U.S. Mainland, or the effect of a change in the strength of the U.S. dollar against other foreign currencies, have further reduced the demand for goods to and from Asia, Hawaii and Alaska, adversely affecting inland and ocean transportation volumes or rates. For example, the uncertainties regarding the COVID-19 pandemic and “shelter-in-place” restrictions have severely decreased tourism, weakened consumer demand, impacted the financial markets and contributed to an economic downturn in the U.S., impacting freight volumes and revenues. The dramatic decline in the price of oil due to the oil trade wars and reduced demand from the significant decline in air or car travel in response to COVID-19 will further impact the Alaska economy which in turn could impact our business. In addition, overcapacity in the global or transpacific ocean transportation markets, a change in the cost of goods or currency exchange rates, imposition of tariffs and uncertainty of tariff rates, or a change in international trade policies have adversely affected freight volumes and rates in the Company’s China service.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our volumes and rates. For example, in December 2016, the Company’s major competitor in the Guam service upgraded its U.S. flagged feeder containership from a bi-weekly service to a weekly service connecting the U.S. West Coast to Guam and Saipan via transshipments over Yokohama, Japan. As a result of this and other potential competitor actions, the Company could experience a reduction in profitability.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large retailers and consumer goods and automobile manufacturers, as well as other larger customers. In 2019, the Company’s Ocean Transportation segment’s 10 largest customers accounted for approximately 23 percent of the business’ revenue. In 2019, the Company’s Logistics segment’s 10 largest customers accounted for approximately 21 percent of the business’ revenue.</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could also be adversely affected by any changes in the services, or changes to the costs of services, provided by agents. Relationships with railroads and shipping companies and agents are important in the Company’s intermodal business as well as in the Guam, Micronesia, Japan and South Pacific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Company’s businesses are dependent upon key vendors who provide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consolidated results of operations and financial condition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also may adversely affect its results of operations.</w:t>
      </w:r>
    </w:p>
    <w:p>
      <w:pPr>
        <w:spacing w:after="0" w:line="192"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Effective January 1, 2020, the IMO has imposed a world-wide regulation that generally requires that all ships must burn compliant fuel oil with a maximum sulfur content of ≤0.5 percent. Currently, LSFO is priced significantly higher than HSFO due to the need to refine the oil and the lack of sufficient quantities of LSFO on a global basis. While the Company has entered into contracts to secure LSFO on the U.S. West Coast, there is no guarantee that sufficient quantities will be available at a reasonable cost. In addition, prolonged use of LSFO on some Matson vessels could degrade engine performance or lead to higher maintenance costs. While Matson has announced plans to install scrubbers on additional vessels, there may be delays or other unexpected complications. The Company’s ability to recover the higher costs of IMO 2020 compliant fuel through fuel-related surcharges, the availability of LSFO, and the potential impact on vessel performance and maintenance costs may adversely affect the Company’s operations, business and profit.</w:t>
      </w:r>
    </w:p>
    <w:p>
      <w:pPr>
        <w:spacing w:after="0" w:line="162" w:lineRule="exact"/>
        <w:rPr>
          <w:sz w:val="20"/>
          <w:szCs w:val="20"/>
          <w:color w:val="auto"/>
        </w:rPr>
      </w:pPr>
    </w:p>
    <w:p>
      <w:pPr>
        <w:ind w:left="60" w:right="359"/>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As of December 31, 2019, Matson and its subsidiaries had 1,988 employees, of which 794 employees were covered by collective bargaining agreements with shoreside unions. In addition, Matson’s fleet of active vessels require 298 billets to operate these vessels. Matson’s vessel management services also employed personnel in 28 billets to manage three vessels. Such employees are also subject to collective bargaining agreements. Furthermore, the Company relies on the services of third-parties including SSAT that employ persons covered by collective bargaining agreements. For additional information on collective bargaining agreements with unions, see Item1. C. Employees and Labor Relations of Part I of the Company’s Annual Report on Form 10-K for the year ended December 31, 2019.</w:t>
      </w:r>
    </w:p>
    <w:p>
      <w:pPr>
        <w:spacing w:after="0" w:line="17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Company could be adversely affected by actions taken by employees of the Company or other companies in related industries against efforts by management of the Company or other companies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5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halls could have an adverse impact on Matson’s or SSAT’s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susceptible to weather, natural disasters and other operating risks.</w:t>
      </w:r>
    </w:p>
    <w:p>
      <w:pPr>
        <w:spacing w:after="0" w:line="229"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The Company’s operations are vulnerable to disruption as a result of weather, natural disasters and other climate driven events,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 These impacts could be particularly acute in certain ports in Alaska where the Company is dependent on a single crane.</w:t>
      </w:r>
    </w:p>
    <w:p>
      <w:pPr>
        <w:spacing w:after="0" w:line="178"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Company’s vessels and their cargoes are also subject to operating risks such as mechanical failure, collisions and human error. The occurrence of any of these events may result in damage to or loss of vessels or other property, or injury or death of people. If any of these events were to occur, the Company could be exposed to reputational harm and liability for resulting damages and possible penalties that, pursuant to typical maritime industry policies, it must pay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then seek reimbursement from its insurer. Affected vessels may also be removed from service and thus would be unavailable for income-generating activity.</w:t>
      </w:r>
    </w:p>
    <w:p>
      <w:pPr>
        <w:spacing w:after="0" w:line="170"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57"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We face risks related to actual or threatened health epidemics, pandemics or other major health crises, which could significantly disrupt our business.</w:t>
      </w:r>
    </w:p>
    <w:p>
      <w:pPr>
        <w:spacing w:after="0" w:line="16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Our business could be impacted adversely by the effects of public health epidemics, pandemics or other major heath crises (which we refer to collectively as public health crises). Actual or threatened public health crises may have a number of adverse impacts, including volatility in the global economy, impacts to our customers’ business operations, reduced tourism in the markets we serve, or significant disruptions in ocean-borne transportation of goods, logistics demand and supply chain activity, caused by a variety of factors such as quarantines, factory and office closures, port closures, or other government-imposed restrictions, any of which could adversely impact our business, financial condition, operating results and cash flows.</w:t>
      </w:r>
    </w:p>
    <w:p>
      <w:pPr>
        <w:spacing w:after="0" w:line="191"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when they expire.</w:t>
      </w:r>
    </w:p>
    <w:p>
      <w:pPr>
        <w:spacing w:after="0" w:line="166"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 xml:space="preserve">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For example, on November 26, 2018, a wholly-owned subsidiary of the Company entered into agreements whereby </w:t>
      </w:r>
      <w:r>
        <w:rPr>
          <w:rFonts w:ascii="Arial" w:cs="Arial" w:eastAsia="Arial" w:hAnsi="Arial"/>
          <w:sz w:val="16"/>
          <w:szCs w:val="16"/>
          <w:i w:val="1"/>
          <w:iCs w:val="1"/>
          <w:color w:val="auto"/>
        </w:rPr>
        <w:t>Maunalei</w:t>
      </w:r>
      <w:r>
        <w:rPr>
          <w:rFonts w:ascii="Arial" w:cs="Arial" w:eastAsia="Arial" w:hAnsi="Arial"/>
          <w:sz w:val="16"/>
          <w:szCs w:val="16"/>
          <w:color w:val="auto"/>
        </w:rPr>
        <w:t>, a U.S. flagged and Jones Act qualified vessel, was sold for $106.0 million and leased back from the buyer under an operating lease agreement. While the agreements contain customary representations, warranties and covenants, there remain risks that (a) the lessor could lose its Jones Act status,</w:t>
      </w:r>
    </w:p>
    <w:p>
      <w:pPr>
        <w:spacing w:after="0" w:line="4" w:lineRule="exact"/>
        <w:rPr>
          <w:sz w:val="20"/>
          <w:szCs w:val="20"/>
          <w:color w:val="auto"/>
        </w:rPr>
      </w:pPr>
    </w:p>
    <w:p>
      <w:pPr>
        <w:ind w:left="60" w:right="319" w:hanging="10"/>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that the Company could not replace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in the event it is no longer Jones Act eligible, or (c) if the repurchase option is elected, that the Company would not be able to consummate the repurchase of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at the end of the lease term.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routinely engage shipyards to dry-dock our vessels for regulatory compliance and to provide repair and maintenance. Vessels may also have to be dry-docked or repaired at sea in the event of accidents or other unforeseen damage. We also operate a number of older active and reserve vessels that may require more frequent and extensive maintenance. The cost of repairs are difficult to predict with certainty and can be substantial. Large dry-docking and other repair expenses could adversely affect the Company’s results of operations and cash flows.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77" w:lineRule="exact"/>
        <w:rPr>
          <w:sz w:val="20"/>
          <w:szCs w:val="20"/>
          <w:color w:val="auto"/>
        </w:rPr>
      </w:pPr>
    </w:p>
    <w:p>
      <w:pPr>
        <w:ind w:left="60" w:right="159"/>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We regularly update our information technology systems or implement new systems which could cause substantial business interruption. There is no assurance that the systems upgrades or new systems will meet our current or future business needs, or that they will operate as designed. Our information technology systems also rely on third-party service providers for access to the Internet, satellite-based communications systems, the electric grid, database storage facilities and telecommunications providers. We have no control over the operations of these third-party service providers. In response to the COVID-19 pandemic and in compliance with guidance from public health officials and state and local governments, many of our employees are working from home or remotely, increasing our dependence on our information technology systems and third-party providers. If our information technology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53" w:lineRule="exact"/>
        <w:rPr>
          <w:sz w:val="20"/>
          <w:szCs w:val="20"/>
          <w:color w:val="auto"/>
        </w:rPr>
      </w:pPr>
    </w:p>
    <w:p>
      <w:pPr>
        <w:ind w:left="60" w:right="299"/>
        <w:spacing w:after="0" w:line="347" w:lineRule="auto"/>
        <w:rPr>
          <w:sz w:val="20"/>
          <w:szCs w:val="20"/>
          <w:color w:val="auto"/>
        </w:rPr>
      </w:pPr>
      <w:r>
        <w:rPr>
          <w:rFonts w:ascii="Arial" w:cs="Arial" w:eastAsia="Arial" w:hAnsi="Arial"/>
          <w:sz w:val="16"/>
          <w:szCs w:val="16"/>
          <w:b w:val="1"/>
          <w:bCs w:val="1"/>
          <w:color w:val="auto"/>
        </w:rPr>
        <w:t>Our information technology systems have in the past and may in the future be exposed to cybersecurity risks and other disruptions that could impair the Company’s ability to operate and adversely affect its business.</w:t>
      </w:r>
    </w:p>
    <w:p>
      <w:pPr>
        <w:spacing w:after="0" w:line="12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 controls designed to protect the security and availability of our systems, we have in the past experienced and may in the future experience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72"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The Company’s future success will depend, in significant part, upon the continued services of its key personnel, including its senior management and skilled employees. The permanent or temporary loss of the services of key personnel could adversely affect the Company’s future operating results because of such employees’ experience and knowledge of the Company’s business and customer relationships. If key employees depart or are unable to work,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The Company is involved in a terminal joint venture, SSAT (and through SSAT, other joint ventures at U.S. West Coast terminals), and may initiate future joint venture projects. A joint venture involves certain risks such as:</w:t>
      </w:r>
    </w:p>
    <w:p>
      <w:pPr>
        <w:spacing w:after="0" w:line="146"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380" w:right="13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joint venture partner may fail to fund its share of capital for operations or to fulfill its other commitments, including providing accurate and timely accounting and financial information to the Company;</w:t>
      </w:r>
    </w:p>
    <w:p>
      <w:pPr>
        <w:ind w:left="380" w:right="279" w:hanging="330"/>
        <w:spacing w:after="0" w:line="281"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80" w:right="37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Seattle and Tacoma, Washington on the U.S. West Coast. The Company could be adversely affected by any changes in the services provided, or to the costs of such services provided by SSAT.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Matson’s China, Micronesia, Japan and South Pacific services are subject to risks associated with conducting business in a foreign shipping market, which include:</w:t>
      </w:r>
    </w:p>
    <w:p>
      <w:pPr>
        <w:spacing w:after="0" w:line="170" w:lineRule="exact"/>
        <w:rPr>
          <w:sz w:val="20"/>
          <w:szCs w:val="20"/>
          <w:color w:val="auto"/>
        </w:rPr>
      </w:pPr>
    </w:p>
    <w:p>
      <w:pPr>
        <w:ind w:left="380" w:right="619" w:hanging="330"/>
        <w:spacing w:after="0" w:line="258"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Challenges in working with and maintaining good relationships with business associates in our foreign operations;</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80" w:right="199" w:hanging="330"/>
        <w:spacing w:after="0" w:line="265"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from COVID-19 or other epidemics or pandemics;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vessel deployment by competitors that impact the Company’s services;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80" w:right="279" w:hanging="330"/>
        <w:spacing w:after="0" w:line="265"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Dynamics involving U.S. trade relations with other countries, including measures such as the imposition of tariffs at varying levels or other governmental actions, all of which may affect the Company’s operations; and</w:t>
      </w: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related to an accident or spill event.</w:t>
      </w:r>
    </w:p>
    <w:p>
      <w:pPr>
        <w:spacing w:after="0" w:line="229"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Shipbuilding Agreement with NASSCO is subject to risks.</w:t>
      </w:r>
    </w:p>
    <w:p>
      <w:pPr>
        <w:spacing w:after="0" w:line="22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On August 25, 2016, MatNav and NASSCO entered into a definitive agreement pursuant to which NASSCO will construct two new 3,500-TEU sized Kanaloa Class dual-fuel capable container and roll-on/roll-off vessels. The first vessel, </w:t>
      </w:r>
      <w:r>
        <w:rPr>
          <w:rFonts w:ascii="Arial" w:cs="Arial" w:eastAsia="Arial" w:hAnsi="Arial"/>
          <w:sz w:val="18"/>
          <w:szCs w:val="18"/>
          <w:i w:val="1"/>
          <w:iCs w:val="1"/>
          <w:color w:val="auto"/>
        </w:rPr>
        <w:t>Lurline</w:t>
      </w:r>
      <w:r>
        <w:rPr>
          <w:rFonts w:ascii="Arial" w:cs="Arial" w:eastAsia="Arial" w:hAnsi="Arial"/>
          <w:sz w:val="18"/>
          <w:szCs w:val="18"/>
          <w:color w:val="auto"/>
        </w:rPr>
        <w:t xml:space="preserve">, was delivered on December 26, 2019. The second vessel, </w:t>
      </w:r>
      <w:r>
        <w:rPr>
          <w:rFonts w:ascii="Arial" w:cs="Arial" w:eastAsia="Arial" w:hAnsi="Arial"/>
          <w:sz w:val="18"/>
          <w:szCs w:val="18"/>
          <w:i w:val="1"/>
          <w:iCs w:val="1"/>
          <w:color w:val="auto"/>
        </w:rPr>
        <w:t>Matsonia</w:t>
      </w:r>
      <w:r>
        <w:rPr>
          <w:rFonts w:ascii="Arial" w:cs="Arial" w:eastAsia="Arial" w:hAnsi="Arial"/>
          <w:sz w:val="18"/>
          <w:szCs w:val="18"/>
          <w:color w:val="auto"/>
        </w:rPr>
        <w:t>, is expected to be delivered in the fourth quarter of 2020. Failure of any party to the shipbuilding agreement to fulfill its obligations under the agreement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which prevent one or more significant subcontractors from performing, or (iv) the refusal or inability of NASSCO or any of its subcontractors to perform for any reason.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are investing approximately $60 million, including the installation of three new gantry cranes and upgrade of three existing cranes, as part of the first phase of a broader project to expand and improve the Company’s Sand Island terminal in Honolulu Harbor. We have also begun discussions with state and local authorities in Anchorage, Alaska regarding upgrades to those terminal and port facilities. Regulatory, construction or other delays or cost overruns related to the expansion and modernization of the terminals could have an adverse impact on our business plans, financial condition and results of operations. In addition, the terminal modernization programs may not result in improved operational productivity or generate expected returns.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Heightened security measures, war, actual or threatened terrorist attacks, efforts to combat terrorism and other acts of violence may adversely impact the Company’s operations and profitability.</w:t>
      </w:r>
    </w:p>
    <w:p>
      <w:pPr>
        <w:spacing w:after="0" w:line="14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Intermediate, LLC (“Span Alaska”) in 2016.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Horizon and Span Alaska acquisitions may expose us to unknown liabilities.</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acquired Horizon subject to all of the liabilities and obligations of its non-Hawaii business, including any remaining liabilities and obligations associated with its Puerto Rico operations, which Horizon ceased during the first quarter of 2015. Similarly, in August 2016,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84"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and Span Alaska acquisitions become impaired.</w:t>
      </w:r>
    </w:p>
    <w:p>
      <w:pPr>
        <w:spacing w:after="0" w:line="16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We recorded significant intangible assets related to goodwill, customer relationships and trade name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was the case in connection with the U.S. Federal Reserve’s interest rate increases in 2018, which would adversely affect the Company’s cash flow and results of operations. In addition, as the floating rate on certain borrowings under our revolving credit facility is tied to LIBOR, the uncertainty regarding the future of LIBOR as well as the transition from LIBOR to an alternate benchmark rate or rates could pose funding risks for the Company and adversely affect the Company’s financing costs. Disruptions to the credit markets as a result of the COVID-19 pandemic or other macroeconomic or financial market developments could increase the Company’s cost of capital and limit the Company’s access to capital.</w:t>
      </w:r>
    </w:p>
    <w:p>
      <w:pPr>
        <w:spacing w:after="0" w:line="164"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certain prohibitions on sale leaseback transactions,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and acquisitions and changes in the Company’s corporate structure. These factors may result in periodic revisions to our effective income tax rate, which could affect the Company’s cash flow and results of operations.</w:t>
      </w:r>
    </w:p>
    <w:p>
      <w:pPr>
        <w:spacing w:after="0" w:line="162"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79"/>
        <w:spacing w:after="0" w:line="347" w:lineRule="auto"/>
        <w:rPr>
          <w:sz w:val="20"/>
          <w:szCs w:val="20"/>
          <w:color w:val="auto"/>
        </w:rPr>
      </w:pPr>
      <w:r>
        <w:rPr>
          <w:rFonts w:ascii="Arial" w:cs="Arial" w:eastAsia="Arial" w:hAnsi="Arial"/>
          <w:sz w:val="16"/>
          <w:szCs w:val="16"/>
          <w:b w:val="1"/>
          <w:bCs w:val="1"/>
          <w:color w:val="auto"/>
        </w:rPr>
        <w:t>The Company may have exposure under its multi-employer pension and post-retirement plans in which it participates that extends beyond its funding obligation with respect to the Company’s employees.</w:t>
      </w:r>
    </w:p>
    <w:p>
      <w:pPr>
        <w:spacing w:after="0" w:line="120"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the Company’s Annual Report on Form 10-K for the year ended December 31, 2019).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Legal and Legislative Matters</w:t>
      </w:r>
    </w:p>
    <w:p>
      <w:pPr>
        <w:spacing w:after="0" w:line="221"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the American Bureau of Shipping or similar classification societies, and must be periodically inspected by, or on behalf of, the United States Coast Guard. We are subject to IMO regulations, including the new IMO 2020 regulations limiting the sulfur content of fuel oil. Federal environmental laws and certain State laws also require us, as a vessel operator, to comply with numerous environmental regulations and to obtain certificates of financial responsibility and to adopt procedures for oil and hazardous substance spill prevention, response and clean up.</w:t>
      </w:r>
    </w:p>
    <w:p>
      <w:pPr>
        <w:spacing w:after="0" w:line="172"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In complying with these laws, we have incurred expenses and may incur future expenses for vessel modifications, changes in operating procedures and undergoing additional oversight inspections.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62" w:lineRule="exact"/>
        <w:rPr>
          <w:sz w:val="20"/>
          <w:szCs w:val="20"/>
          <w:color w:val="auto"/>
        </w:rPr>
      </w:pPr>
    </w:p>
    <w:p>
      <w:pPr>
        <w:ind w:left="60" w:right="659"/>
        <w:spacing w:after="0" w:line="312" w:lineRule="auto"/>
        <w:rPr>
          <w:sz w:val="20"/>
          <w:szCs w:val="20"/>
          <w:color w:val="auto"/>
        </w:rPr>
      </w:pPr>
      <w:r>
        <w:rPr>
          <w:rFonts w:ascii="Arial" w:cs="Arial" w:eastAsia="Arial" w:hAnsi="Arial"/>
          <w:sz w:val="17"/>
          <w:szCs w:val="17"/>
          <w:b w:val="1"/>
          <w:bCs w:val="1"/>
          <w:color w:val="auto"/>
        </w:rPr>
        <w:t>We are subject to regulation and liability under environmental laws that could result in substantial fines and penalties that may have a material adverse effect on our results of operations.</w:t>
      </w:r>
    </w:p>
    <w:p>
      <w:pPr>
        <w:spacing w:after="0" w:line="144"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U.S. Act to Prevent Pollution from vessels, which implements the International Maritime Pollution (MARPOL) treaty, and the Oil Pollution Act of 1990,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emission control areas. If our vessels are not operated in accordance with these requirements, including waivers, permits or recordkeeping and other reporting requirements, such violations could result in substantial fines or penalties that could have a material adverse effect on our results of operations and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019"/>
        <w:spacing w:after="0" w:line="347" w:lineRule="auto"/>
        <w:rPr>
          <w:sz w:val="20"/>
          <w:szCs w:val="20"/>
          <w:color w:val="auto"/>
        </w:rPr>
      </w:pPr>
      <w:r>
        <w:rPr>
          <w:rFonts w:ascii="Arial" w:cs="Arial" w:eastAsia="Arial" w:hAnsi="Arial"/>
          <w:sz w:val="16"/>
          <w:szCs w:val="16"/>
          <w:b w:val="1"/>
          <w:bCs w:val="1"/>
          <w:color w:val="auto"/>
        </w:rPr>
        <w:t>The Company is subject to, and may in the future be subject to disputes, legal or other proceedings, and government inquiries or investigations that could have an adverse effect on the Company.</w:t>
      </w:r>
    </w:p>
    <w:p>
      <w:pPr>
        <w:spacing w:after="0" w:line="12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90"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66"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80" w:right="19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8"/>
            <w:szCs w:val="18"/>
            <w:u w:val="single" w:color="auto"/>
            <w:color w:val="0000EE"/>
          </w:rPr>
          <w:t>First Amendment to Amended and Restated Credit Agreement among Matson, Inc., Bank of America, N.A. as</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the Agent, and the lenders thereto, dated as of March 31, 2020 (incorporated by reference to Exhibit 10.1 of</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Matson’s Form 8-K dated April 6, 2020).</w:t>
        </w:r>
      </w:hyperlink>
    </w:p>
    <w:p>
      <w:pPr>
        <w:spacing w:after="0" w:line="209" w:lineRule="exact"/>
        <w:rPr>
          <w:rFonts w:ascii="Arial" w:cs="Arial" w:eastAsia="Arial" w:hAnsi="Arial"/>
          <w:sz w:val="18"/>
          <w:szCs w:val="18"/>
          <w:u w:val="single" w:color="auto"/>
          <w:color w:val="0000EE"/>
        </w:rPr>
      </w:pPr>
    </w:p>
    <w:p>
      <w:pPr>
        <w:jc w:val="both"/>
        <w:ind w:left="880" w:right="35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2">
        <w:r>
          <w:rPr>
            <w:rFonts w:ascii="Arial" w:cs="Arial" w:eastAsia="Arial" w:hAnsi="Arial"/>
            <w:sz w:val="18"/>
            <w:szCs w:val="18"/>
            <w:u w:val="single" w:color="auto"/>
            <w:color w:val="0000EE"/>
          </w:rPr>
          <w:t>Amendment to November 5, 2013 Note Purchase Agreement among Matson, Inc. and the purchasers named</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therein, dated as of March 31, 2020 (incorporated by reference to Exhibit 10.2 of Matson’s Form 8-K dated</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April 6, 2020).</w:t>
        </w:r>
      </w:hyperlink>
    </w:p>
    <w:p>
      <w:pPr>
        <w:spacing w:after="0" w:line="209" w:lineRule="exact"/>
        <w:rPr>
          <w:rFonts w:ascii="Arial" w:cs="Arial" w:eastAsia="Arial" w:hAnsi="Arial"/>
          <w:sz w:val="18"/>
          <w:szCs w:val="18"/>
          <w:u w:val="single" w:color="auto"/>
          <w:color w:val="0000EE"/>
        </w:rPr>
      </w:pPr>
    </w:p>
    <w:p>
      <w:pPr>
        <w:ind w:left="880" w:right="13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3">
        <w:r>
          <w:rPr>
            <w:rFonts w:ascii="Arial" w:cs="Arial" w:eastAsia="Arial" w:hAnsi="Arial"/>
            <w:sz w:val="18"/>
            <w:szCs w:val="18"/>
            <w:u w:val="single" w:color="auto"/>
            <w:color w:val="0000EE"/>
          </w:rPr>
          <w:t>Amendment to July 30, 2015 Note Purchase Agreement among Matson, Inc. and the purchasers named therein,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dated as of March 31, 2020 (incorporated by reference to Exhibit 10.3 of Matson’s Form 8-K dated April 6,</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2020).</w:t>
        </w:r>
      </w:hyperlink>
    </w:p>
    <w:p>
      <w:pPr>
        <w:spacing w:after="0" w:line="209" w:lineRule="exact"/>
        <w:rPr>
          <w:rFonts w:ascii="Arial" w:cs="Arial" w:eastAsia="Arial" w:hAnsi="Arial"/>
          <w:sz w:val="18"/>
          <w:szCs w:val="18"/>
          <w:u w:val="single" w:color="auto"/>
          <w:color w:val="0000EE"/>
        </w:rPr>
      </w:pPr>
    </w:p>
    <w:p>
      <w:pPr>
        <w:ind w:left="880" w:right="19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4">
        <w:r>
          <w:rPr>
            <w:rFonts w:ascii="Arial" w:cs="Arial" w:eastAsia="Arial" w:hAnsi="Arial"/>
            <w:sz w:val="18"/>
            <w:szCs w:val="18"/>
            <w:u w:val="single" w:color="auto"/>
            <w:color w:val="0000EE"/>
          </w:rPr>
          <w:t>Amendment to Third Amended and Restated Note Purchase and Private Shelf Agreement among Matson, Inc.</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and the purchasers named therein, dated as of March 31, 2020 (incorporated by reference to Exhibit 10.4 of</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Matson’s Form 8-K dated April 6, 2020).</w:t>
        </w:r>
      </w:hyperlink>
    </w:p>
    <w:p>
      <w:pPr>
        <w:spacing w:after="0" w:line="209" w:lineRule="exact"/>
        <w:rPr>
          <w:rFonts w:ascii="Arial" w:cs="Arial" w:eastAsia="Arial" w:hAnsi="Arial"/>
          <w:sz w:val="18"/>
          <w:szCs w:val="18"/>
          <w:u w:val="single" w:color="auto"/>
          <w:color w:val="0000EE"/>
        </w:rPr>
      </w:pPr>
    </w:p>
    <w:p>
      <w:pPr>
        <w:ind w:left="880" w:right="27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5">
        <w:r>
          <w:rPr>
            <w:rFonts w:ascii="Arial" w:cs="Arial" w:eastAsia="Arial" w:hAnsi="Arial"/>
            <w:sz w:val="18"/>
            <w:szCs w:val="18"/>
            <w:u w:val="single" w:color="auto"/>
            <w:color w:val="0000EE"/>
          </w:rPr>
          <w:t>Amendment to December 21, 2016 Note Purchase Agreement among Matson, Inc. and the purchasers named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therein, dated as of March 31, 2020 (incorporated by reference to Exhibit 10.5 of Matson’s Form 8-K dated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April 6, 2020).</w:t>
        </w:r>
      </w:hyperlink>
    </w:p>
    <w:p>
      <w:pPr>
        <w:spacing w:after="0" w:line="209" w:lineRule="exact"/>
        <w:rPr>
          <w:rFonts w:ascii="Arial" w:cs="Arial" w:eastAsia="Arial" w:hAnsi="Arial"/>
          <w:sz w:val="18"/>
          <w:szCs w:val="18"/>
          <w:u w:val="single" w:color="auto"/>
          <w:color w:val="0000EE"/>
        </w:rPr>
      </w:pPr>
    </w:p>
    <w:p>
      <w:pPr>
        <w:ind w:left="880" w:right="199" w:hanging="822"/>
        <w:spacing w:after="0" w:line="290"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6">
        <w:r>
          <w:rPr>
            <w:rFonts w:ascii="Arial" w:cs="Arial" w:eastAsia="Arial" w:hAnsi="Arial"/>
            <w:sz w:val="18"/>
            <w:szCs w:val="18"/>
            <w:u w:val="single" w:color="auto"/>
            <w:color w:val="0000EE"/>
          </w:rPr>
          <w:t>Consolidated Agreement, Contract No. MA-14454 dated as of April 27, 2020 among Matson Navigation</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Company, Inc., the United States of America, represented by the Maritime Administrator of the Maritime</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Administration and, with respect to certain provisions, Matson, Inc. (incorporated by reference to Exhibit 10.1</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of Matson’s Form 8-K dated April 30, 2020).</w:t>
        </w:r>
      </w:hyperlink>
    </w:p>
    <w:p>
      <w:pPr>
        <w:spacing w:after="0" w:line="201" w:lineRule="exact"/>
        <w:rPr>
          <w:rFonts w:ascii="Arial" w:cs="Arial" w:eastAsia="Arial" w:hAnsi="Arial"/>
          <w:sz w:val="18"/>
          <w:szCs w:val="18"/>
          <w:u w:val="single" w:color="auto"/>
          <w:color w:val="0000EE"/>
        </w:rPr>
      </w:pPr>
    </w:p>
    <w:p>
      <w:pPr>
        <w:ind w:left="880" w:right="219" w:hanging="822"/>
        <w:spacing w:after="0" w:line="311"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57">
        <w:r>
          <w:rPr>
            <w:rFonts w:ascii="Arial" w:cs="Arial" w:eastAsia="Arial" w:hAnsi="Arial"/>
            <w:sz w:val="16"/>
            <w:szCs w:val="16"/>
            <w:u w:val="single" w:color="auto"/>
            <w:color w:val="0000EE"/>
          </w:rPr>
          <w:t>Note Purchase Agreement dated as of April 27, 2020 among Matson Navigation Company, Inc., the United</w:t>
        </w:r>
      </w:hyperlink>
      <w:r>
        <w:rPr>
          <w:rFonts w:ascii="Arial" w:cs="Arial" w:eastAsia="Arial" w:hAnsi="Arial"/>
          <w:sz w:val="16"/>
          <w:szCs w:val="16"/>
          <w:u w:val="single" w:color="auto"/>
          <w:color w:val="0000EE"/>
        </w:rPr>
        <w:t xml:space="preserve"> </w:t>
      </w:r>
      <w:hyperlink r:id="rId57">
        <w:r>
          <w:rPr>
            <w:rFonts w:ascii="Arial" w:cs="Arial" w:eastAsia="Arial" w:hAnsi="Arial"/>
            <w:sz w:val="16"/>
            <w:szCs w:val="16"/>
            <w:u w:val="single" w:color="auto"/>
            <w:color w:val="0000EE"/>
          </w:rPr>
          <w:t>States of America, represented by the Maritime Administrator of the Maritime Administration and the Federal</w:t>
        </w:r>
      </w:hyperlink>
      <w:r>
        <w:rPr>
          <w:rFonts w:ascii="Arial" w:cs="Arial" w:eastAsia="Arial" w:hAnsi="Arial"/>
          <w:sz w:val="16"/>
          <w:szCs w:val="16"/>
          <w:u w:val="single" w:color="auto"/>
          <w:color w:val="0000EE"/>
        </w:rPr>
        <w:t xml:space="preserve"> </w:t>
      </w:r>
      <w:hyperlink r:id="rId57">
        <w:r>
          <w:rPr>
            <w:rFonts w:ascii="Arial" w:cs="Arial" w:eastAsia="Arial" w:hAnsi="Arial"/>
            <w:sz w:val="16"/>
            <w:szCs w:val="16"/>
            <w:u w:val="single" w:color="auto"/>
            <w:color w:val="0000EE"/>
          </w:rPr>
          <w:t>Financing Bank (incorporated by reference to Exhibit 10.2 of Matson’s Form 8-K dated April 30, 2020).</w:t>
        </w:r>
      </w:hyperlink>
    </w:p>
    <w:p>
      <w:pPr>
        <w:spacing w:after="0" w:line="176" w:lineRule="exact"/>
        <w:rPr>
          <w:rFonts w:ascii="Arial" w:cs="Arial" w:eastAsia="Arial" w:hAnsi="Arial"/>
          <w:sz w:val="16"/>
          <w:szCs w:val="16"/>
          <w:u w:val="single" w:color="auto"/>
          <w:color w:val="0000EE"/>
        </w:rPr>
      </w:pPr>
    </w:p>
    <w:p>
      <w:pPr>
        <w:ind w:left="880" w:right="899" w:hanging="822"/>
        <w:spacing w:after="0" w:line="277" w:lineRule="auto"/>
        <w:tabs>
          <w:tab w:leader="none" w:pos="860" w:val="left"/>
        </w:tabs>
        <w:rPr>
          <w:rFonts w:ascii="Arial" w:cs="Arial" w:eastAsia="Arial" w:hAnsi="Arial"/>
          <w:sz w:val="18"/>
          <w:szCs w:val="18"/>
          <w:color w:val="0000EE"/>
        </w:rPr>
      </w:pPr>
      <w:r>
        <w:rPr>
          <w:rFonts w:ascii="Arial" w:cs="Arial" w:eastAsia="Arial" w:hAnsi="Arial"/>
          <w:sz w:val="18"/>
          <w:szCs w:val="18"/>
          <w:color w:val="auto"/>
        </w:rPr>
        <w:t>10.8</w:t>
      </w:r>
      <w:r>
        <w:rPr>
          <w:sz w:val="20"/>
          <w:szCs w:val="20"/>
          <w:color w:val="auto"/>
        </w:rPr>
        <w:tab/>
      </w:r>
      <w:hyperlink r:id="rId58">
        <w:r>
          <w:rPr>
            <w:rFonts w:ascii="Arial" w:cs="Arial" w:eastAsia="Arial" w:hAnsi="Arial"/>
            <w:sz w:val="18"/>
            <w:szCs w:val="18"/>
            <w:u w:val="single" w:color="auto"/>
            <w:color w:val="0000EE"/>
          </w:rPr>
          <w:t>Affiliate Guaranty dated as of April 27, 2020 executed by Matson, Inc. (incorporated by reference to</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Exhibit 10.3 of Matson’s Form 8-K dated April 30, 2020)</w:t>
        </w:r>
        <w:r>
          <w:rPr>
            <w:rFonts w:ascii="Arial" w:cs="Arial" w:eastAsia="Arial" w:hAnsi="Arial"/>
            <w:sz w:val="18"/>
            <w:szCs w:val="18"/>
            <w:color w:val="000000"/>
          </w:rPr>
          <w:t>.</w:t>
        </w:r>
      </w:hyperlink>
    </w:p>
    <w:p>
      <w:pPr>
        <w:spacing w:after="0" w:line="211" w:lineRule="exact"/>
        <w:rPr>
          <w:sz w:val="20"/>
          <w:szCs w:val="20"/>
          <w:color w:val="auto"/>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40">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41">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29"/>
        </w:numPr>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45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4560" w:type="dxa"/>
            <w:vAlign w:val="bottom"/>
          </w:tcPr>
          <w:p>
            <w:pPr>
              <w:ind w:left="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56" w:lineRule="exact"/>
        <w:rPr>
          <w:sz w:val="20"/>
          <w:szCs w:val="20"/>
          <w:color w:val="auto"/>
        </w:rPr>
      </w:pPr>
    </w:p>
    <w:p>
      <w:pPr>
        <w:ind w:left="880" w:right="319" w:hanging="824"/>
        <w:spacing w:after="0" w:line="30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Senior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800" w:hanging="79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right="280" w:firstLine="9"/>
        <w:spacing w:after="0" w:line="224"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100" w:firstLine="9"/>
        <w:spacing w:after="0" w:line="224"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right="500" w:firstLine="9"/>
        <w:spacing w:after="0" w:line="224"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9"/>
        <w:spacing w:after="0" w:line="237" w:lineRule="auto"/>
        <w:tabs>
          <w:tab w:leader="none" w:pos="8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ind w:right="320" w:firstLine="9"/>
        <w:spacing w:after="0" w:line="237" w:lineRule="auto"/>
        <w:tabs>
          <w:tab w:leader="none" w:pos="85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right="80" w:firstLine="9"/>
        <w:spacing w:after="0" w:line="224" w:lineRule="auto"/>
        <w:tabs>
          <w:tab w:leader="none" w:pos="8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9"/>
        <w:spacing w:after="0" w:line="237" w:lineRule="auto"/>
        <w:tabs>
          <w:tab w:leader="none" w:pos="85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right="240" w:firstLine="9"/>
        <w:spacing w:after="0" w:line="224" w:lineRule="auto"/>
        <w:tabs>
          <w:tab w:leader="none" w:pos="7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sz w:val="20"/>
          <w:szCs w:val="20"/>
          <w:color w:val="auto"/>
        </w:rPr>
      </w:pPr>
    </w:p>
    <w:p>
      <w:pPr>
        <w:ind w:right="40" w:firstLine="9"/>
        <w:spacing w:after="0" w:line="289" w:lineRule="auto"/>
        <w:tabs>
          <w:tab w:leader="none" w:pos="8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right="700" w:firstLine="9"/>
        <w:spacing w:after="0" w:line="235" w:lineRule="auto"/>
        <w:tabs>
          <w:tab w:leader="none" w:pos="8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98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wp:posOffset>
            </wp:positionV>
            <wp:extent cx="29146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5320"/>
        <w:spacing w:after="0" w:line="203" w:lineRule="auto"/>
        <w:rPr>
          <w:sz w:val="20"/>
          <w:szCs w:val="20"/>
          <w:color w:val="auto"/>
        </w:rPr>
      </w:pPr>
      <w:r>
        <w:rPr>
          <w:rFonts w:ascii="Arial" w:cs="Arial" w:eastAsia="Arial" w:hAnsi="Arial"/>
          <w:sz w:val="18"/>
          <w:szCs w:val="18"/>
          <w:color w:val="auto"/>
        </w:rPr>
        <w:t>Matthew J. Cox, Chairman and</w:t>
      </w:r>
    </w:p>
    <w:p>
      <w:pPr>
        <w:ind w:left="532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441960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800" w:hanging="79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right="280" w:firstLine="9"/>
        <w:spacing w:after="0" w:line="224"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100" w:firstLine="9"/>
        <w:spacing w:after="0" w:line="224"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right="500" w:firstLine="9"/>
        <w:spacing w:after="0" w:line="224"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9"/>
        <w:spacing w:after="0" w:line="237" w:lineRule="auto"/>
        <w:tabs>
          <w:tab w:leader="none" w:pos="8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ind w:right="320" w:firstLine="9"/>
        <w:spacing w:after="0" w:line="237" w:lineRule="auto"/>
        <w:tabs>
          <w:tab w:leader="none" w:pos="858"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right="80" w:firstLine="9"/>
        <w:spacing w:after="0" w:line="224" w:lineRule="auto"/>
        <w:tabs>
          <w:tab w:leader="none" w:pos="8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9"/>
        <w:spacing w:after="0" w:line="237" w:lineRule="auto"/>
        <w:tabs>
          <w:tab w:leader="none" w:pos="858"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right="240" w:firstLine="9"/>
        <w:spacing w:after="0" w:line="224" w:lineRule="auto"/>
        <w:tabs>
          <w:tab w:leader="none" w:pos="7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sz w:val="20"/>
          <w:szCs w:val="20"/>
          <w:color w:val="auto"/>
        </w:rPr>
      </w:pPr>
    </w:p>
    <w:p>
      <w:pPr>
        <w:ind w:right="40" w:firstLine="9"/>
        <w:spacing w:after="0" w:line="289" w:lineRule="auto"/>
        <w:tabs>
          <w:tab w:leader="none" w:pos="8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right="700" w:firstLine="9"/>
        <w:spacing w:after="0" w:line="235" w:lineRule="auto"/>
        <w:tabs>
          <w:tab w:leader="none" w:pos="8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-635</wp:posOffset>
            </wp:positionV>
            <wp:extent cx="2905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line="203" w:lineRule="auto"/>
        <w:rPr>
          <w:sz w:val="20"/>
          <w:szCs w:val="20"/>
          <w:color w:val="auto"/>
        </w:rPr>
      </w:pPr>
      <w:r>
        <w:rPr>
          <w:rFonts w:ascii="Arial" w:cs="Arial" w:eastAsia="Arial" w:hAnsi="Arial"/>
          <w:sz w:val="18"/>
          <w:szCs w:val="18"/>
          <w:color w:val="auto"/>
        </w:rPr>
        <w:t>Joel M. Wine, Senior Vice President and</w:t>
      </w:r>
    </w:p>
    <w:p>
      <w:pPr>
        <w:ind w:left="53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441960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1" w:name="page42"/>
    <w:bookmarkEnd w:id="41"/>
    <w:p>
      <w:pPr>
        <w:ind w:left="79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left="40" w:right="119"/>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March 31, 2020,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900" w:hanging="85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ind w:left="40"/>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left="40" w:right="419" w:firstLine="4"/>
        <w:spacing w:after="0" w:line="235" w:lineRule="auto"/>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40" w:right="379"/>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Name:  Matthew J. Cox</w:t>
      </w:r>
    </w:p>
    <w:p>
      <w:pPr>
        <w:ind w:left="40"/>
        <w:spacing w:after="0" w:line="203"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May 5, 2020</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Name:  Joel M. Wine</w:t>
      </w:r>
    </w:p>
    <w:p>
      <w:pPr>
        <w:ind w:left="40"/>
        <w:spacing w:after="0" w:line="203" w:lineRule="auto"/>
        <w:tabs>
          <w:tab w:leader="none" w:pos="62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
      <w:numFmt w:val="bullet"/>
      <w:start w:val="1"/>
    </w:lvl>
  </w:abstractNum>
  <w:abstractNum w:abstractNumId="8">
    <w:nsid w:val="75A2A8D4"/>
    <w:multiLevelType w:val="hybridMultilevel"/>
    <w:lvl w:ilvl="0">
      <w:lvlJc w:val="left"/>
      <w:lvlText w:val=" "/>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4"/>
    </w:lvl>
  </w:abstractNum>
  <w:abstractNum w:abstractNumId="13">
    <w:nsid w:val="189A769B"/>
    <w:multiLevelType w:val="hybridMultilevel"/>
    <w:lvl w:ilvl="0">
      <w:lvlJc w:val="left"/>
      <w:lvlText w:val="%1."/>
      <w:numFmt w:val="decimal"/>
      <w:start w:val="5"/>
    </w:lvl>
  </w:abstractNum>
  <w:abstractNum w:abstractNumId="14">
    <w:nsid w:val="54E49EB4"/>
    <w:multiLevelType w:val="hybridMultilevel"/>
    <w:lvl w:ilvl="0">
      <w:lvlJc w:val="left"/>
      <w:lvlText w:val="%1."/>
      <w:numFmt w:val="decimal"/>
      <w:start w:val="6"/>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7"/>
    </w:lvl>
  </w:abstractNum>
  <w:abstractNum w:abstractNumId="18">
    <w:nsid w:val="2901D82"/>
    <w:multiLevelType w:val="hybridMultilevel"/>
    <w:lvl w:ilvl="0">
      <w:lvlJc w:val="left"/>
      <w:lvlText w:val="%1."/>
      <w:numFmt w:val="decimal"/>
      <w:start w:val="8"/>
    </w:lvl>
  </w:abstractNum>
  <w:abstractNum w:abstractNumId="19">
    <w:nsid w:val="3A95F874"/>
    <w:multiLevelType w:val="hybridMultilevel"/>
    <w:lvl w:ilvl="0">
      <w:lvlJc w:val="left"/>
      <w:lvlText w:val="%1."/>
      <w:numFmt w:val="decimal"/>
      <w:start w:val="9"/>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decimal"/>
      <w:start w:val="11"/>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32"/>
    </w:lvl>
  </w:abstractNum>
  <w:abstractNum w:abstractNumId="29">
    <w:nsid w:val="419AC241"/>
    <w:multiLevelType w:val="hybridMultilevel"/>
    <w:lvl w:ilvl="0">
      <w:lvlJc w:val="left"/>
      <w:lvlText w:val="%1"/>
      <w:numFmt w:val="decimal"/>
      <w:start w:val="104"/>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38" Type="http://schemas.openxmlformats.org/officeDocument/2006/relationships/hyperlink" Target="http://www.sec.gov/Archives/edgar/data/3453/000155837020001757/0001558370-20-001757-index.htm" TargetMode="External"/><Relationship Id="rId51" Type="http://schemas.openxmlformats.org/officeDocument/2006/relationships/hyperlink" Target="http://www.sec.gov/Archives/edgar/data/3453/000155837020003631/ex-10d1.htm" TargetMode="External"/><Relationship Id="rId52" Type="http://schemas.openxmlformats.org/officeDocument/2006/relationships/hyperlink" Target="http://www.sec.gov/Archives/edgar/data/3453/000155837020003631/ex-10d2.htm" TargetMode="External"/><Relationship Id="rId53" Type="http://schemas.openxmlformats.org/officeDocument/2006/relationships/hyperlink" Target="http://www.sec.gov/Archives/edgar/data/3453/000155837020003631/ex-10d3.htm" TargetMode="External"/><Relationship Id="rId54" Type="http://schemas.openxmlformats.org/officeDocument/2006/relationships/hyperlink" Target="http://www.sec.gov/Archives/edgar/data/3453/000155837020003631/ex-10d4.htm" TargetMode="External"/><Relationship Id="rId55" Type="http://schemas.openxmlformats.org/officeDocument/2006/relationships/hyperlink" Target="http://www.sec.gov/Archives/edgar/data/3453/000155837020003631/ex-10d5.htm" TargetMode="External"/><Relationship Id="rId56" Type="http://schemas.openxmlformats.org/officeDocument/2006/relationships/hyperlink" Target="http://www.sec.gov/Archives/edgar/data/3453/000155837020004825/matx-20200427xex10d1.htm" TargetMode="External"/><Relationship Id="rId57" Type="http://schemas.openxmlformats.org/officeDocument/2006/relationships/hyperlink" Target="http://www.sec.gov/Archives/edgar/data/3453/000155837020004825/matx-20200427xex10d2.htm" TargetMode="External"/><Relationship Id="rId58" Type="http://schemas.openxmlformats.org/officeDocument/2006/relationships/hyperlink" Target="http://www.sec.gov/Archives/edgar/data/3453/000155837020004825/matx-20200427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2020-05-05T15:31:21Z</dcterms:created>
  <dcterms:modified xsi:type="dcterms:W3CDTF">2020-05-05T15:31:21Z</dcterms:modified>
</cp:coreProperties>
</file>