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atx-20240630x10q.htm"/>
        <w:bookmarkStart w:id="1" w:name="ksmatx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lineRule="atLeast" w:line="142" w:before="0" w:after="0"/>
        <w:ind w:left="0" w:right="0" w:hanging="0"/>
        <w:jc w:val="left"/>
        <w:rPr>
          <w:rFonts w:ascii="Times New Roman;Times;serif" w:hAnsi="Times New Roman;Times;serif"/>
          <w:i/>
          <w:sz w:val="2"/>
        </w:rPr>
      </w:pPr>
      <w:r>
        <w:rPr>
          <w:rFonts w:ascii="Times New Roman;Times;serif" w:hAnsi="Times New Roman;Times;serif"/>
          <w:i/>
          <w:sz w:val="2"/>
        </w:rPr>
        <w:t>ff</w:t>
      </w:r>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763ba1cd_cf02_4574_9e52_90d5e2a0ef01"/>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2024</w:t>
      </w:r>
    </w:p>
    <w:p>
      <w:pPr>
        <w:pStyle w:val="TextBody"/>
        <w:pBdr/>
        <w:bidi w:val="0"/>
        <w:spacing w:before="0" w:after="0"/>
        <w:ind w:left="0" w:right="0" w:hanging="72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                   </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001-34187</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Matson,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g-ka-AxgUqzmqAhZeR4qg_4_1"/>
      <w:bookmarkStart w:id="4" w:name="Tc_gkayBQ_THUuL9zBSwPSz6w_4_0"/>
      <w:bookmarkStart w:id="5" w:name="Tc_CeaFj7Xo_UmIa1mDcxZ12A_2_1"/>
      <w:bookmarkStart w:id="6" w:name="Tc_18rIb-2g8EK_EDctam6xmg_2_0"/>
      <w:bookmarkStart w:id="7" w:name="_af43c18c_e622_4da7_b8c0_a30e09a9a76f"/>
      <w:bookmarkStart w:id="8" w:name="Tc_-g-ka-AxgUqzmqAhZeR4qg_4_1"/>
      <w:bookmarkStart w:id="9" w:name="Tc_gkayBQ_THUuL9zBSwPSz6w_4_0"/>
      <w:bookmarkStart w:id="10" w:name="Tc_CeaFj7Xo_UmIa1mDcxZ12A_2_1"/>
      <w:bookmarkStart w:id="11" w:name="Tc_18rIb-2g8EK_EDctam6xmg_2_0"/>
      <w:bookmarkStart w:id="12" w:name="_af43c18c_e622_4da7_b8c0_a30e09a9a76f"/>
      <w:bookmarkEnd w:id="8"/>
      <w:bookmarkEnd w:id="9"/>
      <w:bookmarkEnd w:id="10"/>
      <w:bookmarkEnd w:id="11"/>
      <w:bookmarkEnd w:id="12"/>
    </w:p>
    <w:tbl>
      <w:tblPr>
        <w:tblW w:w="4952" w:type="dxa"/>
        <w:jc w:val="left"/>
        <w:tblInd w:w="0" w:type="dxa"/>
        <w:tblLayout w:type="fixed"/>
        <w:tblCellMar>
          <w:top w:w="0" w:type="dxa"/>
          <w:left w:w="0" w:type="dxa"/>
          <w:bottom w:w="0" w:type="dxa"/>
          <w:right w:w="0" w:type="dxa"/>
        </w:tblCellMar>
      </w:tblPr>
      <w:tblGrid>
        <w:gridCol w:w="3301"/>
        <w:gridCol w:w="1651"/>
      </w:tblGrid>
      <w:tr>
        <w:trPr/>
        <w:tc>
          <w:tcPr>
            <w:tcW w:w="3301" w:type="dxa"/>
            <w:tcBorders/>
            <w:vAlign w:val="center"/>
          </w:tcPr>
          <w:p>
            <w:pPr>
              <w:pStyle w:val="TableContents"/>
              <w:bidi w:val="0"/>
              <w:spacing w:lineRule="atLeast" w:line="220" w:before="0" w:after="0"/>
              <w:ind w:left="0" w:right="0" w:hanging="0"/>
              <w:jc w:val="left"/>
              <w:rPr/>
            </w:pPr>
            <w:r>
              <w:rPr/>
              <w:t>​</w:t>
            </w:r>
          </w:p>
        </w:tc>
        <w:tc>
          <w:tcPr>
            <w:tcW w:w="1651" w:type="dxa"/>
            <w:tcBorders/>
            <w:vAlign w:val="center"/>
          </w:tcPr>
          <w:p>
            <w:pPr>
              <w:pStyle w:val="TableContents"/>
              <w:bidi w:val="0"/>
              <w:spacing w:lineRule="atLeast" w:line="220" w:before="0" w:after="0"/>
              <w:ind w:left="0" w:right="0" w:hanging="0"/>
              <w:jc w:val="left"/>
              <w:rPr/>
            </w:pPr>
            <w:r>
              <w:rPr/>
              <w:t>​</w:t>
            </w:r>
          </w:p>
        </w:tc>
      </w:tr>
      <w:tr>
        <w:trPr/>
        <w:tc>
          <w:tcPr>
            <w:tcW w:w="3301" w:type="dxa"/>
            <w:tcBorders/>
            <w:vAlign w:val="center"/>
          </w:tcPr>
          <w:p>
            <w:pPr>
              <w:pStyle w:val="TableContents"/>
              <w:pBdr/>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Hawaii</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99-0032630</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incorporation or organization)</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301" w:type="dxa"/>
            <w:tcBorders/>
            <w:vAlign w:val="center"/>
          </w:tcPr>
          <w:p>
            <w:pPr>
              <w:pStyle w:val="TableContents"/>
              <w:bidi w:val="0"/>
              <w:spacing w:lineRule="atLeast" w:line="160" w:before="0" w:after="0"/>
              <w:ind w:left="0" w:right="0" w:hanging="0"/>
              <w:jc w:val="center"/>
              <w:rPr/>
            </w:pPr>
            <w:r>
              <w:rPr/>
              <w:t>​</w:t>
            </w:r>
          </w:p>
        </w:tc>
        <w:tc>
          <w:tcPr>
            <w:tcW w:w="1651" w:type="dxa"/>
            <w:tcBorders/>
            <w:vAlign w:val="center"/>
          </w:tcPr>
          <w:p>
            <w:pPr>
              <w:pStyle w:val="TableContents"/>
              <w:bidi w:val="0"/>
              <w:spacing w:lineRule="atLeast" w:line="160" w:before="0" w:after="0"/>
              <w:ind w:left="0" w:right="0" w:hanging="0"/>
              <w:jc w:val="center"/>
              <w:rPr/>
            </w:pPr>
            <w:r>
              <w:rPr/>
              <w:t>​</w:t>
            </w:r>
          </w:p>
        </w:tc>
      </w:tr>
      <w:tr>
        <w:trPr/>
        <w:tc>
          <w:tcPr>
            <w:tcW w:w="3301" w:type="dxa"/>
            <w:tcBorders/>
            <w:vAlign w:val="center"/>
          </w:tcPr>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1411 Sand Island Parkway</w:t>
            </w:r>
          </w:p>
          <w:p>
            <w:pPr>
              <w:pStyle w:val="TableContents"/>
              <w:pBdr/>
              <w:bidi w:val="0"/>
              <w:spacing w:lineRule="atLeast" w:line="220" w:before="0" w:after="0"/>
              <w:ind w:left="0" w:right="0" w:hanging="144"/>
              <w:jc w:val="center"/>
              <w:rPr>
                <w:rFonts w:ascii="Times New Roman;Times;serif" w:hAnsi="Times New Roman;Times;serif"/>
                <w:b/>
                <w:sz w:val="20"/>
              </w:rPr>
            </w:pPr>
            <w:r>
              <w:rPr>
                <w:rFonts w:ascii="Times New Roman;Times;serif" w:hAnsi="Times New Roman;Times;serif"/>
                <w:b/>
                <w:sz w:val="20"/>
              </w:rPr>
              <w:t>Honolulu, HI</w:t>
            </w:r>
          </w:p>
          <w:p>
            <w:pPr>
              <w:pStyle w:val="TableContents"/>
              <w:pBdr/>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lineRule="atLeast" w:line="220" w:before="0" w:after="0"/>
              <w:ind w:left="0" w:right="0" w:hanging="0"/>
              <w:jc w:val="center"/>
              <w:rPr>
                <w:rFonts w:ascii="Times New Roman;Times;serif" w:hAnsi="Times New Roman;Times;serif"/>
                <w:b/>
                <w:sz w:val="20"/>
              </w:rPr>
            </w:pPr>
            <w:r>
              <w:rPr>
                <w:rFonts w:ascii="Times New Roman;Times;serif" w:hAnsi="Times New Roman;Times;serif"/>
                <w:b/>
                <w:sz w:val="20"/>
              </w:rPr>
              <w:t>96819</w:t>
            </w:r>
          </w:p>
          <w:p>
            <w:pPr>
              <w:pStyle w:val="TableContents"/>
              <w:bidi w:val="0"/>
              <w:spacing w:lineRule="atLeast" w:line="220"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(808) 848-1211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lineRule="atLeast" w:line="160"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lineRule="atLeast" w:line="160" w:before="0" w:after="0"/>
        <w:ind w:left="0" w:right="0" w:hanging="0"/>
        <w:jc w:val="center"/>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13" w:name="Tc_RFFRGzmx9U6kZVEeDwkBAw_1_2"/>
      <w:bookmarkStart w:id="14" w:name="Tc__vVAmEObKEOGI_IYCrAgaw_1_1"/>
      <w:bookmarkStart w:id="15" w:name="Tc_acAU87n9dkydt_ulAUwL4A_1_0"/>
      <w:bookmarkStart w:id="16" w:name="_9ec5e65e_c459_445f_8eeb_4921fa4e128f"/>
      <w:bookmarkStart w:id="17" w:name="Tc_RFFRGzmx9U6kZVEeDwkBAw_1_2"/>
      <w:bookmarkStart w:id="18" w:name="Tc__vVAmEObKEOGI_IYCrAgaw_1_1"/>
      <w:bookmarkStart w:id="19" w:name="Tc_acAU87n9dkydt_ulAUwL4A_1_0"/>
      <w:bookmarkStart w:id="20" w:name="_9ec5e65e_c459_445f_8eeb_4921fa4e128f"/>
      <w:bookmarkEnd w:id="17"/>
      <w:bookmarkEnd w:id="18"/>
      <w:bookmarkEnd w:id="19"/>
      <w:bookmarkEnd w:id="20"/>
    </w:p>
    <w:tbl>
      <w:tblPr>
        <w:tblW w:w="8223" w:type="dxa"/>
        <w:jc w:val="left"/>
        <w:tblInd w:w="0" w:type="dxa"/>
        <w:tblLayout w:type="fixed"/>
        <w:tblCellMar>
          <w:top w:w="0" w:type="dxa"/>
          <w:left w:w="0" w:type="dxa"/>
          <w:bottom w:w="0" w:type="dxa"/>
          <w:right w:w="0" w:type="dxa"/>
        </w:tblCellMar>
      </w:tblPr>
      <w:tblGrid>
        <w:gridCol w:w="2896"/>
        <w:gridCol w:w="1621"/>
        <w:gridCol w:w="370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8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without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MATX</w:t>
            </w:r>
          </w:p>
        </w:tc>
        <w:tc>
          <w:tcPr>
            <w:tcW w:w="37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6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tLeast" w:line="160" w:before="0" w:after="0"/>
        <w:ind w:left="0" w:right="0" w:hanging="0"/>
        <w:jc w:val="left"/>
        <w:rPr/>
      </w:pPr>
      <w:r>
        <w:rPr/>
        <w:t>​</w:t>
      </w:r>
    </w:p>
    <w:tbl>
      <w:tblPr>
        <w:tblW w:w="4727" w:type="dxa"/>
        <w:jc w:val="left"/>
        <w:tblInd w:w="0" w:type="dxa"/>
        <w:tblLayout w:type="fixed"/>
        <w:tblCellMar>
          <w:top w:w="0" w:type="dxa"/>
          <w:left w:w="0" w:type="dxa"/>
          <w:bottom w:w="0" w:type="dxa"/>
          <w:right w:w="0" w:type="dxa"/>
        </w:tblCellMar>
      </w:tblPr>
      <w:tblGrid>
        <w:gridCol w:w="2146"/>
        <w:gridCol w:w="2581"/>
      </w:tblGrid>
      <w:tr>
        <w:trPr/>
        <w:tc>
          <w:tcPr>
            <w:tcW w:w="2146" w:type="dxa"/>
            <w:tcBorders/>
            <w:vAlign w:val="center"/>
          </w:tcPr>
          <w:p>
            <w:pPr>
              <w:pStyle w:val="TableContents"/>
              <w:bidi w:val="0"/>
              <w:spacing w:lineRule="atLeast" w:line="142" w:before="0" w:after="0"/>
              <w:ind w:left="0" w:right="0" w:hanging="0"/>
              <w:jc w:val="left"/>
              <w:rPr/>
            </w:pPr>
            <w:r>
              <w:rPr/>
              <w:t>​</w:t>
            </w:r>
          </w:p>
        </w:tc>
        <w:tc>
          <w:tcPr>
            <w:tcW w:w="2581" w:type="dxa"/>
            <w:tcBorders/>
            <w:vAlign w:val="center"/>
          </w:tcPr>
          <w:p>
            <w:pPr>
              <w:pStyle w:val="TableContents"/>
              <w:bidi w:val="0"/>
              <w:spacing w:lineRule="atLeast" w:line="142" w:before="0" w:after="0"/>
              <w:ind w:left="0" w:right="0" w:hanging="0"/>
              <w:jc w:val="left"/>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pPr>
            <w:r>
              <w:rPr/>
              <w:t>​</w:t>
            </w:r>
          </w:p>
        </w:tc>
      </w:tr>
      <w:tr>
        <w:trPr/>
        <w:tc>
          <w:tcPr>
            <w:tcW w:w="2146" w:type="dxa"/>
            <w:tcBorders/>
            <w:vAlign w:val="center"/>
          </w:tcPr>
          <w:p>
            <w:pPr>
              <w:pStyle w:val="TableContents"/>
              <w:pBdr/>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center"/>
        <w:rPr/>
      </w:pPr>
      <w:r>
        <w:rPr/>
        <w:t>​</w:t>
      </w:r>
    </w:p>
    <w:p>
      <w:pPr>
        <w:pStyle w:val="TextBody"/>
        <w:bidi w:val="0"/>
        <w:spacing w:before="60" w:after="6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Number of shares of common stock outstanding as of June 30, 2024: 33,579,287</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 w:name="_cd4e0b84_4102_4810_b37b_980c8186542b"/>
      <w:bookmarkEnd w:id="21"/>
      <w:r>
        <w:rPr>
          <w:rFonts w:ascii="Times New Roman;Times;serif" w:hAnsi="Times New Roman;Times;serif"/>
          <w:b/>
          <w:sz w:val="20"/>
        </w:rPr>
        <w:t>MATSON, INC. AND SUBSIDIARIES</w:t>
      </w:r>
    </w:p>
    <w:p>
      <w:pPr>
        <w:pStyle w:val="TextBody"/>
        <w:shd w:fill="FFFFFF" w:val="clear"/>
        <w:bidi w:val="0"/>
        <w:spacing w:before="24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shd w:fill="FFFFFF" w:val="clear"/>
        <w:bidi w:val="0"/>
        <w:spacing w:before="0" w:after="0"/>
        <w:ind w:left="0" w:right="0" w:hanging="0"/>
        <w:jc w:val="center"/>
        <w:rPr/>
      </w:pPr>
      <w:r>
        <w:rPr/>
        <w:t>​</w:t>
      </w:r>
    </w:p>
    <w:tbl>
      <w:tblPr>
        <w:tblW w:w="8924" w:type="dxa"/>
        <w:jc w:val="left"/>
        <w:tblInd w:w="0" w:type="dxa"/>
        <w:shd w:fill="FFFFFF" w:val="clear"/>
        <w:tblLayout w:type="fixed"/>
        <w:tblCellMar>
          <w:top w:w="0" w:type="dxa"/>
          <w:left w:w="0" w:type="dxa"/>
          <w:bottom w:w="0" w:type="dxa"/>
          <w:right w:w="0" w:type="dxa"/>
        </w:tblCellMar>
      </w:tblPr>
      <w:tblGrid>
        <w:gridCol w:w="811"/>
        <w:gridCol w:w="7366"/>
        <w:gridCol w:w="206"/>
        <w:gridCol w:w="541"/>
      </w:tblGrid>
      <w:tr>
        <w:trPr/>
        <w:tc>
          <w:tcPr>
            <w:tcW w:w="811" w:type="dxa"/>
            <w:tcBorders/>
            <w:shd w:fill="FFFFFF" w:val="clear"/>
            <w:vAlign w:val="center"/>
          </w:tcPr>
          <w:p>
            <w:pPr>
              <w:pStyle w:val="TableContents"/>
              <w:bidi w:val="0"/>
              <w:spacing w:lineRule="atLeast" w:line="240" w:before="0" w:after="0"/>
              <w:ind w:left="0" w:right="0" w:hanging="0"/>
              <w:jc w:val="left"/>
              <w:rPr/>
            </w:pPr>
            <w:r>
              <w:rPr/>
              <w:t>​</w:t>
            </w:r>
          </w:p>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06" w:type="dxa"/>
            <w:tcBorders/>
            <w:shd w:fill="FFFFFF" w:val="clear"/>
            <w:vAlign w:val="center"/>
          </w:tcPr>
          <w:p>
            <w:pPr>
              <w:pStyle w:val="TableContents"/>
              <w:bidi w:val="0"/>
              <w:spacing w:lineRule="atLeast" w:line="240"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hyperlink w:anchor="PART_I_FINANCIAL_INFORMATION">
              <w:r>
                <w:rPr>
                  <w:rStyle w:val="InternetLink"/>
                  <w:rFonts w:ascii="Times New Roman;Times;serif" w:hAnsi="Times New Roman;Times;serif"/>
                  <w:b w:val="false"/>
                  <w:i w:val="false"/>
                  <w:caps w:val="false"/>
                  <w:smallCaps w:val="false"/>
                  <w:sz w:val="20"/>
                </w:rPr>
                <w:t>Part I—FINANCIAL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top w:val="single" w:sz="2" w:space="0" w:color="000000"/>
            </w:tcBorders>
            <w:shd w:fill="FFFFFF" w:val="clear"/>
            <w:tcMar>
              <w:top w:w="28" w:type="dxa"/>
            </w:tcM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r>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left"/>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Financial Statements (Unaudited)</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Consolidated_Statements_of_Income">
              <w:r>
                <w:rPr>
                  <w:rStyle w:val="InternetLink"/>
                  <w:rFonts w:ascii="Times New Roman;Times;serif" w:hAnsi="Times New Roman;Times;serif"/>
                  <w:b w:val="false"/>
                  <w:i w:val="false"/>
                  <w:caps w:val="false"/>
                  <w:smallCaps w:val="false"/>
                  <w:sz w:val="20"/>
                </w:rPr>
                <w:t>Condensed Consolidated Statements of Income and Comprehensive Income</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ConsolidatedBalanceSheets_846706">
              <w:r>
                <w:rPr>
                  <w:rStyle w:val="InternetLink"/>
                  <w:rFonts w:ascii="Times New Roman;Times;serif" w:hAnsi="Times New Roman;Times;serif"/>
                  <w:b w:val="false"/>
                  <w:i w:val="false"/>
                  <w:caps w:val="false"/>
                  <w:smallCaps w:val="false"/>
                  <w:sz w:val="20"/>
                </w:rPr>
                <w:t>Condensed Consolidated Balance Sheets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StatementsofCashFlows_473640">
              <w:r>
                <w:rPr>
                  <w:rStyle w:val="InternetLink"/>
                  <w:rFonts w:ascii="Times New Roman;Times;serif" w:hAnsi="Times New Roman;Times;serif"/>
                  <w:b w:val="false"/>
                  <w:i w:val="false"/>
                  <w:caps w:val="false"/>
                  <w:smallCaps w:val="false"/>
                  <w:sz w:val="20"/>
                </w:rPr>
                <w:t>Condensed Consolidated Statements of Cash Flows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shd w:fill="FFFFFF" w:val="clear"/>
            <w:vAlign w:val="center"/>
          </w:tcPr>
          <w:p>
            <w:pPr>
              <w:pStyle w:val="TableContents"/>
              <w:bidi w:val="0"/>
              <w:spacing w:lineRule="atLeast" w:line="240" w:before="0" w:after="0"/>
              <w:ind w:left="0" w:right="0" w:hanging="0"/>
              <w:jc w:val="left"/>
              <w:rPr/>
            </w:pPr>
            <w:r>
              <w:rPr/>
              <w:t>​</w:t>
            </w:r>
          </w:p>
        </w:tc>
        <w:tc>
          <w:tcPr>
            <w:tcW w:w="7366" w:type="dxa"/>
            <w:tcBorders/>
            <w:shd w:fill="FFFFFF" w:val="clear"/>
            <w:vAlign w:val="center"/>
          </w:tcPr>
          <w:p>
            <w:pPr>
              <w:pStyle w:val="TableContents"/>
              <w:bidi w:val="0"/>
              <w:spacing w:lineRule="atLeast" w:line="240" w:before="0" w:after="0"/>
              <w:ind w:left="0" w:right="0" w:hanging="0"/>
              <w:jc w:val="left"/>
              <w:rPr/>
            </w:pPr>
            <w:hyperlink w:anchor="StatementsofShareholdersEquity">
              <w:r>
                <w:rPr>
                  <w:rStyle w:val="InternetLink"/>
                  <w:rFonts w:ascii="Times New Roman;Times;serif" w:hAnsi="Times New Roman;Times;serif"/>
                  <w:b w:val="false"/>
                  <w:i w:val="false"/>
                  <w:caps w:val="false"/>
                  <w:smallCaps w:val="false"/>
                  <w:sz w:val="20"/>
                </w:rPr>
                <w:t>Condensed Consolidated Statements of Shareholders’ Equity</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NOTESTOTHECONDENSEDCONSOLIDATEDFINANICAL">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_2_MDA">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17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4CONTROLSANDPROCEDURES_278454">
              <w:r>
                <w:rPr>
                  <w:rStyle w:val="InternetLink"/>
                  <w:rFonts w:ascii="Times New Roman;Times;serif" w:hAnsi="Times New Roman;Times;serif"/>
                  <w:b w:val="false"/>
                  <w:i w:val="false"/>
                  <w:caps w:val="false"/>
                  <w:smallCaps w:val="false"/>
                  <w:sz w:val="20"/>
                </w:rPr>
                <w:t>Controls and Procedures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7366" w:type="dxa"/>
            <w:tcBorders/>
            <w:shd w:fill="FFFFFF" w:val="clear"/>
            <w:vAlign w:val="center"/>
          </w:tcPr>
          <w:p>
            <w:pPr>
              <w:pStyle w:val="TableContents"/>
              <w:bidi w:val="0"/>
              <w:spacing w:lineRule="atLeast" w:line="240" w:before="0" w:after="0"/>
              <w:ind w:left="0" w:right="0" w:hanging="0"/>
              <w:jc w:val="left"/>
              <w:rPr>
                <w:shd w:fill="FFFF00" w:val="clear"/>
              </w:rPr>
            </w:pPr>
            <w:r>
              <w:rPr>
                <w:shd w:fill="FFFF00" w:val="clear"/>
              </w:rPr>
              <w:t>​</w:t>
            </w:r>
          </w:p>
        </w:tc>
        <w:tc>
          <w:tcPr>
            <w:tcW w:w="206" w:type="dxa"/>
            <w:tcBorders/>
            <w:shd w:fill="FFFFFF" w:val="clear"/>
            <w:vAlign w:val="center"/>
          </w:tcPr>
          <w:p>
            <w:pPr>
              <w:pStyle w:val="TableContents"/>
              <w:bidi w:val="0"/>
              <w:spacing w:lineRule="atLeast" w:line="240" w:before="0" w:after="0"/>
              <w:ind w:left="0" w:right="0" w:hanging="0"/>
              <w:jc w:val="right"/>
              <w:rPr>
                <w:shd w:fill="FFFF00" w:val="clear"/>
              </w:rPr>
            </w:pPr>
            <w:r>
              <w:rPr>
                <w:shd w:fill="FFFF00" w:val="clear"/>
              </w:rPr>
              <w:t>​</w:t>
            </w:r>
          </w:p>
        </w:tc>
        <w:tc>
          <w:tcPr>
            <w:tcW w:w="541" w:type="dxa"/>
            <w:tcBorders/>
            <w:shd w:fill="FFFFFF" w:val="clear"/>
            <w:vAlign w:val="center"/>
          </w:tcPr>
          <w:p>
            <w:pPr>
              <w:pStyle w:val="TableContents"/>
              <w:bidi w:val="0"/>
              <w:spacing w:lineRule="atLeast" w:line="240" w:before="0" w:after="0"/>
              <w:ind w:left="0" w:right="0" w:hanging="0"/>
              <w:jc w:val="center"/>
              <w:rPr>
                <w:shd w:fill="FFFF00" w:val="clear"/>
              </w:rPr>
            </w:pPr>
            <w:r>
              <w:rPr>
                <w:shd w:fill="FFFF00" w:val="clear"/>
              </w:rPr>
              <w:t>​</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hyperlink w:anchor="PARTIIOTHERINFORMATION_744928">
              <w:r>
                <w:rPr>
                  <w:rStyle w:val="InternetLink"/>
                  <w:rFonts w:ascii="Times New Roman;Times;serif" w:hAnsi="Times New Roman;Times;serif"/>
                  <w:b w:val="false"/>
                  <w:i w:val="false"/>
                  <w:caps w:val="false"/>
                  <w:smallCaps w:val="false"/>
                  <w:sz w:val="20"/>
                </w:rPr>
                <w:t>Part II—OTHER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77" w:type="dxa"/>
            <w:gridSpan w:val="2"/>
            <w:tcBorders/>
            <w:shd w:fill="FFFFFF" w:val="clear"/>
            <w:vAlign w:val="center"/>
          </w:tcPr>
          <w:p>
            <w:pPr>
              <w:pStyle w:val="TableContents"/>
              <w:bidi w:val="0"/>
              <w:spacing w:lineRule="atLeast" w:line="240" w:before="0" w:after="0"/>
              <w:ind w:left="0" w:right="0" w:hanging="0"/>
              <w:jc w:val="left"/>
              <w:rPr/>
            </w:pPr>
            <w:r>
              <w:rPr/>
              <w:t>​</w:t>
            </w:r>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pPr>
            <w:r>
              <w:rPr/>
              <w:t>​</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Item 1.</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1LEGALPROCEEDINGS_436162">
              <w:r>
                <w:rPr>
                  <w:rStyle w:val="InternetLink"/>
                  <w:rFonts w:ascii="Times New Roman;Times;serif" w:hAnsi="Times New Roman;Times;serif"/>
                  <w:b w:val="false"/>
                  <w:i w:val="false"/>
                  <w:caps w:val="false"/>
                  <w:smallCaps w:val="false"/>
                  <w:sz w:val="20"/>
                </w:rPr>
                <w:t>Legal Proceedings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26</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Item 1A.</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1ARISKFACTORS_897747">
              <w:r>
                <w:rPr>
                  <w:rStyle w:val="InternetLink"/>
                  <w:rFonts w:ascii="Times New Roman;Times;serif" w:hAnsi="Times New Roman;Times;serif"/>
                  <w:b w:val="false"/>
                  <w:i w:val="false"/>
                  <w:caps w:val="false"/>
                  <w:smallCaps w:val="false"/>
                  <w:sz w:val="20"/>
                </w:rPr>
                <w:t>Risk Factors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Item 3.</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3DEFAULTSUPONSENIORSECURITIES_766025">
              <w:r>
                <w:rPr>
                  <w:rStyle w:val="InternetLink"/>
                  <w:rFonts w:ascii="Times New Roman;Times;serif" w:hAnsi="Times New Roman;Times;serif"/>
                  <w:b w:val="false"/>
                  <w:i w:val="false"/>
                  <w:caps w:val="false"/>
                  <w:smallCaps w:val="false"/>
                  <w:sz w:val="20"/>
                </w:rPr>
                <w:t>Defaults Upon Senior Securities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Item 4.</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4MINESAFETYDISCLOSURES_922547">
              <w:r>
                <w:rPr>
                  <w:rStyle w:val="InternetLink"/>
                  <w:rFonts w:ascii="Times New Roman;Times;serif" w:hAnsi="Times New Roman;Times;serif"/>
                  <w:b w:val="false"/>
                  <w:i w:val="false"/>
                  <w:caps w:val="false"/>
                  <w:smallCaps w:val="false"/>
                  <w:sz w:val="20"/>
                </w:rPr>
                <w:t>Mine Safety Disclosures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Item 5.</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5OTHERINFORMATION_110834">
              <w:r>
                <w:rPr>
                  <w:rStyle w:val="InternetLink"/>
                  <w:rFonts w:ascii="Times New Roman;Times;serif" w:hAnsi="Times New Roman;Times;serif"/>
                  <w:b w:val="false"/>
                  <w:i w:val="false"/>
                  <w:caps w:val="false"/>
                  <w:smallCaps w:val="false"/>
                  <w:sz w:val="20"/>
                </w:rPr>
                <w:t>Other Information</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11"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Item 6.</w:t>
              </w:r>
            </w:hyperlink>
          </w:p>
        </w:tc>
        <w:tc>
          <w:tcPr>
            <w:tcW w:w="7366" w:type="dxa"/>
            <w:tcBorders/>
            <w:shd w:fill="FFFFFF" w:val="clear"/>
            <w:vAlign w:val="center"/>
          </w:tcPr>
          <w:p>
            <w:pPr>
              <w:pStyle w:val="TableContents"/>
              <w:bidi w:val="0"/>
              <w:spacing w:lineRule="atLeast" w:line="240" w:before="0" w:after="0"/>
              <w:ind w:left="0" w:right="0" w:hanging="0"/>
              <w:jc w:val="left"/>
              <w:rPr/>
            </w:pPr>
            <w:hyperlink w:anchor="ITEM6EXHIBITS_599668">
              <w:r>
                <w:rPr>
                  <w:rStyle w:val="InternetLink"/>
                  <w:rFonts w:ascii="Times New Roman;Times;serif" w:hAnsi="Times New Roman;Times;serif"/>
                  <w:b w:val="false"/>
                  <w:i w:val="false"/>
                  <w:caps w:val="false"/>
                  <w:smallCaps w:val="false"/>
                  <w:sz w:val="20"/>
                </w:rPr>
                <w:t>Exhibits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1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366" w:type="dxa"/>
            <w:tcBorders/>
            <w:shd w:fill="FFFFFF" w:val="clear"/>
            <w:vAlign w:val="center"/>
          </w:tcPr>
          <w:p>
            <w:pPr>
              <w:pStyle w:val="TableContents"/>
              <w:bidi w:val="0"/>
              <w:spacing w:lineRule="atLeast" w:line="240" w:before="0" w:after="0"/>
              <w:ind w:left="0" w:right="0" w:hanging="0"/>
              <w:jc w:val="left"/>
              <w:rPr/>
            </w:pPr>
            <w:hyperlink w:anchor="SIGNATURES_841218">
              <w:r>
                <w:rPr>
                  <w:rStyle w:val="InternetLink"/>
                  <w:rFonts w:ascii="Times New Roman;Times;serif" w:hAnsi="Times New Roman;Times;serif"/>
                  <w:b w:val="false"/>
                  <w:i w:val="false"/>
                  <w:caps w:val="false"/>
                  <w:smallCaps w:val="false"/>
                  <w:sz w:val="20"/>
                </w:rPr>
                <w:t>Signatures</w:t>
              </w:r>
            </w:hyperlink>
          </w:p>
        </w:tc>
        <w:tc>
          <w:tcPr>
            <w:tcW w:w="206" w:type="dxa"/>
            <w:tcBorders/>
            <w:shd w:fill="FFFFFF" w:val="clear"/>
            <w:vAlign w:val="center"/>
          </w:tcPr>
          <w:p>
            <w:pPr>
              <w:pStyle w:val="TableContents"/>
              <w:bidi w:val="0"/>
              <w:spacing w:lineRule="atLeast" w:line="240" w:before="0" w:after="0"/>
              <w:ind w:left="0" w:right="0" w:hanging="0"/>
              <w:jc w:val="right"/>
              <w:rPr/>
            </w:pPr>
            <w:r>
              <w:rPr/>
              <w:t>​</w:t>
            </w:r>
          </w:p>
        </w:tc>
        <w:tc>
          <w:tcPr>
            <w:tcW w:w="541" w:type="dxa"/>
            <w:tcBorders/>
            <w:shd w:fill="FFFFFF" w:val="clear"/>
            <w:vAlign w:val="center"/>
          </w:tcPr>
          <w:p>
            <w:pPr>
              <w:pStyle w:val="TableContents"/>
              <w:bidi w:val="0"/>
              <w:spacing w:lineRule="atLeast" w:line="240"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 w:name="PART_I_FINANCIAL_INFORMATION"/>
      <w:bookmarkStart w:id="24" w:name="_e3532e86_72a5_4e34_afdd_11b3f475ee32"/>
      <w:bookmarkEnd w:id="23"/>
      <w:bookmarkEnd w:id="24"/>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25" w:name="ITEM_1_FINANCIAL_STATEMENTS"/>
      <w:bookmarkEnd w:id="25"/>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6" w:name="Consolidated_Statements_of_Income"/>
      <w:bookmarkEnd w:id="26"/>
      <w:r>
        <w:rPr>
          <w:rFonts w:ascii="Times New Roman;Times;serif" w:hAnsi="Times New Roman;Times;serif"/>
          <w:b/>
          <w:sz w:val="20"/>
        </w:rPr>
        <w:t>Condensed Consolidated Statements of Income and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 w:name="Tc_hb6_GvoG-keI5ZNVOXKdjw_36_0"/>
      <w:bookmarkStart w:id="28" w:name="Tc_O_eXMTRwj0OHPEn9R7V1zg_35_0"/>
      <w:bookmarkStart w:id="29" w:name="Tc_XIH5sheeO06yk5SeZha7Gw_34_0"/>
      <w:bookmarkStart w:id="30" w:name="Tc_TWblLU1phEKTZQwotNRsSg_32_11"/>
      <w:bookmarkStart w:id="31" w:name="Tc_GNGwvCPxFkOHJxx9Kl3eHg_32_8"/>
      <w:bookmarkStart w:id="32" w:name="Tc_BvmSMdjBGUOMh8n49Etw3A_32_5"/>
      <w:bookmarkStart w:id="33" w:name="Tc_C3C7QUxTaUWlLrR8Nny30A_32_2"/>
      <w:bookmarkStart w:id="34" w:name="Tc_qJxoVP80pUuQtCnAOG7WJw_32_0"/>
      <w:bookmarkStart w:id="35" w:name="Tc_DHrD2uY2J06eSrNgeZ3f-g_31_11"/>
      <w:bookmarkStart w:id="36" w:name="Tc__3BpFFfs1kSfqnKJGDGIAA_31_8"/>
      <w:bookmarkStart w:id="37" w:name="Tc_ga0NxMkDOk2HNq3_DLJXdA_31_5"/>
      <w:bookmarkStart w:id="38" w:name="Tc_Cq3iG5dGXkWaMXtydePS6g_31_2"/>
      <w:bookmarkStart w:id="39" w:name="Tc_4HctNuOJxEGEH6TqRy2xXw_31_0"/>
      <w:bookmarkStart w:id="40" w:name="Tc_4LVfSP5590aznXsN5dI8wA_29_11"/>
      <w:bookmarkStart w:id="41" w:name="Tc_y-JORT8h602NsmBALWvSxQ_29_8"/>
      <w:bookmarkStart w:id="42" w:name="Tc_V0p8KUb1S0Ktr4WicRrBdQ_29_5"/>
      <w:bookmarkStart w:id="43" w:name="Tc_Co0-Tfeu40CNKV2RDLoRcQ_29_2"/>
      <w:bookmarkStart w:id="44" w:name="Tc_o4jufhzBi0Cexm4cT6xwoA_29_0"/>
      <w:bookmarkStart w:id="45" w:name="Tc_AnsgIqbo0UCuRn65FstXcg_28_0"/>
      <w:bookmarkStart w:id="46" w:name="Tc_H7iNCNigAkGA4gbfYgXkqg_27_0"/>
      <w:bookmarkStart w:id="47" w:name="Tc_rV2bHnRJVU-SAo6U-WXW8g_26_0"/>
      <w:bookmarkStart w:id="48" w:name="Tc_8ke23JlyC0egoRn0KSZ9zg_25_0"/>
      <w:bookmarkStart w:id="49" w:name="Tc_gjZ6BmfCLUu73EvwegWlZw_24_11"/>
      <w:bookmarkStart w:id="50" w:name="Tc_NwLsPQX6RUSGyhvPqQnpLQ_24_8"/>
      <w:bookmarkStart w:id="51" w:name="Tc_EiSyfVGgZ0KIrmdDW9fGHQ_24_5"/>
      <w:bookmarkStart w:id="52" w:name="Tc_CvMa1rUmpUSYchVaZPbRYw_24_2"/>
      <w:bookmarkStart w:id="53" w:name="Tc_RPxVLODijUKZRei4uPAt3A_24_0"/>
      <w:bookmarkStart w:id="54" w:name="Tc_z-eRqiZxWkmOETqS73n-GQ_23_0"/>
      <w:bookmarkStart w:id="55" w:name="Tc_ancTp9dEzkSdADu5VYY4pg_21_11"/>
      <w:bookmarkStart w:id="56" w:name="Tc_snU3JhDA70KfAmdiRUOpFQ_21_8"/>
      <w:bookmarkStart w:id="57" w:name="Tc_X7oo_ozKa0e9cfZohCV_Jw_21_5"/>
      <w:bookmarkStart w:id="58" w:name="Tc_mCSSeOaCx0iG_fLAsc442w_21_2"/>
      <w:bookmarkStart w:id="59" w:name="Tc_fcdkiobx6Ee6dkD3NN86xw_21_0"/>
      <w:bookmarkStart w:id="60" w:name="Tc_CQDyX9U3y0OkQW7Iv4ueSg_20_0"/>
      <w:bookmarkStart w:id="61" w:name="Tc_JGe2gFuJK0-FNKdPfRgJTw_19_0"/>
      <w:bookmarkStart w:id="62" w:name="Tc_WwR_Ifw1Z06CgCZTKXqhEQ_18_0"/>
      <w:bookmarkStart w:id="63" w:name="Tc_iO9jz5oMoUqkDV1WU0BQ3Q_17_0"/>
      <w:bookmarkStart w:id="64" w:name="Tc_JKtdEDsMZEeWngkisy1Lzg_16_0"/>
      <w:bookmarkStart w:id="65" w:name="Tc_NnAYSVyagUm68Gyt0HYt3Q_15_0"/>
      <w:bookmarkStart w:id="66" w:name="Tc_J4if8spL10-XYVUUGb-2-Q_13_0"/>
      <w:bookmarkStart w:id="67" w:name="Tc_liLNHxhxKkKln7xjI8EOsQ_12_0"/>
      <w:bookmarkStart w:id="68" w:name="Tc_3dt-Liu4PEWnaUkKC0urbw_11_0"/>
      <w:bookmarkStart w:id="69" w:name="Tc_9NZAELVUik-vXG0XuRqjdg_10_0"/>
      <w:bookmarkStart w:id="70" w:name="Tc_GsohlN_yekWGRMT5IgOFjQ_9_0"/>
      <w:bookmarkStart w:id="71" w:name="Tc_8CT_hqA2Ok2_jfw_ASDLow_7_0"/>
      <w:bookmarkStart w:id="72" w:name="Tc_ce796oE1gEiwT2emJEuNng_6_0"/>
      <w:bookmarkStart w:id="73" w:name="Tc_vbsyOsWRaEGHuWkqlWrHxQ_5_11"/>
      <w:bookmarkStart w:id="74" w:name="Tc_vCAU1i1FZUqxxWYgZmKl_w_5_8"/>
      <w:bookmarkStart w:id="75" w:name="Tc_VmnERfKdVkWBbC9_IIUb4w_5_5"/>
      <w:bookmarkStart w:id="76" w:name="Tc_rqQZu-ouMkCpLIxRvJhOUw_5_2"/>
      <w:bookmarkStart w:id="77" w:name="Tc_7GOFH1mink6TSujLhBQSbw_5_0"/>
      <w:bookmarkStart w:id="78" w:name="Tc_wi8AAKqA1UihCguJLSbyig_4_0"/>
      <w:bookmarkStart w:id="79" w:name="Tc_APTmKCc7Ak6raYKspuDJNg_3_11"/>
      <w:bookmarkStart w:id="80" w:name="Tc_3z524QI_zE29UtO6HWN0rQ_3_8"/>
      <w:bookmarkStart w:id="81" w:name="Tc_RhnZIFcaKEe_uMomgVdp9A_3_5"/>
      <w:bookmarkStart w:id="82" w:name="Tc_rjuwBtJMo0K6s4B60RavPQ_3_2"/>
      <w:bookmarkStart w:id="83" w:name="Tc_wz4fLTEKWUSIVVhVgd1BOQ_3_0"/>
      <w:bookmarkStart w:id="84" w:name="Tc_3216e_arEU-T1x0NGGjkSA_2_8"/>
      <w:bookmarkStart w:id="85" w:name="Tc_BrvP9d1jYkGoL2ZUBGdJww_2_2"/>
      <w:bookmarkStart w:id="86" w:name="Tc_VZznxfvK70ekEwBrdX8w2w_1_8"/>
      <w:bookmarkStart w:id="87" w:name="Tc_Lpsko3MMa06nKCMht84cFQ_1_2"/>
      <w:bookmarkStart w:id="88" w:name="_40632128_9b38_41f2_99c4_634cee63da95"/>
      <w:bookmarkStart w:id="89" w:name="Tc_hb6_GvoG-keI5ZNVOXKdjw_36_0"/>
      <w:bookmarkStart w:id="90" w:name="Tc_O_eXMTRwj0OHPEn9R7V1zg_35_0"/>
      <w:bookmarkStart w:id="91" w:name="Tc_XIH5sheeO06yk5SeZha7Gw_34_0"/>
      <w:bookmarkStart w:id="92" w:name="Tc_TWblLU1phEKTZQwotNRsSg_32_11"/>
      <w:bookmarkStart w:id="93" w:name="Tc_GNGwvCPxFkOHJxx9Kl3eHg_32_8"/>
      <w:bookmarkStart w:id="94" w:name="Tc_BvmSMdjBGUOMh8n49Etw3A_32_5"/>
      <w:bookmarkStart w:id="95" w:name="Tc_C3C7QUxTaUWlLrR8Nny30A_32_2"/>
      <w:bookmarkStart w:id="96" w:name="Tc_qJxoVP80pUuQtCnAOG7WJw_32_0"/>
      <w:bookmarkStart w:id="97" w:name="Tc_DHrD2uY2J06eSrNgeZ3f-g_31_11"/>
      <w:bookmarkStart w:id="98" w:name="Tc__3BpFFfs1kSfqnKJGDGIAA_31_8"/>
      <w:bookmarkStart w:id="99" w:name="Tc_ga0NxMkDOk2HNq3_DLJXdA_31_5"/>
      <w:bookmarkStart w:id="100" w:name="Tc_Cq3iG5dGXkWaMXtydePS6g_31_2"/>
      <w:bookmarkStart w:id="101" w:name="Tc_4HctNuOJxEGEH6TqRy2xXw_31_0"/>
      <w:bookmarkStart w:id="102" w:name="Tc_4LVfSP5590aznXsN5dI8wA_29_11"/>
      <w:bookmarkStart w:id="103" w:name="Tc_y-JORT8h602NsmBALWvSxQ_29_8"/>
      <w:bookmarkStart w:id="104" w:name="Tc_V0p8KUb1S0Ktr4WicRrBdQ_29_5"/>
      <w:bookmarkStart w:id="105" w:name="Tc_Co0-Tfeu40CNKV2RDLoRcQ_29_2"/>
      <w:bookmarkStart w:id="106" w:name="Tc_o4jufhzBi0Cexm4cT6xwoA_29_0"/>
      <w:bookmarkStart w:id="107" w:name="Tc_AnsgIqbo0UCuRn65FstXcg_28_0"/>
      <w:bookmarkStart w:id="108" w:name="Tc_H7iNCNigAkGA4gbfYgXkqg_27_0"/>
      <w:bookmarkStart w:id="109" w:name="Tc_rV2bHnRJVU-SAo6U-WXW8g_26_0"/>
      <w:bookmarkStart w:id="110" w:name="Tc_8ke23JlyC0egoRn0KSZ9zg_25_0"/>
      <w:bookmarkStart w:id="111" w:name="Tc_gjZ6BmfCLUu73EvwegWlZw_24_11"/>
      <w:bookmarkStart w:id="112" w:name="Tc_NwLsPQX6RUSGyhvPqQnpLQ_24_8"/>
      <w:bookmarkStart w:id="113" w:name="Tc_EiSyfVGgZ0KIrmdDW9fGHQ_24_5"/>
      <w:bookmarkStart w:id="114" w:name="Tc_CvMa1rUmpUSYchVaZPbRYw_24_2"/>
      <w:bookmarkStart w:id="115" w:name="Tc_RPxVLODijUKZRei4uPAt3A_24_0"/>
      <w:bookmarkStart w:id="116" w:name="Tc_z-eRqiZxWkmOETqS73n-GQ_23_0"/>
      <w:bookmarkStart w:id="117" w:name="Tc_ancTp9dEzkSdADu5VYY4pg_21_11"/>
      <w:bookmarkStart w:id="118" w:name="Tc_snU3JhDA70KfAmdiRUOpFQ_21_8"/>
      <w:bookmarkStart w:id="119" w:name="Tc_X7oo_ozKa0e9cfZohCV_Jw_21_5"/>
      <w:bookmarkStart w:id="120" w:name="Tc_mCSSeOaCx0iG_fLAsc442w_21_2"/>
      <w:bookmarkStart w:id="121" w:name="Tc_fcdkiobx6Ee6dkD3NN86xw_21_0"/>
      <w:bookmarkStart w:id="122" w:name="Tc_CQDyX9U3y0OkQW7Iv4ueSg_20_0"/>
      <w:bookmarkStart w:id="123" w:name="Tc_JGe2gFuJK0-FNKdPfRgJTw_19_0"/>
      <w:bookmarkStart w:id="124" w:name="Tc_WwR_Ifw1Z06CgCZTKXqhEQ_18_0"/>
      <w:bookmarkStart w:id="125" w:name="Tc_iO9jz5oMoUqkDV1WU0BQ3Q_17_0"/>
      <w:bookmarkStart w:id="126" w:name="Tc_JKtdEDsMZEeWngkisy1Lzg_16_0"/>
      <w:bookmarkStart w:id="127" w:name="Tc_NnAYSVyagUm68Gyt0HYt3Q_15_0"/>
      <w:bookmarkStart w:id="128" w:name="Tc_J4if8spL10-XYVUUGb-2-Q_13_0"/>
      <w:bookmarkStart w:id="129" w:name="Tc_liLNHxhxKkKln7xjI8EOsQ_12_0"/>
      <w:bookmarkStart w:id="130" w:name="Tc_3dt-Liu4PEWnaUkKC0urbw_11_0"/>
      <w:bookmarkStart w:id="131" w:name="Tc_9NZAELVUik-vXG0XuRqjdg_10_0"/>
      <w:bookmarkStart w:id="132" w:name="Tc_GsohlN_yekWGRMT5IgOFjQ_9_0"/>
      <w:bookmarkStart w:id="133" w:name="Tc_8CT_hqA2Ok2_jfw_ASDLow_7_0"/>
      <w:bookmarkStart w:id="134" w:name="Tc_ce796oE1gEiwT2emJEuNng_6_0"/>
      <w:bookmarkStart w:id="135" w:name="Tc_vbsyOsWRaEGHuWkqlWrHxQ_5_11"/>
      <w:bookmarkStart w:id="136" w:name="Tc_vCAU1i1FZUqxxWYgZmKl_w_5_8"/>
      <w:bookmarkStart w:id="137" w:name="Tc_VmnERfKdVkWBbC9_IIUb4w_5_5"/>
      <w:bookmarkStart w:id="138" w:name="Tc_rqQZu-ouMkCpLIxRvJhOUw_5_2"/>
      <w:bookmarkStart w:id="139" w:name="Tc_7GOFH1mink6TSujLhBQSbw_5_0"/>
      <w:bookmarkStart w:id="140" w:name="Tc_wi8AAKqA1UihCguJLSbyig_4_0"/>
      <w:bookmarkStart w:id="141" w:name="Tc_APTmKCc7Ak6raYKspuDJNg_3_11"/>
      <w:bookmarkStart w:id="142" w:name="Tc_3z524QI_zE29UtO6HWN0rQ_3_8"/>
      <w:bookmarkStart w:id="143" w:name="Tc_RhnZIFcaKEe_uMomgVdp9A_3_5"/>
      <w:bookmarkStart w:id="144" w:name="Tc_rjuwBtJMo0K6s4B60RavPQ_3_2"/>
      <w:bookmarkStart w:id="145" w:name="Tc_wz4fLTEKWUSIVVhVgd1BOQ_3_0"/>
      <w:bookmarkStart w:id="146" w:name="Tc_3216e_arEU-T1x0NGGjkSA_2_8"/>
      <w:bookmarkStart w:id="147" w:name="Tc_BrvP9d1jYkGoL2ZUBGdJww_2_2"/>
      <w:bookmarkStart w:id="148" w:name="Tc_VZznxfvK70ekEwBrdX8w2w_1_8"/>
      <w:bookmarkStart w:id="149" w:name="Tc_Lpsko3MMa06nKCMht84cFQ_1_2"/>
      <w:bookmarkStart w:id="150" w:name="_40632128_9b38_41f2_99c4_634cee63da95"/>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tbl>
      <w:tblPr>
        <w:tblW w:w="10205" w:type="dxa"/>
        <w:jc w:val="left"/>
        <w:tblInd w:w="0" w:type="dxa"/>
        <w:tblLayout w:type="fixed"/>
        <w:tblCellMar>
          <w:top w:w="0" w:type="dxa"/>
          <w:left w:w="0" w:type="dxa"/>
          <w:bottom w:w="0" w:type="dxa"/>
          <w:right w:w="0" w:type="dxa"/>
        </w:tblCellMar>
      </w:tblPr>
      <w:tblGrid>
        <w:gridCol w:w="4968"/>
        <w:gridCol w:w="326"/>
        <w:gridCol w:w="211"/>
        <w:gridCol w:w="685"/>
        <w:gridCol w:w="326"/>
        <w:gridCol w:w="211"/>
        <w:gridCol w:w="685"/>
        <w:gridCol w:w="326"/>
        <w:gridCol w:w="211"/>
        <w:gridCol w:w="835"/>
        <w:gridCol w:w="326"/>
        <w:gridCol w:w="211"/>
        <w:gridCol w:w="884"/>
      </w:tblGrid>
      <w:tr>
        <w:trPr/>
        <w:tc>
          <w:tcPr>
            <w:tcW w:w="4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3154680" cy="175260"/>
                      <wp:effectExtent l="0" t="0" r="0" b="0"/>
                      <wp:wrapNone/>
                      <wp:docPr id="1" name="Frame1"/>
                      <a:graphic xmlns:a="http://schemas.openxmlformats.org/drawingml/2006/main">
                        <a:graphicData uri="http://schemas.microsoft.com/office/word/2010/wordprocessingShape">
                          <wps:wsp>
                            <wps:cNvSpPr txBox="1"/>
                            <wps:spPr>
                              <a:xfrm>
                                <a:off x="0" y="0"/>
                                <a:ext cx="3154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4975" cy="175260"/>
                      <wp:effectExtent l="0" t="0" r="0" b="0"/>
                      <wp:wrapNone/>
                      <wp:docPr id="4" name="Frame4"/>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34975" cy="175260"/>
                      <wp:effectExtent l="0" t="0" r="0" b="0"/>
                      <wp:wrapNone/>
                      <wp:docPr id="7" name="Frame7"/>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30225" cy="175260"/>
                      <wp:effectExtent l="0" t="0" r="0" b="0"/>
                      <wp:wrapNone/>
                      <wp:docPr id="10" name="Frame10"/>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33985" cy="175260"/>
                      <wp:effectExtent l="0" t="0" r="0" b="0"/>
                      <wp:wrapNone/>
                      <wp:docPr id="12" name="Frame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61340" cy="175260"/>
                      <wp:effectExtent l="0" t="0" r="0" b="0"/>
                      <wp:wrapNone/>
                      <wp:docPr id="13" name="Frame13"/>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46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9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46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26" w:type="dxa"/>
            <w:tcBorders/>
            <w:vAlign w:val="center"/>
          </w:tcPr>
          <w:p>
            <w:pPr>
              <w:pStyle w:val="TableContents"/>
              <w:bidi w:val="0"/>
              <w:spacing w:before="0" w:after="0"/>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1,167.9</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1,478.2</w:t>
            </w:r>
          </w:p>
        </w:tc>
      </w:tr>
      <w:tr>
        <w:trPr/>
        <w:tc>
          <w:tcPr>
            <w:tcW w:w="49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(1,202.2)</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SSAT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(1,342.8)</w:t>
            </w:r>
          </w:p>
        </w:tc>
      </w:tr>
      <w:tr>
        <w:trPr/>
        <w:tc>
          <w:tcPr>
            <w:tcW w:w="49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r>
      <w:tr>
        <w:trPr/>
        <w:tc>
          <w:tcPr>
            <w:tcW w:w="49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change in pension and post-retirement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r>
      <w:tr>
        <w:trPr/>
        <w:tc>
          <w:tcPr>
            <w:tcW w:w="49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r>
      <w:tr>
        <w:trPr/>
        <w:tc>
          <w:tcPr>
            <w:tcW w:w="49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4" w:type="dxa"/>
            <w:tcBorders/>
            <w:shd w:fill="CCEEFF" w:val="clear"/>
            <w:vAlign w:val="center"/>
          </w:tcPr>
          <w:p>
            <w:pPr>
              <w:pStyle w:val="TableContents"/>
              <w:bidi w:val="0"/>
              <w:spacing w:before="0" w:after="0"/>
              <w:ind w:left="0" w:right="0" w:hanging="0"/>
              <w:jc w:val="right"/>
              <w:rPr/>
            </w:pPr>
            <w:r>
              <w:rPr/>
              <w:t>​</w:t>
            </w:r>
          </w:p>
        </w:tc>
      </w:tr>
      <w:tr>
        <w:trPr/>
        <w:tc>
          <w:tcPr>
            <w:tcW w:w="49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49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51" w:name="_0224a3a6_4d7e_4881_9eb5_6e923d0d3622"/>
      <w:bookmarkEnd w:id="151"/>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152" w:name="ConsolidatedBalanceSheets_846706"/>
      <w:bookmarkEnd w:id="152"/>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153" w:name="Tc_3NFFz4x_GkyZo_Tk1RC8-Q_41_5"/>
      <w:bookmarkStart w:id="154" w:name="Tc_hhibpFGEr06zvAHPkTVHjg_41_2"/>
      <w:bookmarkStart w:id="155" w:name="Tc_p5QKzgC8MEWgjX0yg8Tfcw_41_0"/>
      <w:bookmarkStart w:id="156" w:name="Tc_VctsGqlf3kO7JwhYXNO4nA_40_0"/>
      <w:bookmarkStart w:id="157" w:name="Tc_Pu1KzU-ZE0unJ9iyH9ri2g_39_0"/>
      <w:bookmarkStart w:id="158" w:name="Tc_fgKCCM9ok0edJ4_kAULKgQ_38_0"/>
      <w:bookmarkStart w:id="159" w:name="Tc_HOF3HsRhI0iD0gK6QszQHg_37_0"/>
      <w:bookmarkStart w:id="160" w:name="Tc_Szou6zBWdUuSV8CyUU_7gw_36_0"/>
      <w:bookmarkStart w:id="161" w:name="Tc_N3nlqYHqmkS-YE6gDTKisg_35_0"/>
      <w:bookmarkStart w:id="162" w:name="Tc_0diI4ouxFkCkhNhf-psvrQ_34_0"/>
      <w:bookmarkStart w:id="163" w:name="Tc_3tcSHNuPykSI-3ZeMWPYcA_33_0"/>
      <w:bookmarkStart w:id="164" w:name="Tc_ZHH9Z5wSEE2PATpPpTQQhg_32_0"/>
      <w:bookmarkStart w:id="165" w:name="Tc_o-HErDV6X0-GPLvmf6SFGw_31_0"/>
      <w:bookmarkStart w:id="166" w:name="Tc_MW892-vX0UOXVpeX13M5_g_30_0"/>
      <w:bookmarkStart w:id="167" w:name="Tc_tpHjF9AuXkqFaj2nqPQgJA_29_0"/>
      <w:bookmarkStart w:id="168" w:name="Tc_fOd9dBJmaUKyLvtpmrchkQ_28_0"/>
      <w:bookmarkStart w:id="169" w:name="Tc_Ut-fCVQKfEaW8WuDViakPA_27_0"/>
      <w:bookmarkStart w:id="170" w:name="Tc_6NIuvU8od0G5lkrVZsIGwA_26_0"/>
      <w:bookmarkStart w:id="171" w:name="Tc_BY0wyK-rq0C_UnFyZRvjLQ_25_0"/>
      <w:bookmarkStart w:id="172" w:name="Tc_s3bzhWO06USj8xaD31lnWQ_24_0"/>
      <w:bookmarkStart w:id="173" w:name="Tc_0EHQLYUJD0m_R-oanGb7Sw_23_5"/>
      <w:bookmarkStart w:id="174" w:name="Tc_9GM2jPRIO0yzw1tYF3m5tw_23_2"/>
      <w:bookmarkStart w:id="175" w:name="Tc_mOjX4PwJik2wYFEBtPrv8Q_23_0"/>
      <w:bookmarkStart w:id="176" w:name="Tc_d7OHUprb-kKQSKJxXL3ReA_22_0"/>
      <w:bookmarkStart w:id="177" w:name="Tc_gX3WZbk0X0mOELFQgArzVQ_21_0"/>
      <w:bookmarkStart w:id="178" w:name="Tc_QnyxXnp7Xkycen5EhRlsCg_19_5"/>
      <w:bookmarkStart w:id="179" w:name="Tc_6dtNiui6MEeZSaiXZTtHUQ_19_2"/>
      <w:bookmarkStart w:id="180" w:name="Tc_Y6EFBhHVdkiy76TA0gqMIw_19_0"/>
      <w:bookmarkStart w:id="181" w:name="Tc_PolsdVl4l0KDrHh-f-H71A_18_0"/>
      <w:bookmarkStart w:id="182" w:name="Tc_Vugkw3FGJ0KTwYSFVnJvZQ_17_0"/>
      <w:bookmarkStart w:id="183" w:name="Tc_C0YLVseobUCgy6nw94Td4g_16_0"/>
      <w:bookmarkStart w:id="184" w:name="Tc_X2PnyNmx_Uqq2tQ3Vkv7GQ_15_0"/>
      <w:bookmarkStart w:id="185" w:name="Tc_JRxL-_Pek0Sl2bCoSjeT4A_14_0"/>
      <w:bookmarkStart w:id="186" w:name="Tc_WNFWgK9Ac0K4b-V9SOLFBg_13_0"/>
      <w:bookmarkStart w:id="187" w:name="Tc_BHLe9ZvT4EqDg0hgJs86FQ_12_0"/>
      <w:bookmarkStart w:id="188" w:name="Tc_A0QTddKke0itMglUzp8X8g_11_0"/>
      <w:bookmarkStart w:id="189" w:name="Tc_OMepEFVBxkWLrCGNABOMtQ_10_0"/>
      <w:bookmarkStart w:id="190" w:name="Tc_p_bmKO2rD0uv8lI9nai-2Q_9_0"/>
      <w:bookmarkStart w:id="191" w:name="Tc_AVYT0umrVEC8DC7cv8dCNw_8_0"/>
      <w:bookmarkStart w:id="192" w:name="Tc_Uo2Eh3lKLUupJshOPY0pfA_7_0"/>
      <w:bookmarkStart w:id="193" w:name="Tc_ScFPtSqLpUW15sxSuOresQ_6_0"/>
      <w:bookmarkStart w:id="194" w:name="Tc_X5Bkq1pDpEi5hNUhmPHMqA_5_5"/>
      <w:bookmarkStart w:id="195" w:name="Tc_k_ioARblF0WXmnxXOd7KLg_5_2"/>
      <w:bookmarkStart w:id="196" w:name="Tc_Yhdn5qTDSEqxRikOYwTjMw_5_0"/>
      <w:bookmarkStart w:id="197" w:name="Tc_3taCrmXr-kSLqhzdxYAuuw_4_0"/>
      <w:bookmarkStart w:id="198" w:name="Tc_2pfiQH1t9kK1WXe3ti4u0g_3_0"/>
      <w:bookmarkStart w:id="199" w:name="Tc_rkwSLWv9lE2QaMooGKDIrQ_2_5"/>
      <w:bookmarkStart w:id="200" w:name="Tc_Ppj-Mpy1uUOddwCAaSbxTw_2_2"/>
      <w:bookmarkStart w:id="201" w:name="Tc_uFjJFhIPXE6WctxsNH6Dag_2_0"/>
      <w:bookmarkStart w:id="202" w:name="Tc_YOSa0Z521UCUkpqtfRKx2Q_1_5"/>
      <w:bookmarkStart w:id="203" w:name="Tc__boVcEynvUC_04Qplzon4w_1_2"/>
      <w:bookmarkStart w:id="204" w:name="_4e639415_3bef_4e1f_89c3_54bf7449adc0"/>
      <w:bookmarkStart w:id="205" w:name="Tc_3NFFz4x_GkyZo_Tk1RC8-Q_41_5"/>
      <w:bookmarkStart w:id="206" w:name="Tc_hhibpFGEr06zvAHPkTVHjg_41_2"/>
      <w:bookmarkStart w:id="207" w:name="Tc_p5QKzgC8MEWgjX0yg8Tfcw_41_0"/>
      <w:bookmarkStart w:id="208" w:name="Tc_VctsGqlf3kO7JwhYXNO4nA_40_0"/>
      <w:bookmarkStart w:id="209" w:name="Tc_Pu1KzU-ZE0unJ9iyH9ri2g_39_0"/>
      <w:bookmarkStart w:id="210" w:name="Tc_fgKCCM9ok0edJ4_kAULKgQ_38_0"/>
      <w:bookmarkStart w:id="211" w:name="Tc_HOF3HsRhI0iD0gK6QszQHg_37_0"/>
      <w:bookmarkStart w:id="212" w:name="Tc_Szou6zBWdUuSV8CyUU_7gw_36_0"/>
      <w:bookmarkStart w:id="213" w:name="Tc_N3nlqYHqmkS-YE6gDTKisg_35_0"/>
      <w:bookmarkStart w:id="214" w:name="Tc_0diI4ouxFkCkhNhf-psvrQ_34_0"/>
      <w:bookmarkStart w:id="215" w:name="Tc_3tcSHNuPykSI-3ZeMWPYcA_33_0"/>
      <w:bookmarkStart w:id="216" w:name="Tc_ZHH9Z5wSEE2PATpPpTQQhg_32_0"/>
      <w:bookmarkStart w:id="217" w:name="Tc_o-HErDV6X0-GPLvmf6SFGw_31_0"/>
      <w:bookmarkStart w:id="218" w:name="Tc_MW892-vX0UOXVpeX13M5_g_30_0"/>
      <w:bookmarkStart w:id="219" w:name="Tc_tpHjF9AuXkqFaj2nqPQgJA_29_0"/>
      <w:bookmarkStart w:id="220" w:name="Tc_fOd9dBJmaUKyLvtpmrchkQ_28_0"/>
      <w:bookmarkStart w:id="221" w:name="Tc_Ut-fCVQKfEaW8WuDViakPA_27_0"/>
      <w:bookmarkStart w:id="222" w:name="Tc_6NIuvU8od0G5lkrVZsIGwA_26_0"/>
      <w:bookmarkStart w:id="223" w:name="Tc_BY0wyK-rq0C_UnFyZRvjLQ_25_0"/>
      <w:bookmarkStart w:id="224" w:name="Tc_s3bzhWO06USj8xaD31lnWQ_24_0"/>
      <w:bookmarkStart w:id="225" w:name="Tc_0EHQLYUJD0m_R-oanGb7Sw_23_5"/>
      <w:bookmarkStart w:id="226" w:name="Tc_9GM2jPRIO0yzw1tYF3m5tw_23_2"/>
      <w:bookmarkStart w:id="227" w:name="Tc_mOjX4PwJik2wYFEBtPrv8Q_23_0"/>
      <w:bookmarkStart w:id="228" w:name="Tc_d7OHUprb-kKQSKJxXL3ReA_22_0"/>
      <w:bookmarkStart w:id="229" w:name="Tc_gX3WZbk0X0mOELFQgArzVQ_21_0"/>
      <w:bookmarkStart w:id="230" w:name="Tc_QnyxXnp7Xkycen5EhRlsCg_19_5"/>
      <w:bookmarkStart w:id="231" w:name="Tc_6dtNiui6MEeZSaiXZTtHUQ_19_2"/>
      <w:bookmarkStart w:id="232" w:name="Tc_Y6EFBhHVdkiy76TA0gqMIw_19_0"/>
      <w:bookmarkStart w:id="233" w:name="Tc_PolsdVl4l0KDrHh-f-H71A_18_0"/>
      <w:bookmarkStart w:id="234" w:name="Tc_Vugkw3FGJ0KTwYSFVnJvZQ_17_0"/>
      <w:bookmarkStart w:id="235" w:name="Tc_C0YLVseobUCgy6nw94Td4g_16_0"/>
      <w:bookmarkStart w:id="236" w:name="Tc_X2PnyNmx_Uqq2tQ3Vkv7GQ_15_0"/>
      <w:bookmarkStart w:id="237" w:name="Tc_JRxL-_Pek0Sl2bCoSjeT4A_14_0"/>
      <w:bookmarkStart w:id="238" w:name="Tc_WNFWgK9Ac0K4b-V9SOLFBg_13_0"/>
      <w:bookmarkStart w:id="239" w:name="Tc_BHLe9ZvT4EqDg0hgJs86FQ_12_0"/>
      <w:bookmarkStart w:id="240" w:name="Tc_A0QTddKke0itMglUzp8X8g_11_0"/>
      <w:bookmarkStart w:id="241" w:name="Tc_OMepEFVBxkWLrCGNABOMtQ_10_0"/>
      <w:bookmarkStart w:id="242" w:name="Tc_p_bmKO2rD0uv8lI9nai-2Q_9_0"/>
      <w:bookmarkStart w:id="243" w:name="Tc_AVYT0umrVEC8DC7cv8dCNw_8_0"/>
      <w:bookmarkStart w:id="244" w:name="Tc_Uo2Eh3lKLUupJshOPY0pfA_7_0"/>
      <w:bookmarkStart w:id="245" w:name="Tc_ScFPtSqLpUW15sxSuOresQ_6_0"/>
      <w:bookmarkStart w:id="246" w:name="Tc_X5Bkq1pDpEi5hNUhmPHMqA_5_5"/>
      <w:bookmarkStart w:id="247" w:name="Tc_k_ioARblF0WXmnxXOd7KLg_5_2"/>
      <w:bookmarkStart w:id="248" w:name="Tc_Yhdn5qTDSEqxRikOYwTjMw_5_0"/>
      <w:bookmarkStart w:id="249" w:name="Tc_3taCrmXr-kSLqhzdxYAuuw_4_0"/>
      <w:bookmarkStart w:id="250" w:name="Tc_2pfiQH1t9kK1WXe3ti4u0g_3_0"/>
      <w:bookmarkStart w:id="251" w:name="Tc_rkwSLWv9lE2QaMooGKDIrQ_2_5"/>
      <w:bookmarkStart w:id="252" w:name="Tc_Ppj-Mpy1uUOddwCAaSbxTw_2_2"/>
      <w:bookmarkStart w:id="253" w:name="Tc_uFjJFhIPXE6WctxsNH6Dag_2_0"/>
      <w:bookmarkStart w:id="254" w:name="Tc_YOSa0Z521UCUkpqtfRKx2Q_1_5"/>
      <w:bookmarkStart w:id="255" w:name="Tc__boVcEynvUC_04Qplzon4w_1_2"/>
      <w:bookmarkStart w:id="256" w:name="_4e639415_3bef_4e1f_89c3_54bf7449adc0"/>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10205" w:type="dxa"/>
        <w:jc w:val="left"/>
        <w:tblInd w:w="0" w:type="dxa"/>
        <w:tblLayout w:type="fixed"/>
        <w:tblCellMar>
          <w:top w:w="0" w:type="dxa"/>
          <w:left w:w="0" w:type="dxa"/>
          <w:bottom w:w="0" w:type="dxa"/>
          <w:right w:w="0" w:type="dxa"/>
        </w:tblCellMar>
      </w:tblPr>
      <w:tblGrid>
        <w:gridCol w:w="7446"/>
        <w:gridCol w:w="326"/>
        <w:gridCol w:w="211"/>
        <w:gridCol w:w="721"/>
        <w:gridCol w:w="326"/>
        <w:gridCol w:w="238"/>
        <w:gridCol w:w="937"/>
      </w:tblGrid>
      <w:tr>
        <w:trPr/>
        <w:tc>
          <w:tcPr>
            <w:tcW w:w="7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728210" cy="175260"/>
                      <wp:effectExtent l="0" t="0" r="0" b="0"/>
                      <wp:wrapNone/>
                      <wp:docPr id="14" name="Frame14"/>
                      <a:graphic xmlns:a="http://schemas.openxmlformats.org/drawingml/2006/main">
                        <a:graphicData uri="http://schemas.microsoft.com/office/word/2010/wordprocessingShape">
                          <wps:wsp>
                            <wps:cNvSpPr txBox="1"/>
                            <wps:spPr>
                              <a:xfrm>
                                <a:off x="0" y="0"/>
                                <a:ext cx="472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57835" cy="175260"/>
                      <wp:effectExtent l="0" t="0" r="0" b="0"/>
                      <wp:wrapNone/>
                      <wp:docPr id="17" name="Frame1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51130" cy="175260"/>
                      <wp:effectExtent l="0" t="0" r="0" b="0"/>
                      <wp:wrapNone/>
                      <wp:docPr id="19" name="Frame1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94995" cy="175260"/>
                      <wp:effectExtent l="0" t="0" r="0" b="0"/>
                      <wp:wrapNone/>
                      <wp:docPr id="20" name="Frame20"/>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$9.8 million and $9.9 million,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546.2</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602.3</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in SSAT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2,151.2</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2,089.9</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 of 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247.7</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289.6</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Construction Fund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costs,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3,727.7</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3,692.3</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4,294.6</w:t>
            </w:r>
          </w:p>
        </w:tc>
      </w:tr>
      <w:tr>
        <w:trPr/>
        <w:tc>
          <w:tcPr>
            <w:tcW w:w="7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291.3</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277.9</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584.5</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562.3</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of deferred loan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389.3</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669.3</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1,331.6</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(see Note 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right"/>
              <w:rPr/>
            </w:pPr>
            <w:r>
              <w:rPr/>
              <w:t>​</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293.4</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2,098.8</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2,089.7</w:t>
            </w:r>
          </w:p>
        </w:tc>
      </w:tr>
      <w:tr>
        <w:trPr/>
        <w:tc>
          <w:tcPr>
            <w:tcW w:w="7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2,398.5</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2,400.7</w:t>
            </w:r>
          </w:p>
        </w:tc>
      </w:tr>
      <w:tr>
        <w:trPr/>
        <w:tc>
          <w:tcPr>
            <w:tcW w:w="7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4,273.9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4,294.6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7" w:name="_ed5325c1_a91a_4e77_9ba9_815dcf4f8466"/>
      <w:bookmarkEnd w:id="257"/>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258" w:name="StatementsofCashFlows_473640"/>
      <w:bookmarkEnd w:id="258"/>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59" w:name="Tc_PM2RHg5V4Uuw76Pf_LgVQg_55_5"/>
      <w:bookmarkStart w:id="260" w:name="Tc_a-ii_2MFVESqog-Ua-4UXw_55_2"/>
      <w:bookmarkStart w:id="261" w:name="Tc_dGPwWenRGkK48BkeVXWBJw_55_0"/>
      <w:bookmarkStart w:id="262" w:name="Tc_F5W2UQG0tEi-lVe4K9eEYw_54_5"/>
      <w:bookmarkStart w:id="263" w:name="Tc_29dCYiSFvkGmqIRnmKuXMg_54_3"/>
      <w:bookmarkStart w:id="264" w:name="Tc_woGZw1_-fESF54d4KBywLw_54_2"/>
      <w:bookmarkStart w:id="265" w:name="Tc_e3s3yuNJz0OvO1JK6eo2QA_54_0"/>
      <w:bookmarkStart w:id="266" w:name="Tc_FWkg_ItdWUuauCpTr52brw_53_5"/>
      <w:bookmarkStart w:id="267" w:name="Tc_PtBuU6EAbEeGasAysLRDbA_53_2"/>
      <w:bookmarkStart w:id="268" w:name="Tc_fAbcnK0a606Nw_6aUTrTog_53_0"/>
      <w:bookmarkStart w:id="269" w:name="Tc_4rNLNf5mdEWirJfZnUNeFQ_52_0"/>
      <w:bookmarkStart w:id="270" w:name="Tc_yYbGuwtefE6pmFsZegaquw_50_5"/>
      <w:bookmarkStart w:id="271" w:name="Tc_rHnDkGTum06fImmprjx9lA_50_2"/>
      <w:bookmarkStart w:id="272" w:name="Tc_StpNvzalikWZDR1WFYLrDA_50_0"/>
      <w:bookmarkStart w:id="273" w:name="Tc_vugjc1IiPUG4KzskOPgQjg_49_5"/>
      <w:bookmarkStart w:id="274" w:name="Tc_efiCYL0bs0qxHrOmBom6wQ_49_2"/>
      <w:bookmarkStart w:id="275" w:name="Tc_4g2EY17Y_E-t8uh3oIs0aA_49_0"/>
      <w:bookmarkStart w:id="276" w:name="Tc_US5dMqnrO0uKar6x3aDw-w_48_0"/>
      <w:bookmarkStart w:id="277" w:name="Tc_0ClgANJpI0CM8uWI5o5L6g_46_5"/>
      <w:bookmarkStart w:id="278" w:name="Tc_E1snemz1m0Sc71k3Pnmo2Q_46_2"/>
      <w:bookmarkStart w:id="279" w:name="Tc_JDm2yMIJLUaBmzYFO2m8Sw_46_0"/>
      <w:bookmarkStart w:id="280" w:name="Tc_OhhAeQ-twkuSF8WHsCMWeQ_45_0"/>
      <w:bookmarkStart w:id="281" w:name="Tc_e3yI1eHjIE6TsvSU1WK0QQ_44_5"/>
      <w:bookmarkStart w:id="282" w:name="Tc_4Yd1QDHOcUyDnU-jZtDvYw_44_2"/>
      <w:bookmarkStart w:id="283" w:name="Tc_z-7wyo1qVUGBo9TZFK_8LA_44_0"/>
      <w:bookmarkStart w:id="284" w:name="Tc_wjMbjzpDlU2hdxjpdddpPg_43_0"/>
      <w:bookmarkStart w:id="285" w:name="Tc_Iip7HNQjf0-yA_RW6CyRjQ_41_5"/>
      <w:bookmarkStart w:id="286" w:name="Tc_Qu3aWHHzLkq2ufXBAo75Sw_41_2"/>
      <w:bookmarkStart w:id="287" w:name="Tc_vW9yiOLshEeZAJZ7mX7Z7g_41_0"/>
      <w:bookmarkStart w:id="288" w:name="Tc_io7lpW44YkapQFsTjvjP2w_40_0"/>
      <w:bookmarkStart w:id="289" w:name="Tc_e3T5JfVXPE6lmJI7Gx91Ag_39_0"/>
      <w:bookmarkStart w:id="290" w:name="Tc_rggJ0aZIfEOprRnjrX293g_37_0"/>
      <w:bookmarkStart w:id="291" w:name="Tc_M4aNfLTBKk2MoOo_eTvwew_36_0"/>
      <w:bookmarkStart w:id="292" w:name="Tc_lTDFJuNJWUasjwrQ_vd1xA_35_0"/>
      <w:bookmarkStart w:id="293" w:name="Tc_ZjW8xJNfpUiUDpkWUCxHxg_34_0"/>
      <w:bookmarkStart w:id="294" w:name="Tc_DwFc2XF3nUmEgSlHHdxQMA_33_0"/>
      <w:bookmarkStart w:id="295" w:name="Tc_m0VfcY71jUCssO0yXzuWpQ_32_0"/>
      <w:bookmarkStart w:id="296" w:name="Tc_jMD0Y29Kn0OI_HWSxu72oA_30_0"/>
      <w:bookmarkStart w:id="297" w:name="Tc_N0qaEGknrkauxIehjco6rA_29_0"/>
      <w:bookmarkStart w:id="298" w:name="Tc_QMmUWA64b06KDTOhUJAQzQ_28_0"/>
      <w:bookmarkStart w:id="299" w:name="Tc_HhRzuzgZeUmezmtiXhH8aA_27_3"/>
      <w:bookmarkStart w:id="300" w:name="Tc_xB_pp8uqJUiQOI92E9MxWA_27_0"/>
      <w:bookmarkStart w:id="301" w:name="Tc_t9h3VO-RyUaBTTXelrtaPg_26_0"/>
      <w:bookmarkStart w:id="302" w:name="Tc_afGFVdDow0uT2qdswWdCNw_25_0"/>
      <w:bookmarkStart w:id="303" w:name="Tc_2JeRVxsqdU-vmgImMc5uPA_24_0"/>
      <w:bookmarkStart w:id="304" w:name="Tc_ZFfUZ0EkBkSS75OzJLdCQQ_23_0"/>
      <w:bookmarkStart w:id="305" w:name="Tc_dF9LjjVGuk2cAEz3T69oig_21_0"/>
      <w:bookmarkStart w:id="306" w:name="Tc_Y0Tt6mmpTUaLDw-un3Nw0g_20_0"/>
      <w:bookmarkStart w:id="307" w:name="Tc_czLpkOp9T027cg-TQWUPBg_19_0"/>
      <w:bookmarkStart w:id="308" w:name="Tc_iqchljzqNUaiGboZP5vVHw_18_0"/>
      <w:bookmarkStart w:id="309" w:name="Tc_jgy-76X7cEuu5B1kK2FlJg_17_0"/>
      <w:bookmarkStart w:id="310" w:name="Tc_xE_BNbr7LUi7pn82Q89Sjw_16_0"/>
      <w:bookmarkStart w:id="311" w:name="Tc_xlnbpCgEI0-A_uYTuWirVw_15_0"/>
      <w:bookmarkStart w:id="312" w:name="Tc_8jRk5Wne3EOxJSbE1Pmsig_14_0"/>
      <w:bookmarkStart w:id="313" w:name="Tc_EtafCvpZc0Wy0WsjcIA_zg_13_0"/>
      <w:bookmarkStart w:id="314" w:name="Tc_E3I2C3U_F0Cp-IdVf2rzzg_12_0"/>
      <w:bookmarkStart w:id="315" w:name="Tc_gCpu20xb0UqnQm3mK1T-7w_11_6"/>
      <w:bookmarkStart w:id="316" w:name="Tc_MAuh0BHJTEK8ub6wS_sSIw_11_0"/>
      <w:bookmarkStart w:id="317" w:name="Tc_F1u5tQ6GiEaMOm5iyJ7S1A_10_0"/>
      <w:bookmarkStart w:id="318" w:name="Tc_PAxQpITXtkONN1AS6pbZiw_9_0"/>
      <w:bookmarkStart w:id="319" w:name="Tc_wCKEajsxpU-aF0f01zY5Rg_8_0"/>
      <w:bookmarkStart w:id="320" w:name="Tc_k7M1QKw4i0uqWuo7DRn76Q_7_0"/>
      <w:bookmarkStart w:id="321" w:name="Tc_KDfSg6JNIUqprAxiXFiWQg_6_0"/>
      <w:bookmarkStart w:id="322" w:name="Tc_Xroo-uDvJkuN1T3bJbDV-g_5_0"/>
      <w:bookmarkStart w:id="323" w:name="Tc_WUg4RjY5A0GMCoQ-fWWIyA_4_5"/>
      <w:bookmarkStart w:id="324" w:name="Tc_RS3QEg6GlESmtURLRRNilg_4_2"/>
      <w:bookmarkStart w:id="325" w:name="Tc_1Crq8LnEPEWD2eW2O0fMvw_4_0"/>
      <w:bookmarkStart w:id="326" w:name="Tc_KIJFVa7NGUu7HbFhUNfTkA_3_0"/>
      <w:bookmarkStart w:id="327" w:name="Tc_XiKgNMfyo0acCLqUIjeg9w_2_5"/>
      <w:bookmarkStart w:id="328" w:name="Tc_b343rB5BrkiPiywOKXEYEA_2_2"/>
      <w:bookmarkStart w:id="329" w:name="Tc_J4mLhfxpGk6cFK9ChkSkIg_2_0"/>
      <w:bookmarkStart w:id="330" w:name="Tc_2DXnMzMzoEWqixtCqFDCow_1_2"/>
      <w:bookmarkStart w:id="331" w:name="_dcb652cd_b01d_4c77_8295_5774b4278ea0"/>
      <w:bookmarkStart w:id="332" w:name="Tc_PM2RHg5V4Uuw76Pf_LgVQg_55_5"/>
      <w:bookmarkStart w:id="333" w:name="Tc_a-ii_2MFVESqog-Ua-4UXw_55_2"/>
      <w:bookmarkStart w:id="334" w:name="Tc_dGPwWenRGkK48BkeVXWBJw_55_0"/>
      <w:bookmarkStart w:id="335" w:name="Tc_F5W2UQG0tEi-lVe4K9eEYw_54_5"/>
      <w:bookmarkStart w:id="336" w:name="Tc_29dCYiSFvkGmqIRnmKuXMg_54_3"/>
      <w:bookmarkStart w:id="337" w:name="Tc_woGZw1_-fESF54d4KBywLw_54_2"/>
      <w:bookmarkStart w:id="338" w:name="Tc_e3s3yuNJz0OvO1JK6eo2QA_54_0"/>
      <w:bookmarkStart w:id="339" w:name="Tc_FWkg_ItdWUuauCpTr52brw_53_5"/>
      <w:bookmarkStart w:id="340" w:name="Tc_PtBuU6EAbEeGasAysLRDbA_53_2"/>
      <w:bookmarkStart w:id="341" w:name="Tc_fAbcnK0a606Nw_6aUTrTog_53_0"/>
      <w:bookmarkStart w:id="342" w:name="Tc_4rNLNf5mdEWirJfZnUNeFQ_52_0"/>
      <w:bookmarkStart w:id="343" w:name="Tc_yYbGuwtefE6pmFsZegaquw_50_5"/>
      <w:bookmarkStart w:id="344" w:name="Tc_rHnDkGTum06fImmprjx9lA_50_2"/>
      <w:bookmarkStart w:id="345" w:name="Tc_StpNvzalikWZDR1WFYLrDA_50_0"/>
      <w:bookmarkStart w:id="346" w:name="Tc_vugjc1IiPUG4KzskOPgQjg_49_5"/>
      <w:bookmarkStart w:id="347" w:name="Tc_efiCYL0bs0qxHrOmBom6wQ_49_2"/>
      <w:bookmarkStart w:id="348" w:name="Tc_4g2EY17Y_E-t8uh3oIs0aA_49_0"/>
      <w:bookmarkStart w:id="349" w:name="Tc_US5dMqnrO0uKar6x3aDw-w_48_0"/>
      <w:bookmarkStart w:id="350" w:name="Tc_0ClgANJpI0CM8uWI5o5L6g_46_5"/>
      <w:bookmarkStart w:id="351" w:name="Tc_E1snemz1m0Sc71k3Pnmo2Q_46_2"/>
      <w:bookmarkStart w:id="352" w:name="Tc_JDm2yMIJLUaBmzYFO2m8Sw_46_0"/>
      <w:bookmarkStart w:id="353" w:name="Tc_OhhAeQ-twkuSF8WHsCMWeQ_45_0"/>
      <w:bookmarkStart w:id="354" w:name="Tc_e3yI1eHjIE6TsvSU1WK0QQ_44_5"/>
      <w:bookmarkStart w:id="355" w:name="Tc_4Yd1QDHOcUyDnU-jZtDvYw_44_2"/>
      <w:bookmarkStart w:id="356" w:name="Tc_z-7wyo1qVUGBo9TZFK_8LA_44_0"/>
      <w:bookmarkStart w:id="357" w:name="Tc_wjMbjzpDlU2hdxjpdddpPg_43_0"/>
      <w:bookmarkStart w:id="358" w:name="Tc_Iip7HNQjf0-yA_RW6CyRjQ_41_5"/>
      <w:bookmarkStart w:id="359" w:name="Tc_Qu3aWHHzLkq2ufXBAo75Sw_41_2"/>
      <w:bookmarkStart w:id="360" w:name="Tc_vW9yiOLshEeZAJZ7mX7Z7g_41_0"/>
      <w:bookmarkStart w:id="361" w:name="Tc_io7lpW44YkapQFsTjvjP2w_40_0"/>
      <w:bookmarkStart w:id="362" w:name="Tc_e3T5JfVXPE6lmJI7Gx91Ag_39_0"/>
      <w:bookmarkStart w:id="363" w:name="Tc_rggJ0aZIfEOprRnjrX293g_37_0"/>
      <w:bookmarkStart w:id="364" w:name="Tc_M4aNfLTBKk2MoOo_eTvwew_36_0"/>
      <w:bookmarkStart w:id="365" w:name="Tc_lTDFJuNJWUasjwrQ_vd1xA_35_0"/>
      <w:bookmarkStart w:id="366" w:name="Tc_ZjW8xJNfpUiUDpkWUCxHxg_34_0"/>
      <w:bookmarkStart w:id="367" w:name="Tc_DwFc2XF3nUmEgSlHHdxQMA_33_0"/>
      <w:bookmarkStart w:id="368" w:name="Tc_m0VfcY71jUCssO0yXzuWpQ_32_0"/>
      <w:bookmarkStart w:id="369" w:name="Tc_jMD0Y29Kn0OI_HWSxu72oA_30_0"/>
      <w:bookmarkStart w:id="370" w:name="Tc_N0qaEGknrkauxIehjco6rA_29_0"/>
      <w:bookmarkStart w:id="371" w:name="Tc_QMmUWA64b06KDTOhUJAQzQ_28_0"/>
      <w:bookmarkStart w:id="372" w:name="Tc_HhRzuzgZeUmezmtiXhH8aA_27_3"/>
      <w:bookmarkStart w:id="373" w:name="Tc_xB_pp8uqJUiQOI92E9MxWA_27_0"/>
      <w:bookmarkStart w:id="374" w:name="Tc_t9h3VO-RyUaBTTXelrtaPg_26_0"/>
      <w:bookmarkStart w:id="375" w:name="Tc_afGFVdDow0uT2qdswWdCNw_25_0"/>
      <w:bookmarkStart w:id="376" w:name="Tc_2JeRVxsqdU-vmgImMc5uPA_24_0"/>
      <w:bookmarkStart w:id="377" w:name="Tc_ZFfUZ0EkBkSS75OzJLdCQQ_23_0"/>
      <w:bookmarkStart w:id="378" w:name="Tc_dF9LjjVGuk2cAEz3T69oig_21_0"/>
      <w:bookmarkStart w:id="379" w:name="Tc_Y0Tt6mmpTUaLDw-un3Nw0g_20_0"/>
      <w:bookmarkStart w:id="380" w:name="Tc_czLpkOp9T027cg-TQWUPBg_19_0"/>
      <w:bookmarkStart w:id="381" w:name="Tc_iqchljzqNUaiGboZP5vVHw_18_0"/>
      <w:bookmarkStart w:id="382" w:name="Tc_jgy-76X7cEuu5B1kK2FlJg_17_0"/>
      <w:bookmarkStart w:id="383" w:name="Tc_xE_BNbr7LUi7pn82Q89Sjw_16_0"/>
      <w:bookmarkStart w:id="384" w:name="Tc_xlnbpCgEI0-A_uYTuWirVw_15_0"/>
      <w:bookmarkStart w:id="385" w:name="Tc_8jRk5Wne3EOxJSbE1Pmsig_14_0"/>
      <w:bookmarkStart w:id="386" w:name="Tc_EtafCvpZc0Wy0WsjcIA_zg_13_0"/>
      <w:bookmarkStart w:id="387" w:name="Tc_E3I2C3U_F0Cp-IdVf2rzzg_12_0"/>
      <w:bookmarkStart w:id="388" w:name="Tc_gCpu20xb0UqnQm3mK1T-7w_11_6"/>
      <w:bookmarkStart w:id="389" w:name="Tc_MAuh0BHJTEK8ub6wS_sSIw_11_0"/>
      <w:bookmarkStart w:id="390" w:name="Tc_F1u5tQ6GiEaMOm5iyJ7S1A_10_0"/>
      <w:bookmarkStart w:id="391" w:name="Tc_PAxQpITXtkONN1AS6pbZiw_9_0"/>
      <w:bookmarkStart w:id="392" w:name="Tc_wCKEajsxpU-aF0f01zY5Rg_8_0"/>
      <w:bookmarkStart w:id="393" w:name="Tc_k7M1QKw4i0uqWuo7DRn76Q_7_0"/>
      <w:bookmarkStart w:id="394" w:name="Tc_KDfSg6JNIUqprAxiXFiWQg_6_0"/>
      <w:bookmarkStart w:id="395" w:name="Tc_Xroo-uDvJkuN1T3bJbDV-g_5_0"/>
      <w:bookmarkStart w:id="396" w:name="Tc_WUg4RjY5A0GMCoQ-fWWIyA_4_5"/>
      <w:bookmarkStart w:id="397" w:name="Tc_RS3QEg6GlESmtURLRRNilg_4_2"/>
      <w:bookmarkStart w:id="398" w:name="Tc_1Crq8LnEPEWD2eW2O0fMvw_4_0"/>
      <w:bookmarkStart w:id="399" w:name="Tc_KIJFVa7NGUu7HbFhUNfTkA_3_0"/>
      <w:bookmarkStart w:id="400" w:name="Tc_XiKgNMfyo0acCLqUIjeg9w_2_5"/>
      <w:bookmarkStart w:id="401" w:name="Tc_b343rB5BrkiPiywOKXEYEA_2_2"/>
      <w:bookmarkStart w:id="402" w:name="Tc_J4mLhfxpGk6cFK9ChkSkIg_2_0"/>
      <w:bookmarkStart w:id="403" w:name="Tc_2DXnMzMzoEWqixtCqFDCow_1_2"/>
      <w:bookmarkStart w:id="404" w:name="_dcb652cd_b01d_4c77_8295_5774b4278ea0"/>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tbl>
      <w:tblPr>
        <w:tblW w:w="8692" w:type="dxa"/>
        <w:jc w:val="left"/>
        <w:tblInd w:w="0" w:type="dxa"/>
        <w:tblLayout w:type="fixed"/>
        <w:tblCellMar>
          <w:top w:w="0" w:type="dxa"/>
          <w:left w:w="0" w:type="dxa"/>
          <w:bottom w:w="0" w:type="dxa"/>
          <w:right w:w="0" w:type="dxa"/>
        </w:tblCellMar>
      </w:tblPr>
      <w:tblGrid>
        <w:gridCol w:w="5881"/>
        <w:gridCol w:w="326"/>
        <w:gridCol w:w="209"/>
        <w:gridCol w:w="674"/>
        <w:gridCol w:w="348"/>
        <w:gridCol w:w="209"/>
        <w:gridCol w:w="674"/>
        <w:gridCol w:w="371"/>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734435" cy="175260"/>
                      <wp:effectExtent l="0" t="0" r="0" b="0"/>
                      <wp:wrapNone/>
                      <wp:docPr id="21" name="Frame21"/>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2715" cy="175260"/>
                      <wp:effectExtent l="0" t="0" r="0" b="0"/>
                      <wp:wrapNone/>
                      <wp:docPr id="23" name="Frame23"/>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27990" cy="175260"/>
                      <wp:effectExtent l="0" t="0" r="0" b="0"/>
                      <wp:wrapNone/>
                      <wp:docPr id="24" name="Frame24"/>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20980" cy="175260"/>
                      <wp:effectExtent l="0" t="0" r="0" b="0"/>
                      <wp:wrapNone/>
                      <wp:docPr id="25" name="Frame25"/>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2715" cy="175260"/>
                      <wp:effectExtent l="0" t="0" r="0" b="0"/>
                      <wp:wrapNone/>
                      <wp:docPr id="26" name="Frame26"/>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7990" cy="175260"/>
                      <wp:effectExtent l="0" t="0" r="0" b="0"/>
                      <wp:wrapNone/>
                      <wp:docPr id="27" name="Frame27"/>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35585" cy="175260"/>
                      <wp:effectExtent l="0" t="0" r="0" b="0"/>
                      <wp:wrapNone/>
                      <wp:docPr id="28" name="Frame2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8" w:type="dxa"/>
            <w:tcBorders/>
            <w:vAlign w:val="center"/>
          </w:tcPr>
          <w:p>
            <w:pPr>
              <w:pStyle w:val="TableContents"/>
              <w:bidi w:val="0"/>
              <w:spacing w:before="0" w:after="0"/>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1" w:type="dxa"/>
            <w:tcBorders/>
            <w:vAlign w:val="center"/>
          </w:tcPr>
          <w:p>
            <w:pPr>
              <w:pStyle w:val="TableContents"/>
              <w:bidi w:val="0"/>
              <w:spacing w:before="0" w:after="0"/>
              <w:ind w:left="0" w:right="0" w:hanging="0"/>
              <w:jc w:val="left"/>
              <w:rPr/>
            </w:pPr>
            <w:r>
              <w:rPr/>
              <w:t>    </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Reconciling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76.4</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72.1</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operating lease right of 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SSAT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Distributions from SSAT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14.0</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dry-docking amortization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13.7</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114.6</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(69.0)</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344.5</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246.5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Capitalized vessel construction expenditures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(38.2)</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(excluding vessel construction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(86.9)</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disposal of property and equipment, net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0.1</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 for intangible asset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deposits and interest into the Capital Construction Fund, net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(113.1)</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Withdrawals from Capital Construction Fund, net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(131.1)</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(201.8)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Repayments of debt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Dividends paid</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 </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Matson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(120.1)</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 withholding related to net share settlements of restricted stock units</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(179.1)</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Increase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Beginning of the Period</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136.3</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253.7</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170.6</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Reconciliation of Cash, Cash Equivalents and Restricted Cash, End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168.2</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122.0</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Cash and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170.6</w:t>
            </w:r>
          </w:p>
        </w:tc>
        <w:tc>
          <w:tcPr>
            <w:tcW w:w="348" w:type="dxa"/>
            <w:tcBorders/>
            <w:vAlign w:val="center"/>
          </w:tcPr>
          <w:p>
            <w:pPr>
              <w:pStyle w:val="TableContents"/>
              <w:bidi w:val="0"/>
              <w:spacing w:before="0" w:after="0"/>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Supplemental Cash Flow Information: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 net of capitalized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payments (refunds), net</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(114.3)</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Information: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pPr>
            <w:r>
              <w:rPr/>
              <w:t>​</w:t>
            </w:r>
          </w:p>
        </w:tc>
        <w:tc>
          <w:tcPr>
            <w:tcW w:w="674"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 expenditures included in accounts payable, accruals and 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88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payment for intangible asset acquisition</w:t>
            </w:r>
          </w:p>
        </w:tc>
        <w:tc>
          <w:tcPr>
            <w:tcW w:w="326"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pPr>
            <w:r>
              <w:rPr/>
              <w:t>—</w:t>
            </w:r>
          </w:p>
        </w:tc>
        <w:tc>
          <w:tcPr>
            <w:tcW w:w="348" w:type="dxa"/>
            <w:tcBorders/>
            <w:vAlign w:val="center"/>
          </w:tcPr>
          <w:p>
            <w:pPr>
              <w:pStyle w:val="TableContents"/>
              <w:bidi w:val="0"/>
              <w:spacing w:before="0" w:after="0"/>
              <w:ind w:left="0" w:right="0" w:hanging="0"/>
              <w:jc w:val="left"/>
              <w:rPr/>
            </w:pPr>
            <w:r>
              <w:rPr/>
              <w:t>​</w:t>
            </w:r>
          </w:p>
        </w:tc>
        <w:tc>
          <w:tcPr>
            <w:tcW w:w="209"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w:t>
            </w:r>
          </w:p>
        </w:tc>
        <w:tc>
          <w:tcPr>
            <w:tcW w:w="371" w:type="dxa"/>
            <w:tcBorders/>
            <w:vAlign w:val="center"/>
          </w:tcPr>
          <w:p>
            <w:pPr>
              <w:pStyle w:val="TableContents"/>
              <w:bidi w:val="0"/>
              <w:spacing w:before="0" w:after="0"/>
              <w:ind w:left="0" w:right="0" w:hanging="0"/>
              <w:jc w:val="left"/>
              <w:rPr/>
            </w:pPr>
            <w:r>
              <w:rPr/>
              <w:t>​</w:t>
            </w:r>
          </w:p>
        </w:tc>
      </w:tr>
      <w:tr>
        <w:trPr/>
        <w:tc>
          <w:tcPr>
            <w:tcW w:w="588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48"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05" w:name="_a233d034_c616_4f02_8e2a_1b50532160c0"/>
      <w:bookmarkEnd w:id="405"/>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406" w:name="StatementsofShareholdersEquity"/>
      <w:bookmarkEnd w:id="406"/>
      <w:r>
        <w:rPr>
          <w:rFonts w:ascii="Times New Roman;Times;serif" w:hAnsi="Times New Roman;Times;serif"/>
          <w:b/>
          <w:sz w:val="20"/>
        </w:rPr>
        <w:t>Condensed Consolidated Statements of Shareholders’ Equity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407" w:name="Tc_QTpVatnuQEiYFzhIrIVc7A_20_16"/>
      <w:bookmarkStart w:id="408" w:name="Tc_MhcZYyp_ukWVSrN74c58JA_20_13"/>
      <w:bookmarkStart w:id="409" w:name="Tc_gJ1F21wenUSqrWhjtwJV0g_20_10"/>
      <w:bookmarkStart w:id="410" w:name="Tc_KaHe55Z3T06nZfS7ZvfDWg_20_7"/>
      <w:bookmarkStart w:id="411" w:name="Tc_w2MUGMOaQkG_vwnQuycZrw_20_4"/>
      <w:bookmarkStart w:id="412" w:name="Tc_r5TQ8KCM2keZ7S2tUI62VQ_20_0"/>
      <w:bookmarkStart w:id="413" w:name="Tc_7Nh3bqeBO0mt7SQCE09cqQ_19_11"/>
      <w:bookmarkStart w:id="414" w:name="Tc_PhIVwtCsRES29EcWevtGBQ_19_8"/>
      <w:bookmarkStart w:id="415" w:name="Tc_JNforEBPAkmmBzA6SjkoNw_19_5"/>
      <w:bookmarkStart w:id="416" w:name="Tc_C0JqFKTM30OLKnlY0lvgXw_19_2"/>
      <w:bookmarkStart w:id="417" w:name="Tc_EMxpvlbO8Uu7VN6cZVakbw_19_0"/>
      <w:bookmarkStart w:id="418" w:name="Tc_2qAIa_Dzx0K3Bhmxh53M5w_18_11"/>
      <w:bookmarkStart w:id="419" w:name="Tc_fTa7Y5tv0kOy1KKCvgrSFQ_18_0"/>
      <w:bookmarkStart w:id="420" w:name="Tc_BnGOLVacR0aM_S5wPYjO9Q_17_14"/>
      <w:bookmarkStart w:id="421" w:name="Tc_AjeG_MXl7UmvTGXn2tPbIg_17_11"/>
      <w:bookmarkStart w:id="422" w:name="Tc_4zA7HUYK_UesZ3lHi0t0eQ_17_5"/>
      <w:bookmarkStart w:id="423" w:name="Tc_3GOnUqiY0EeNWDwu0kVYnA_17_2"/>
      <w:bookmarkStart w:id="424" w:name="Tc_8G_UQoMLD0Gv5zf76xSWWw_17_0"/>
      <w:bookmarkStart w:id="425" w:name="Tc_T5ldbTisLU25wb2QhNNO0Q_16_14"/>
      <w:bookmarkStart w:id="426" w:name="Tc_pHrisA_ljEWgR9VZPE2GZw_16_11"/>
      <w:bookmarkStart w:id="427" w:name="Tc_iET6cCgwvEi7w45YqiFi4A_16_5"/>
      <w:bookmarkStart w:id="428" w:name="Tc_ulV9DuZ_LEqgsjDvNlcsmw_16_2"/>
      <w:bookmarkStart w:id="429" w:name="Tc__mCWsONhSEeRAgLQ7vj9IQ_16_0"/>
      <w:bookmarkStart w:id="430" w:name="Tc_OOCCUANn302xlGJObPRs3Q_15_14"/>
      <w:bookmarkStart w:id="431" w:name="Tc_4REP3FMSC02m6zFK7UXY8A_15_8"/>
      <w:bookmarkStart w:id="432" w:name="Tc_hywRMKeWZk-OqUq4pjyKiA_15_5"/>
      <w:bookmarkStart w:id="433" w:name="Tc_wPA3OjBDw0C-sEPROWNP4A_15_2"/>
      <w:bookmarkStart w:id="434" w:name="Tc_VCjqermrXkWKQpRP19IFTQ_15_0"/>
      <w:bookmarkStart w:id="435" w:name="Tc_HV22nh7Of0Gf1-wmtc1ZcQ_14_11"/>
      <w:bookmarkStart w:id="436" w:name="Tc_MnpLOhmqFUiuORie3or6kw_14_8"/>
      <w:bookmarkStart w:id="437" w:name="Tc_Diw0Kz2_lEuZkqKazDDCmg_14_5"/>
      <w:bookmarkStart w:id="438" w:name="Tc_qg-aorYST0Wtq1HQcTeNDg_14_2"/>
      <w:bookmarkStart w:id="439" w:name="Tc_R8qVIEX3u02Nsrgy7e1tow_14_0"/>
      <w:bookmarkStart w:id="440" w:name="Tc_WAFzgOJbz0WA_ifh_vdvIA_13_0"/>
      <w:bookmarkStart w:id="441" w:name="Tc_alD7pH09Z0KHORVXdQ3TmA_12_11"/>
      <w:bookmarkStart w:id="442" w:name="Tc_Jg-6QTjZqEy3vL2bSdaCEg_12_8"/>
      <w:bookmarkStart w:id="443" w:name="Tc_ncwq7N4bvUud-Yu06d4mpw_12_5"/>
      <w:bookmarkStart w:id="444" w:name="Tc_jCisBxGJfkGCwse8ELNdRw_12_2"/>
      <w:bookmarkStart w:id="445" w:name="Tc_hYO9AWz_p02XK0gSPA1YrQ_12_0"/>
      <w:bookmarkStart w:id="446" w:name="Tc_dQjJJe2KUE2AJPQDPV7q9g_11_11"/>
      <w:bookmarkStart w:id="447" w:name="Tc_AuUtnw9Eo0CNyBNLgTL27g_11_8"/>
      <w:bookmarkStart w:id="448" w:name="Tc_AWHphl4KRUONZzTQc62mVA_11_5"/>
      <w:bookmarkStart w:id="449" w:name="Tc_r5lHgjdOZk69GA699uk8zA_11_2"/>
      <w:bookmarkStart w:id="450" w:name="Tc_HKcFDU4q1E6xjzhYqMY-vw_11_0"/>
      <w:bookmarkStart w:id="451" w:name="Tc_rY7wGjjTAEa_49OxiTJ0BA_10_11"/>
      <w:bookmarkStart w:id="452" w:name="Tc_lSeBw7UzXU6YL7NoflOa9A_10_0"/>
      <w:bookmarkStart w:id="453" w:name="Tc_2HjanEBmtE6PLm3SlkJ8iA_9_14"/>
      <w:bookmarkStart w:id="454" w:name="Tc_S6Y_waasSkOX4QJkI-ozOQ_9_11"/>
      <w:bookmarkStart w:id="455" w:name="Tc_AsVzWqXP_UiEw9VwNQgSXQ_9_0"/>
      <w:bookmarkStart w:id="456" w:name="Tc_4ZG9UuLZu0Co-6IZsTIe2g_8_14"/>
      <w:bookmarkStart w:id="457" w:name="Tc_MgxNxTEaYECdVv7Egmwl1A_8_11"/>
      <w:bookmarkStart w:id="458" w:name="Tc_X48D_9s5xEy1IfT2z_YxHQ_8_5"/>
      <w:bookmarkStart w:id="459" w:name="Tc_RUTHtmeoUkG08s4dWwVRaQ_8_2"/>
      <w:bookmarkStart w:id="460" w:name="Tc_n3GZWMcvu0Cm_iKvnjoaSA_8_0"/>
      <w:bookmarkStart w:id="461" w:name="Tc_C6__gEf1HEyo53Vh7qyI5w_7_14"/>
      <w:bookmarkStart w:id="462" w:name="Tc_tF90T4LY_E-2sxhlz7UBXQ_7_8"/>
      <w:bookmarkStart w:id="463" w:name="Tc_bxZhNI8_CUme7rM19vMtSw_7_5"/>
      <w:bookmarkStart w:id="464" w:name="Tc_UdDP1kBsQUOVjpekVVyQRg_7_2"/>
      <w:bookmarkStart w:id="465" w:name="Tc_PsVb-G0AOkKvX0Vj7L8LLw_7_0"/>
      <w:bookmarkStart w:id="466" w:name="Tc_W6poLANeBU2dff9ctqqCnw_6_11"/>
      <w:bookmarkStart w:id="467" w:name="Tc_9XFhleKVpka0vScDzuMBtQ_6_8"/>
      <w:bookmarkStart w:id="468" w:name="Tc_k30vzdBxrU-yMJZDewlsqA_6_5"/>
      <w:bookmarkStart w:id="469" w:name="Tc_Fpt7Vi8XPEGccUFm70H7kQ_6_2"/>
      <w:bookmarkStart w:id="470" w:name="Tc_KV24j56uwkirV_uC5qdj_Q_6_0"/>
      <w:bookmarkStart w:id="471" w:name="Tc_zy8CThqOBkCZiTvXrw-YEQ_5_16"/>
      <w:bookmarkStart w:id="472" w:name="Tc_f46xkd266kif0ZoisCMJ9A_5_13"/>
      <w:bookmarkStart w:id="473" w:name="Tc_8fiQK2sLXU2lhIEaB__ztw_5_10"/>
      <w:bookmarkStart w:id="474" w:name="Tc_OgeZlWSUaUCP0lDFORrXDw_5_7"/>
      <w:bookmarkStart w:id="475" w:name="Tc_JM1MhIkjZEy9jstPM1FvqA_5_4"/>
      <w:bookmarkStart w:id="476" w:name="Tc_OR-eaTBonEGObYXn9AMwRg_5_0"/>
      <w:bookmarkStart w:id="477" w:name="Tc_Ob0-x8hVrECypwHlOMdkqA_4_16"/>
      <w:bookmarkStart w:id="478" w:name="Tc_VMpJxLv0ckStwSZl4Kcidg_4_13"/>
      <w:bookmarkStart w:id="479" w:name="Tc_qRzy48YickSF7AIytNfCvQ_4_10"/>
      <w:bookmarkStart w:id="480" w:name="Tc_75dpw-zqJkC5z8yK62EJKQ_4_7"/>
      <w:bookmarkStart w:id="481" w:name="Tc_CzMaDrsu5UOIPTAmbgbvJQ_4_4"/>
      <w:bookmarkStart w:id="482" w:name="Tc_zOJY8zEpREuF_z9OU0JVrg_4_2"/>
      <w:bookmarkStart w:id="483" w:name="Tc_NcM7Ye2DH0yA9BzRuEar6w_4_0"/>
      <w:bookmarkStart w:id="484" w:name="Tc_MfGA3OiJAkajYErfnvRtYA_3_13"/>
      <w:bookmarkStart w:id="485" w:name="Tc_NMDSecmxpEuwLAOTyGs1GQ_3_10"/>
      <w:bookmarkStart w:id="486" w:name="Tc_fnOsemDYCkWrk0fs25V9BA_3_7"/>
      <w:bookmarkStart w:id="487" w:name="Tc__-Tj2zFPhkW4M0pR7-p20A_3_4"/>
      <w:bookmarkStart w:id="488" w:name="Tc_U5CBkALu5k-Y2--PbGyGMA_2_10"/>
      <w:bookmarkStart w:id="489" w:name="Tc_LQSNMRp8e0uJ9vvt6ZQQJA_2_7"/>
      <w:bookmarkStart w:id="490" w:name="Tc_dMnRPY83y0SFJ2L0ibWXJQ_2_2"/>
      <w:bookmarkStart w:id="491" w:name="Tc_ydtBzUgQS0K3oKEBW9Q5gw_1_10"/>
      <w:bookmarkStart w:id="492" w:name="_84d7cc09_d41a_43f0_b3da_141481ad90f8"/>
      <w:bookmarkStart w:id="493" w:name="Tc_QTpVatnuQEiYFzhIrIVc7A_20_16"/>
      <w:bookmarkStart w:id="494" w:name="Tc_MhcZYyp_ukWVSrN74c58JA_20_13"/>
      <w:bookmarkStart w:id="495" w:name="Tc_gJ1F21wenUSqrWhjtwJV0g_20_10"/>
      <w:bookmarkStart w:id="496" w:name="Tc_KaHe55Z3T06nZfS7ZvfDWg_20_7"/>
      <w:bookmarkStart w:id="497" w:name="Tc_w2MUGMOaQkG_vwnQuycZrw_20_4"/>
      <w:bookmarkStart w:id="498" w:name="Tc_r5TQ8KCM2keZ7S2tUI62VQ_20_0"/>
      <w:bookmarkStart w:id="499" w:name="Tc_7Nh3bqeBO0mt7SQCE09cqQ_19_11"/>
      <w:bookmarkStart w:id="500" w:name="Tc_PhIVwtCsRES29EcWevtGBQ_19_8"/>
      <w:bookmarkStart w:id="501" w:name="Tc_JNforEBPAkmmBzA6SjkoNw_19_5"/>
      <w:bookmarkStart w:id="502" w:name="Tc_C0JqFKTM30OLKnlY0lvgXw_19_2"/>
      <w:bookmarkStart w:id="503" w:name="Tc_EMxpvlbO8Uu7VN6cZVakbw_19_0"/>
      <w:bookmarkStart w:id="504" w:name="Tc_2qAIa_Dzx0K3Bhmxh53M5w_18_11"/>
      <w:bookmarkStart w:id="505" w:name="Tc_fTa7Y5tv0kOy1KKCvgrSFQ_18_0"/>
      <w:bookmarkStart w:id="506" w:name="Tc_BnGOLVacR0aM_S5wPYjO9Q_17_14"/>
      <w:bookmarkStart w:id="507" w:name="Tc_AjeG_MXl7UmvTGXn2tPbIg_17_11"/>
      <w:bookmarkStart w:id="508" w:name="Tc_4zA7HUYK_UesZ3lHi0t0eQ_17_5"/>
      <w:bookmarkStart w:id="509" w:name="Tc_3GOnUqiY0EeNWDwu0kVYnA_17_2"/>
      <w:bookmarkStart w:id="510" w:name="Tc_8G_UQoMLD0Gv5zf76xSWWw_17_0"/>
      <w:bookmarkStart w:id="511" w:name="Tc_T5ldbTisLU25wb2QhNNO0Q_16_14"/>
      <w:bookmarkStart w:id="512" w:name="Tc_pHrisA_ljEWgR9VZPE2GZw_16_11"/>
      <w:bookmarkStart w:id="513" w:name="Tc_iET6cCgwvEi7w45YqiFi4A_16_5"/>
      <w:bookmarkStart w:id="514" w:name="Tc_ulV9DuZ_LEqgsjDvNlcsmw_16_2"/>
      <w:bookmarkStart w:id="515" w:name="Tc__mCWsONhSEeRAgLQ7vj9IQ_16_0"/>
      <w:bookmarkStart w:id="516" w:name="Tc_OOCCUANn302xlGJObPRs3Q_15_14"/>
      <w:bookmarkStart w:id="517" w:name="Tc_4REP3FMSC02m6zFK7UXY8A_15_8"/>
      <w:bookmarkStart w:id="518" w:name="Tc_hywRMKeWZk-OqUq4pjyKiA_15_5"/>
      <w:bookmarkStart w:id="519" w:name="Tc_wPA3OjBDw0C-sEPROWNP4A_15_2"/>
      <w:bookmarkStart w:id="520" w:name="Tc_VCjqermrXkWKQpRP19IFTQ_15_0"/>
      <w:bookmarkStart w:id="521" w:name="Tc_HV22nh7Of0Gf1-wmtc1ZcQ_14_11"/>
      <w:bookmarkStart w:id="522" w:name="Tc_MnpLOhmqFUiuORie3or6kw_14_8"/>
      <w:bookmarkStart w:id="523" w:name="Tc_Diw0Kz2_lEuZkqKazDDCmg_14_5"/>
      <w:bookmarkStart w:id="524" w:name="Tc_qg-aorYST0Wtq1HQcTeNDg_14_2"/>
      <w:bookmarkStart w:id="525" w:name="Tc_R8qVIEX3u02Nsrgy7e1tow_14_0"/>
      <w:bookmarkStart w:id="526" w:name="Tc_WAFzgOJbz0WA_ifh_vdvIA_13_0"/>
      <w:bookmarkStart w:id="527" w:name="Tc_alD7pH09Z0KHORVXdQ3TmA_12_11"/>
      <w:bookmarkStart w:id="528" w:name="Tc_Jg-6QTjZqEy3vL2bSdaCEg_12_8"/>
      <w:bookmarkStart w:id="529" w:name="Tc_ncwq7N4bvUud-Yu06d4mpw_12_5"/>
      <w:bookmarkStart w:id="530" w:name="Tc_jCisBxGJfkGCwse8ELNdRw_12_2"/>
      <w:bookmarkStart w:id="531" w:name="Tc_hYO9AWz_p02XK0gSPA1YrQ_12_0"/>
      <w:bookmarkStart w:id="532" w:name="Tc_dQjJJe2KUE2AJPQDPV7q9g_11_11"/>
      <w:bookmarkStart w:id="533" w:name="Tc_AuUtnw9Eo0CNyBNLgTL27g_11_8"/>
      <w:bookmarkStart w:id="534" w:name="Tc_AWHphl4KRUONZzTQc62mVA_11_5"/>
      <w:bookmarkStart w:id="535" w:name="Tc_r5lHgjdOZk69GA699uk8zA_11_2"/>
      <w:bookmarkStart w:id="536" w:name="Tc_HKcFDU4q1E6xjzhYqMY-vw_11_0"/>
      <w:bookmarkStart w:id="537" w:name="Tc_rY7wGjjTAEa_49OxiTJ0BA_10_11"/>
      <w:bookmarkStart w:id="538" w:name="Tc_lSeBw7UzXU6YL7NoflOa9A_10_0"/>
      <w:bookmarkStart w:id="539" w:name="Tc_2HjanEBmtE6PLm3SlkJ8iA_9_14"/>
      <w:bookmarkStart w:id="540" w:name="Tc_S6Y_waasSkOX4QJkI-ozOQ_9_11"/>
      <w:bookmarkStart w:id="541" w:name="Tc_AsVzWqXP_UiEw9VwNQgSXQ_9_0"/>
      <w:bookmarkStart w:id="542" w:name="Tc_4ZG9UuLZu0Co-6IZsTIe2g_8_14"/>
      <w:bookmarkStart w:id="543" w:name="Tc_MgxNxTEaYECdVv7Egmwl1A_8_11"/>
      <w:bookmarkStart w:id="544" w:name="Tc_X48D_9s5xEy1IfT2z_YxHQ_8_5"/>
      <w:bookmarkStart w:id="545" w:name="Tc_RUTHtmeoUkG08s4dWwVRaQ_8_2"/>
      <w:bookmarkStart w:id="546" w:name="Tc_n3GZWMcvu0Cm_iKvnjoaSA_8_0"/>
      <w:bookmarkStart w:id="547" w:name="Tc_C6__gEf1HEyo53Vh7qyI5w_7_14"/>
      <w:bookmarkStart w:id="548" w:name="Tc_tF90T4LY_E-2sxhlz7UBXQ_7_8"/>
      <w:bookmarkStart w:id="549" w:name="Tc_bxZhNI8_CUme7rM19vMtSw_7_5"/>
      <w:bookmarkStart w:id="550" w:name="Tc_UdDP1kBsQUOVjpekVVyQRg_7_2"/>
      <w:bookmarkStart w:id="551" w:name="Tc_PsVb-G0AOkKvX0Vj7L8LLw_7_0"/>
      <w:bookmarkStart w:id="552" w:name="Tc_W6poLANeBU2dff9ctqqCnw_6_11"/>
      <w:bookmarkStart w:id="553" w:name="Tc_9XFhleKVpka0vScDzuMBtQ_6_8"/>
      <w:bookmarkStart w:id="554" w:name="Tc_k30vzdBxrU-yMJZDewlsqA_6_5"/>
      <w:bookmarkStart w:id="555" w:name="Tc_Fpt7Vi8XPEGccUFm70H7kQ_6_2"/>
      <w:bookmarkStart w:id="556" w:name="Tc_KV24j56uwkirV_uC5qdj_Q_6_0"/>
      <w:bookmarkStart w:id="557" w:name="Tc_zy8CThqOBkCZiTvXrw-YEQ_5_16"/>
      <w:bookmarkStart w:id="558" w:name="Tc_f46xkd266kif0ZoisCMJ9A_5_13"/>
      <w:bookmarkStart w:id="559" w:name="Tc_8fiQK2sLXU2lhIEaB__ztw_5_10"/>
      <w:bookmarkStart w:id="560" w:name="Tc_OgeZlWSUaUCP0lDFORrXDw_5_7"/>
      <w:bookmarkStart w:id="561" w:name="Tc_JM1MhIkjZEy9jstPM1FvqA_5_4"/>
      <w:bookmarkStart w:id="562" w:name="Tc_OR-eaTBonEGObYXn9AMwRg_5_0"/>
      <w:bookmarkStart w:id="563" w:name="Tc_Ob0-x8hVrECypwHlOMdkqA_4_16"/>
      <w:bookmarkStart w:id="564" w:name="Tc_VMpJxLv0ckStwSZl4Kcidg_4_13"/>
      <w:bookmarkStart w:id="565" w:name="Tc_qRzy48YickSF7AIytNfCvQ_4_10"/>
      <w:bookmarkStart w:id="566" w:name="Tc_75dpw-zqJkC5z8yK62EJKQ_4_7"/>
      <w:bookmarkStart w:id="567" w:name="Tc_CzMaDrsu5UOIPTAmbgbvJQ_4_4"/>
      <w:bookmarkStart w:id="568" w:name="Tc_zOJY8zEpREuF_z9OU0JVrg_4_2"/>
      <w:bookmarkStart w:id="569" w:name="Tc_NcM7Ye2DH0yA9BzRuEar6w_4_0"/>
      <w:bookmarkStart w:id="570" w:name="Tc_MfGA3OiJAkajYErfnvRtYA_3_13"/>
      <w:bookmarkStart w:id="571" w:name="Tc_NMDSecmxpEuwLAOTyGs1GQ_3_10"/>
      <w:bookmarkStart w:id="572" w:name="Tc_fnOsemDYCkWrk0fs25V9BA_3_7"/>
      <w:bookmarkStart w:id="573" w:name="Tc__-Tj2zFPhkW4M0pR7-p20A_3_4"/>
      <w:bookmarkStart w:id="574" w:name="Tc_U5CBkALu5k-Y2--PbGyGMA_2_10"/>
      <w:bookmarkStart w:id="575" w:name="Tc_LQSNMRp8e0uJ9vvt6ZQQJA_2_7"/>
      <w:bookmarkStart w:id="576" w:name="Tc_dMnRPY83y0SFJ2L0ibWXJQ_2_2"/>
      <w:bookmarkStart w:id="577" w:name="Tc_ydtBzUgQS0K3oKEBW9Q5gw_1_10"/>
      <w:bookmarkStart w:id="578" w:name="_84d7cc09_d41a_43f0_b3da_141481ad90f8"/>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tbl>
      <w:tblPr>
        <w:tblW w:w="10205" w:type="dxa"/>
        <w:jc w:val="left"/>
        <w:tblInd w:w="0" w:type="dxa"/>
        <w:tblLayout w:type="fixed"/>
        <w:tblCellMar>
          <w:top w:w="0" w:type="dxa"/>
          <w:left w:w="0" w:type="dxa"/>
          <w:bottom w:w="0" w:type="dxa"/>
          <w:right w:w="0" w:type="dxa"/>
        </w:tblCellMar>
      </w:tblPr>
      <w:tblGrid>
        <w:gridCol w:w="3272"/>
        <w:gridCol w:w="326"/>
        <w:gridCol w:w="511"/>
        <w:gridCol w:w="326"/>
        <w:gridCol w:w="211"/>
        <w:gridCol w:w="474"/>
        <w:gridCol w:w="326"/>
        <w:gridCol w:w="211"/>
        <w:gridCol w:w="579"/>
        <w:gridCol w:w="326"/>
        <w:gridCol w:w="291"/>
        <w:gridCol w:w="730"/>
        <w:gridCol w:w="326"/>
        <w:gridCol w:w="211"/>
        <w:gridCol w:w="721"/>
        <w:gridCol w:w="326"/>
        <w:gridCol w:w="211"/>
        <w:gridCol w:w="827"/>
      </w:tblGrid>
      <w:tr>
        <w:trPr/>
        <w:tc>
          <w:tcPr>
            <w:tcW w:w="3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7720" cy="175260"/>
                      <wp:effectExtent l="0" t="0" r="0" b="0"/>
                      <wp:wrapNone/>
                      <wp:docPr id="29" name="Frame29"/>
                      <a:graphic xmlns:a="http://schemas.openxmlformats.org/drawingml/2006/main">
                        <a:graphicData uri="http://schemas.microsoft.com/office/word/2010/wordprocessingShape">
                          <wps:wsp>
                            <wps:cNvSpPr txBox="1"/>
                            <wps:spPr>
                              <a:xfrm>
                                <a:off x="0" y="0"/>
                                <a:ext cx="207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24485" cy="175260"/>
                      <wp:effectExtent l="0" t="0" r="0" b="0"/>
                      <wp:wrapNone/>
                      <wp:docPr id="31" name="Frame31"/>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00990" cy="175260"/>
                      <wp:effectExtent l="0" t="0" r="0" b="0"/>
                      <wp:wrapNone/>
                      <wp:docPr id="34" name="Frame34"/>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67665" cy="175260"/>
                      <wp:effectExtent l="0" t="0" r="0" b="0"/>
                      <wp:wrapNone/>
                      <wp:docPr id="37" name="Frame37"/>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84785" cy="175260"/>
                      <wp:effectExtent l="0" t="0" r="0" b="0"/>
                      <wp:wrapNone/>
                      <wp:docPr id="39" name="Frame39"/>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3550" cy="175260"/>
                      <wp:effectExtent l="0" t="0" r="0" b="0"/>
                      <wp:wrapNone/>
                      <wp:docPr id="40" name="Frame40"/>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57835" cy="175260"/>
                      <wp:effectExtent l="0" t="0" r="0" b="0"/>
                      <wp:wrapNone/>
                      <wp:docPr id="43" name="Frame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25145" cy="175260"/>
                      <wp:effectExtent l="0" t="0" r="0" b="0"/>
                      <wp:wrapNone/>
                      <wp:docPr id="46" name="Frame46"/>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Retained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center"/>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Total      </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25.8</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293.4</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2,089.7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2,400.7</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5.7</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(17.3)</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(48.9)</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Equity interest in SSAT (See Note 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10.1</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($0.32</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280.2</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2,077.8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2,373.8</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 </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pPr>
            <w:r>
              <w:rPr/>
              <w:t> </w:t>
            </w:r>
          </w:p>
        </w:tc>
        <w:tc>
          <w:tcPr>
            <w:tcW w:w="7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(72.2)</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($0.32</w:t>
            </w:r>
            <w:r>
              <w:rPr>
                <w:rFonts w:ascii="Times New Roman;Times;serif" w:hAnsi="Times New Roman;Times;serif"/>
                <w:sz w:val="18"/>
              </w:rPr>
              <w:t xml:space="preserve"> </w:t>
            </w:r>
            <w:r>
              <w:rPr>
                <w:rFonts w:ascii="Times New Roman;Times;serif" w:hAnsi="Times New Roman;Times;serif"/>
                <w:sz w:val="19"/>
              </w:rPr>
              <w:t>per share and $0.34</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June 30, 2024</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284.7</w:t>
            </w:r>
          </w:p>
        </w:tc>
        <w:tc>
          <w:tcPr>
            <w:tcW w:w="326" w:type="dxa"/>
            <w:tcBorders/>
            <w:vAlign w:val="center"/>
          </w:tcPr>
          <w:p>
            <w:pPr>
              <w:pStyle w:val="TableContents"/>
              <w:bidi w:val="0"/>
              <w:spacing w:before="0" w:after="0"/>
              <w:ind w:left="0" w:right="0" w:hanging="0"/>
              <w:jc w:val="left"/>
              <w:rPr/>
            </w:pPr>
            <w:r>
              <w:rPr/>
              <w:t>​</w:t>
            </w:r>
          </w:p>
        </w:tc>
        <w:tc>
          <w:tcPr>
            <w:tcW w:w="29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2,098.8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2,398.5</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79" w:name="Tc_hqgX10NhyUijOKLEl-DL1g_19_16"/>
      <w:bookmarkStart w:id="580" w:name="Tc_k3ROhqverEeIe9hlf1pG9w_19_13"/>
      <w:bookmarkStart w:id="581" w:name="Tc_e27pkWRFZk2a8cQ8lcfvcA_19_10"/>
      <w:bookmarkStart w:id="582" w:name="Tc_gsHy6nfcPk6ldZPug8DC_Q_19_7"/>
      <w:bookmarkStart w:id="583" w:name="Tc_Nf_sw6h8Vkyv5NfzUiPkhA_19_4"/>
      <w:bookmarkStart w:id="584" w:name="Tc_61SaYTcQbk255HLkEHgzwQ_19_0"/>
      <w:bookmarkStart w:id="585" w:name="Tc_T0Hs1AThhkGiPRSoUpZPFA_18_11"/>
      <w:bookmarkStart w:id="586" w:name="Tc_3vvaYB1ECkydY-F-0m-BEQ_18_8"/>
      <w:bookmarkStart w:id="587" w:name="Tc_fRpDaCvHDUqGTYz7lR_OQQ_18_5"/>
      <w:bookmarkStart w:id="588" w:name="Tc_cd1aT_8eo0C2WWnxl5E-ww_18_2"/>
      <w:bookmarkStart w:id="589" w:name="Tc_yReMhGVBjk-AMPofabKGAA_18_0"/>
      <w:bookmarkStart w:id="590" w:name="Tc_dkyguNqFskSXbAK9Z9utcg_17_11"/>
      <w:bookmarkStart w:id="591" w:name="Tc_rXgIjRSUiEGzP9DrIh5rcw_17_0"/>
      <w:bookmarkStart w:id="592" w:name="Tc_y5oDvFgFRECBE0ozoCdMgg_16_14"/>
      <w:bookmarkStart w:id="593" w:name="Tc_ppMFa4ePf0-bNKiOSFKsNA_16_11"/>
      <w:bookmarkStart w:id="594" w:name="Tc_5dV4eP1G_0-l0BBWZ5vrUg_16_5"/>
      <w:bookmarkStart w:id="595" w:name="Tc_8pyxH1-rYkiLQnGRrtuH4A_16_2"/>
      <w:bookmarkStart w:id="596" w:name="Tc_T6HsCkbt20627oovRMqmRw_16_0"/>
      <w:bookmarkStart w:id="597" w:name="Tc_sKKj7WPGoUS87k6AysY41w_15_14"/>
      <w:bookmarkStart w:id="598" w:name="Tc_9tI9YV3nbEq-MkRoeA5vdA_15_11"/>
      <w:bookmarkStart w:id="599" w:name="Tc_7g2Jfehev0GjruukKh_mUg_15_5"/>
      <w:bookmarkStart w:id="600" w:name="Tc_Tc7R9YL9VUKcWeatWIhLvg_15_2"/>
      <w:bookmarkStart w:id="601" w:name="Tc_tGGTVTL130yxgyCNR4K9ug_15_0"/>
      <w:bookmarkStart w:id="602" w:name="Tc_WIvtODKzx0GTOo_lJvFApg_14_14"/>
      <w:bookmarkStart w:id="603" w:name="Tc_8d4aRS3Jbk6EH-vePb8-Iw_14_8"/>
      <w:bookmarkStart w:id="604" w:name="Tc_r6_3JDRT2kaHga3SSwQOng_14_5"/>
      <w:bookmarkStart w:id="605" w:name="Tc_TZQ5_nxFNEabzKN3jYRvKQ_14_2"/>
      <w:bookmarkStart w:id="606" w:name="Tc_nvkEmvvxbkGrAQDx1jH4qQ_14_0"/>
      <w:bookmarkStart w:id="607" w:name="Tc_gD6_srdWSkK76iK1fbAN-g_13_11"/>
      <w:bookmarkStart w:id="608" w:name="Tc_U4aze51YqEOrYh-XwY98kA_13_8"/>
      <w:bookmarkStart w:id="609" w:name="Tc_WWMUd8k7CUGczA7CZGAE8Q_13_5"/>
      <w:bookmarkStart w:id="610" w:name="Tc_vrH7_TclBkatpb8GUNRqGw_13_2"/>
      <w:bookmarkStart w:id="611" w:name="Tc_etHh0cmM4EKpRy1eqIfrVQ_13_0"/>
      <w:bookmarkStart w:id="612" w:name="Tc_LLqrEgO8jEqhrrkaOYC6lw_12_0"/>
      <w:bookmarkStart w:id="613" w:name="Tc_Yd7qQGHmXEuQrO3AA35EpA_11_11"/>
      <w:bookmarkStart w:id="614" w:name="Tc_jEEMTsEL9kaFGciTvY9UkQ_11_8"/>
      <w:bookmarkStart w:id="615" w:name="Tc_MzrAvvpDvUOC0fDT0SoigQ_11_5"/>
      <w:bookmarkStart w:id="616" w:name="Tc_r8tGE2NQ-E2nKHg6U89dnA_11_2"/>
      <w:bookmarkStart w:id="617" w:name="Tc_1yTiu926O0eksOY3QEGVYg_11_0"/>
      <w:bookmarkStart w:id="618" w:name="Tc_Uocaz-LWFEWTZ8S54Tt1mw_10_11"/>
      <w:bookmarkStart w:id="619" w:name="Tc_jimXMpsnXkmCsX_FrpiFJQ_10_0"/>
      <w:bookmarkStart w:id="620" w:name="Tc_wEv2wF6mS0-ck2p38RYfTA_9_14"/>
      <w:bookmarkStart w:id="621" w:name="Tc_9kVnMcjYs0uKVYxYDXYgzQ_9_11"/>
      <w:bookmarkStart w:id="622" w:name="Tc_mEiF0qnGUkiVAxYMB49SjQ_9_0"/>
      <w:bookmarkStart w:id="623" w:name="Tc_4_fxn0XdHES_o3xdDRG9Ow_8_14"/>
      <w:bookmarkStart w:id="624" w:name="Tc_YpnfR8PPfUiTjBwXjTjIOQ_8_11"/>
      <w:bookmarkStart w:id="625" w:name="Tc_eRE_AcNavkyVPlIGWR3NvQ_8_5"/>
      <w:bookmarkStart w:id="626" w:name="Tc_c6yvom6jV0mIPPMtpxq4-A_8_2"/>
      <w:bookmarkStart w:id="627" w:name="Tc_eTsOk3ExSk29nc0IHUq3Vg_8_0"/>
      <w:bookmarkStart w:id="628" w:name="Tc_YebBx33cXkut8zVVpGok4A_7_14"/>
      <w:bookmarkStart w:id="629" w:name="Tc_l5wsDq0mw0m9IIMZY4vF_Q_7_8"/>
      <w:bookmarkStart w:id="630" w:name="Tc_IgyCk_H_vkSPe8_7wtWBWQ_7_5"/>
      <w:bookmarkStart w:id="631" w:name="Tc_EjxTjBknZkeA51vVCnRZLw_7_2"/>
      <w:bookmarkStart w:id="632" w:name="Tc_-hZLPWrFYEm1Tq3icpC_CQ_7_0"/>
      <w:bookmarkStart w:id="633" w:name="Tc_G0QW-C2SaE6i7UyMjEfAhw_6_11"/>
      <w:bookmarkStart w:id="634" w:name="Tc_9w47x_tcS0mlziDL6byEhA_6_8"/>
      <w:bookmarkStart w:id="635" w:name="Tc_0JzrSZQpSkyah993JCyf6Q_6_5"/>
      <w:bookmarkStart w:id="636" w:name="Tc_aG3rJ6XL-EOOLSOKNY-0XQ_6_2"/>
      <w:bookmarkStart w:id="637" w:name="Tc_UoW3K27fXUGppaahNAnRmg_6_0"/>
      <w:bookmarkStart w:id="638" w:name="Tc_lHh-R5mkgUKQVv_XRYZCDg_5_16"/>
      <w:bookmarkStart w:id="639" w:name="Tc_PUVybphNcEuHZCeX_41jqQ_5_13"/>
      <w:bookmarkStart w:id="640" w:name="Tc_Ug7Yw-cG0EGHEd3EeeguMA_5_10"/>
      <w:bookmarkStart w:id="641" w:name="Tc_KX7VBqjZW0-kbIrWS5_WDg_5_7"/>
      <w:bookmarkStart w:id="642" w:name="Tc_NQEZBWT41Eegu79reLAAnA_5_4"/>
      <w:bookmarkStart w:id="643" w:name="Tc_WjYL4xQQfU6xBGUHrr7tZw_5_0"/>
      <w:bookmarkStart w:id="644" w:name="Tc_s0gdUE0SbkGWZemgO3A2vQ_4_16"/>
      <w:bookmarkStart w:id="645" w:name="Tc_AYEUwyHV10arR70zI2XQrw_4_13"/>
      <w:bookmarkStart w:id="646" w:name="Tc_xJihhZrGuEioMy4nTuXvNg_4_10"/>
      <w:bookmarkStart w:id="647" w:name="Tc_We0bhaidvEqYtUw_iS2bXQ_4_7"/>
      <w:bookmarkStart w:id="648" w:name="Tc_LNY1-8fid0m79Ki0dsRM3w_4_4"/>
      <w:bookmarkStart w:id="649" w:name="Tc_bezBPIXRSUWDCtz-2exsGw_4_2"/>
      <w:bookmarkStart w:id="650" w:name="Tc_OB21gbXTGk68WRtRBqrKZA_4_0"/>
      <w:bookmarkStart w:id="651" w:name="Tc_gOYlWApoak-QI2I1WHhdbQ_3_13"/>
      <w:bookmarkStart w:id="652" w:name="Tc_KTtQH9b31kKJIf93aotACg_3_10"/>
      <w:bookmarkStart w:id="653" w:name="Tc_PwVWlevjUUOLLM0Ux0I7Ng_3_7"/>
      <w:bookmarkStart w:id="654" w:name="Tc_OA2hihhIGEGG-KpJppZK2w_3_4"/>
      <w:bookmarkStart w:id="655" w:name="Tc_l-a70yeVg0Oor4QvR5wVow_2_10"/>
      <w:bookmarkStart w:id="656" w:name="Tc_5de3Rk4OckqP12pAPGzZlw_2_7"/>
      <w:bookmarkStart w:id="657" w:name="Tc_FDVMNBkal0-kZiQD7YjW9A_2_2"/>
      <w:bookmarkStart w:id="658" w:name="Tc_PvKdc2bwqkySoJZKJ4PeYw_1_10"/>
      <w:bookmarkStart w:id="659" w:name="_b37e51c8_13fe_428b_9ad1_1dea474ee262"/>
      <w:bookmarkStart w:id="660" w:name="Tc_hqgX10NhyUijOKLEl-DL1g_19_16"/>
      <w:bookmarkStart w:id="661" w:name="Tc_k3ROhqverEeIe9hlf1pG9w_19_13"/>
      <w:bookmarkStart w:id="662" w:name="Tc_e27pkWRFZk2a8cQ8lcfvcA_19_10"/>
      <w:bookmarkStart w:id="663" w:name="Tc_gsHy6nfcPk6ldZPug8DC_Q_19_7"/>
      <w:bookmarkStart w:id="664" w:name="Tc_Nf_sw6h8Vkyv5NfzUiPkhA_19_4"/>
      <w:bookmarkStart w:id="665" w:name="Tc_61SaYTcQbk255HLkEHgzwQ_19_0"/>
      <w:bookmarkStart w:id="666" w:name="Tc_T0Hs1AThhkGiPRSoUpZPFA_18_11"/>
      <w:bookmarkStart w:id="667" w:name="Tc_3vvaYB1ECkydY-F-0m-BEQ_18_8"/>
      <w:bookmarkStart w:id="668" w:name="Tc_fRpDaCvHDUqGTYz7lR_OQQ_18_5"/>
      <w:bookmarkStart w:id="669" w:name="Tc_cd1aT_8eo0C2WWnxl5E-ww_18_2"/>
      <w:bookmarkStart w:id="670" w:name="Tc_yReMhGVBjk-AMPofabKGAA_18_0"/>
      <w:bookmarkStart w:id="671" w:name="Tc_dkyguNqFskSXbAK9Z9utcg_17_11"/>
      <w:bookmarkStart w:id="672" w:name="Tc_rXgIjRSUiEGzP9DrIh5rcw_17_0"/>
      <w:bookmarkStart w:id="673" w:name="Tc_y5oDvFgFRECBE0ozoCdMgg_16_14"/>
      <w:bookmarkStart w:id="674" w:name="Tc_ppMFa4ePf0-bNKiOSFKsNA_16_11"/>
      <w:bookmarkStart w:id="675" w:name="Tc_5dV4eP1G_0-l0BBWZ5vrUg_16_5"/>
      <w:bookmarkStart w:id="676" w:name="Tc_8pyxH1-rYkiLQnGRrtuH4A_16_2"/>
      <w:bookmarkStart w:id="677" w:name="Tc_T6HsCkbt20627oovRMqmRw_16_0"/>
      <w:bookmarkStart w:id="678" w:name="Tc_sKKj7WPGoUS87k6AysY41w_15_14"/>
      <w:bookmarkStart w:id="679" w:name="Tc_9tI9YV3nbEq-MkRoeA5vdA_15_11"/>
      <w:bookmarkStart w:id="680" w:name="Tc_7g2Jfehev0GjruukKh_mUg_15_5"/>
      <w:bookmarkStart w:id="681" w:name="Tc_Tc7R9YL9VUKcWeatWIhLvg_15_2"/>
      <w:bookmarkStart w:id="682" w:name="Tc_tGGTVTL130yxgyCNR4K9ug_15_0"/>
      <w:bookmarkStart w:id="683" w:name="Tc_WIvtODKzx0GTOo_lJvFApg_14_14"/>
      <w:bookmarkStart w:id="684" w:name="Tc_8d4aRS3Jbk6EH-vePb8-Iw_14_8"/>
      <w:bookmarkStart w:id="685" w:name="Tc_r6_3JDRT2kaHga3SSwQOng_14_5"/>
      <w:bookmarkStart w:id="686" w:name="Tc_TZQ5_nxFNEabzKN3jYRvKQ_14_2"/>
      <w:bookmarkStart w:id="687" w:name="Tc_nvkEmvvxbkGrAQDx1jH4qQ_14_0"/>
      <w:bookmarkStart w:id="688" w:name="Tc_gD6_srdWSkK76iK1fbAN-g_13_11"/>
      <w:bookmarkStart w:id="689" w:name="Tc_U4aze51YqEOrYh-XwY98kA_13_8"/>
      <w:bookmarkStart w:id="690" w:name="Tc_WWMUd8k7CUGczA7CZGAE8Q_13_5"/>
      <w:bookmarkStart w:id="691" w:name="Tc_vrH7_TclBkatpb8GUNRqGw_13_2"/>
      <w:bookmarkStart w:id="692" w:name="Tc_etHh0cmM4EKpRy1eqIfrVQ_13_0"/>
      <w:bookmarkStart w:id="693" w:name="Tc_LLqrEgO8jEqhrrkaOYC6lw_12_0"/>
      <w:bookmarkStart w:id="694" w:name="Tc_Yd7qQGHmXEuQrO3AA35EpA_11_11"/>
      <w:bookmarkStart w:id="695" w:name="Tc_jEEMTsEL9kaFGciTvY9UkQ_11_8"/>
      <w:bookmarkStart w:id="696" w:name="Tc_MzrAvvpDvUOC0fDT0SoigQ_11_5"/>
      <w:bookmarkStart w:id="697" w:name="Tc_r8tGE2NQ-E2nKHg6U89dnA_11_2"/>
      <w:bookmarkStart w:id="698" w:name="Tc_1yTiu926O0eksOY3QEGVYg_11_0"/>
      <w:bookmarkStart w:id="699" w:name="Tc_Uocaz-LWFEWTZ8S54Tt1mw_10_11"/>
      <w:bookmarkStart w:id="700" w:name="Tc_jimXMpsnXkmCsX_FrpiFJQ_10_0"/>
      <w:bookmarkStart w:id="701" w:name="Tc_wEv2wF6mS0-ck2p38RYfTA_9_14"/>
      <w:bookmarkStart w:id="702" w:name="Tc_9kVnMcjYs0uKVYxYDXYgzQ_9_11"/>
      <w:bookmarkStart w:id="703" w:name="Tc_mEiF0qnGUkiVAxYMB49SjQ_9_0"/>
      <w:bookmarkStart w:id="704" w:name="Tc_4_fxn0XdHES_o3xdDRG9Ow_8_14"/>
      <w:bookmarkStart w:id="705" w:name="Tc_YpnfR8PPfUiTjBwXjTjIOQ_8_11"/>
      <w:bookmarkStart w:id="706" w:name="Tc_eRE_AcNavkyVPlIGWR3NvQ_8_5"/>
      <w:bookmarkStart w:id="707" w:name="Tc_c6yvom6jV0mIPPMtpxq4-A_8_2"/>
      <w:bookmarkStart w:id="708" w:name="Tc_eTsOk3ExSk29nc0IHUq3Vg_8_0"/>
      <w:bookmarkStart w:id="709" w:name="Tc_YebBx33cXkut8zVVpGok4A_7_14"/>
      <w:bookmarkStart w:id="710" w:name="Tc_l5wsDq0mw0m9IIMZY4vF_Q_7_8"/>
      <w:bookmarkStart w:id="711" w:name="Tc_IgyCk_H_vkSPe8_7wtWBWQ_7_5"/>
      <w:bookmarkStart w:id="712" w:name="Tc_EjxTjBknZkeA51vVCnRZLw_7_2"/>
      <w:bookmarkStart w:id="713" w:name="Tc_-hZLPWrFYEm1Tq3icpC_CQ_7_0"/>
      <w:bookmarkStart w:id="714" w:name="Tc_G0QW-C2SaE6i7UyMjEfAhw_6_11"/>
      <w:bookmarkStart w:id="715" w:name="Tc_9w47x_tcS0mlziDL6byEhA_6_8"/>
      <w:bookmarkStart w:id="716" w:name="Tc_0JzrSZQpSkyah993JCyf6Q_6_5"/>
      <w:bookmarkStart w:id="717" w:name="Tc_aG3rJ6XL-EOOLSOKNY-0XQ_6_2"/>
      <w:bookmarkStart w:id="718" w:name="Tc_UoW3K27fXUGppaahNAnRmg_6_0"/>
      <w:bookmarkStart w:id="719" w:name="Tc_lHh-R5mkgUKQVv_XRYZCDg_5_16"/>
      <w:bookmarkStart w:id="720" w:name="Tc_PUVybphNcEuHZCeX_41jqQ_5_13"/>
      <w:bookmarkStart w:id="721" w:name="Tc_Ug7Yw-cG0EGHEd3EeeguMA_5_10"/>
      <w:bookmarkStart w:id="722" w:name="Tc_KX7VBqjZW0-kbIrWS5_WDg_5_7"/>
      <w:bookmarkStart w:id="723" w:name="Tc_NQEZBWT41Eegu79reLAAnA_5_4"/>
      <w:bookmarkStart w:id="724" w:name="Tc_WjYL4xQQfU6xBGUHrr7tZw_5_0"/>
      <w:bookmarkStart w:id="725" w:name="Tc_s0gdUE0SbkGWZemgO3A2vQ_4_16"/>
      <w:bookmarkStart w:id="726" w:name="Tc_AYEUwyHV10arR70zI2XQrw_4_13"/>
      <w:bookmarkStart w:id="727" w:name="Tc_xJihhZrGuEioMy4nTuXvNg_4_10"/>
      <w:bookmarkStart w:id="728" w:name="Tc_We0bhaidvEqYtUw_iS2bXQ_4_7"/>
      <w:bookmarkStart w:id="729" w:name="Tc_LNY1-8fid0m79Ki0dsRM3w_4_4"/>
      <w:bookmarkStart w:id="730" w:name="Tc_bezBPIXRSUWDCtz-2exsGw_4_2"/>
      <w:bookmarkStart w:id="731" w:name="Tc_OB21gbXTGk68WRtRBqrKZA_4_0"/>
      <w:bookmarkStart w:id="732" w:name="Tc_gOYlWApoak-QI2I1WHhdbQ_3_13"/>
      <w:bookmarkStart w:id="733" w:name="Tc_KTtQH9b31kKJIf93aotACg_3_10"/>
      <w:bookmarkStart w:id="734" w:name="Tc_PwVWlevjUUOLLM0Ux0I7Ng_3_7"/>
      <w:bookmarkStart w:id="735" w:name="Tc_OA2hihhIGEGG-KpJppZK2w_3_4"/>
      <w:bookmarkStart w:id="736" w:name="Tc_l-a70yeVg0Oor4QvR5wVow_2_10"/>
      <w:bookmarkStart w:id="737" w:name="Tc_5de3Rk4OckqP12pAPGzZlw_2_7"/>
      <w:bookmarkStart w:id="738" w:name="Tc_FDVMNBkal0-kZiQD7YjW9A_2_2"/>
      <w:bookmarkStart w:id="739" w:name="Tc_PvKdc2bwqkySoJZKJ4PeYw_1_10"/>
      <w:bookmarkStart w:id="740" w:name="_b37e51c8_13fe_428b_9ad1_1dea474ee262"/>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tbl>
      <w:tblPr>
        <w:tblW w:w="10205" w:type="dxa"/>
        <w:jc w:val="left"/>
        <w:tblInd w:w="0" w:type="dxa"/>
        <w:tblLayout w:type="fixed"/>
        <w:tblCellMar>
          <w:top w:w="0" w:type="dxa"/>
          <w:left w:w="0" w:type="dxa"/>
          <w:bottom w:w="0" w:type="dxa"/>
          <w:right w:w="0" w:type="dxa"/>
        </w:tblCellMar>
      </w:tblPr>
      <w:tblGrid>
        <w:gridCol w:w="3272"/>
        <w:gridCol w:w="326"/>
        <w:gridCol w:w="511"/>
        <w:gridCol w:w="326"/>
        <w:gridCol w:w="211"/>
        <w:gridCol w:w="474"/>
        <w:gridCol w:w="326"/>
        <w:gridCol w:w="211"/>
        <w:gridCol w:w="579"/>
        <w:gridCol w:w="326"/>
        <w:gridCol w:w="339"/>
        <w:gridCol w:w="682"/>
        <w:gridCol w:w="326"/>
        <w:gridCol w:w="211"/>
        <w:gridCol w:w="721"/>
        <w:gridCol w:w="326"/>
        <w:gridCol w:w="211"/>
        <w:gridCol w:w="827"/>
      </w:tblGrid>
      <w:tr>
        <w:trPr/>
        <w:tc>
          <w:tcPr>
            <w:tcW w:w="3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7720" cy="175260"/>
                      <wp:effectExtent l="0" t="0" r="0" b="0"/>
                      <wp:wrapNone/>
                      <wp:docPr id="47" name="Frame47"/>
                      <a:graphic xmlns:a="http://schemas.openxmlformats.org/drawingml/2006/main">
                        <a:graphicData uri="http://schemas.microsoft.com/office/word/2010/wordprocessingShape">
                          <wps:wsp>
                            <wps:cNvSpPr txBox="1"/>
                            <wps:spPr>
                              <a:xfrm>
                                <a:off x="0" y="0"/>
                                <a:ext cx="2077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24485" cy="175260"/>
                      <wp:effectExtent l="0" t="0" r="0" b="0"/>
                      <wp:wrapNone/>
                      <wp:docPr id="49" name="Frame4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00990" cy="175260"/>
                      <wp:effectExtent l="0" t="0" r="0" b="0"/>
                      <wp:wrapNone/>
                      <wp:docPr id="52" name="Frame52"/>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67665" cy="175260"/>
                      <wp:effectExtent l="0" t="0" r="0" b="0"/>
                      <wp:wrapNone/>
                      <wp:docPr id="55" name="Frame55"/>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5265" cy="175260"/>
                      <wp:effectExtent l="0" t="0" r="0" b="0"/>
                      <wp:wrapNone/>
                      <wp:docPr id="57" name="Frame57"/>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3070" cy="175260"/>
                      <wp:effectExtent l="0" t="0" r="0" b="0"/>
                      <wp:wrapNone/>
                      <wp:docPr id="58" name="Frame58"/>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57835" cy="175260"/>
                      <wp:effectExtent l="0" t="0" r="0" b="0"/>
                      <wp:wrapNone/>
                      <wp:docPr id="61" name="Frame6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25145" cy="175260"/>
                      <wp:effectExtent l="0" t="0" r="0" b="0"/>
                      <wp:wrapNone/>
                      <wp:docPr id="64" name="Frame64"/>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2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Stated</w:t>
            </w:r>
          </w:p>
        </w:tc>
        <w:tc>
          <w:tcPr>
            <w:tcW w:w="326" w:type="dxa"/>
            <w:tcBorders/>
            <w:vAlign w:val="center"/>
          </w:tcPr>
          <w:p>
            <w:pPr>
              <w:pStyle w:val="TableContents"/>
              <w:bidi w:val="0"/>
              <w:spacing w:before="0" w:after="0"/>
              <w:ind w:left="0" w:right="0" w:hanging="0"/>
              <w:jc w:val="center"/>
              <w:rPr/>
            </w:pPr>
            <w:r>
              <w:rPr/>
              <w:t>​</w:t>
            </w:r>
          </w:p>
        </w:tc>
        <w:tc>
          <w:tcPr>
            <w:tcW w:w="79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 In</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center"/>
              <w:rPr/>
            </w:pPr>
            <w:r>
              <w:rPr/>
              <w:t>​</w:t>
            </w:r>
          </w:p>
        </w:tc>
        <w:tc>
          <w:tcPr>
            <w:tcW w:w="93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4"/>
              </w:rPr>
              <w:t>Retained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center"/>
              <w:rPr/>
            </w:pPr>
            <w:r>
              <w:rPr/>
              <w:t>​</w:t>
            </w:r>
          </w:p>
        </w:tc>
      </w:tr>
      <w:tr>
        <w:trPr/>
        <w:tc>
          <w:tcPr>
            <w:tcW w:w="32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(In millions, except per share amounts)</w:t>
            </w:r>
          </w:p>
        </w:tc>
        <w:tc>
          <w:tcPr>
            <w:tcW w:w="326" w:type="dxa"/>
            <w:tcBorders/>
            <w:vAlign w:val="center"/>
          </w:tcPr>
          <w:p>
            <w:pPr>
              <w:pStyle w:val="TableContents"/>
              <w:bidi w:val="0"/>
              <w:spacing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center"/>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Value</w:t>
            </w:r>
          </w:p>
        </w:tc>
        <w:tc>
          <w:tcPr>
            <w:tcW w:w="326" w:type="dxa"/>
            <w:tcBorders/>
            <w:vAlign w:val="center"/>
          </w:tcPr>
          <w:p>
            <w:pPr>
              <w:pStyle w:val="TableContents"/>
              <w:bidi w:val="0"/>
              <w:spacing w:before="0" w:after="0"/>
              <w:ind w:left="0" w:right="0" w:hanging="0"/>
              <w:jc w:val="center"/>
              <w:rPr/>
            </w:pPr>
            <w:r>
              <w:rPr/>
              <w:t>    </w:t>
            </w:r>
          </w:p>
        </w:tc>
        <w:tc>
          <w:tcPr>
            <w:tcW w:w="7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4"/>
              </w:rPr>
              <w:t>Total      </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290.4</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1,986.2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2,296.9</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34.0</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4.6</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(12.6)</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($0.31</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(11.3)</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March 31, 2023</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279.7</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2,270.3</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80.8</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7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5.2</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issued, net of shares withheld for employee taxes</w:t>
            </w:r>
          </w:p>
        </w:tc>
        <w:tc>
          <w:tcPr>
            <w:tcW w:w="32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7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c>
          <w:tcPr>
            <w:tcW w:w="326" w:type="dxa"/>
            <w:tcBorders/>
            <w:vAlign w:val="center"/>
          </w:tcPr>
          <w:p>
            <w:pPr>
              <w:pStyle w:val="TableContents"/>
              <w:bidi w:val="0"/>
              <w:spacing w:before="0" w:after="0"/>
              <w:ind w:left="0" w:right="0" w:hanging="0"/>
              <w:jc w:val="left"/>
              <w:rPr/>
            </w:pPr>
            <w:r>
              <w:rPr/>
              <w:t>​</w:t>
            </w:r>
          </w:p>
        </w:tc>
        <w:tc>
          <w:tcPr>
            <w:tcW w:w="339"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0.1</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Shares repurchased</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(42.4)</w:t>
            </w:r>
          </w:p>
        </w:tc>
      </w:tr>
      <w:tr>
        <w:trPr/>
        <w:tc>
          <w:tcPr>
            <w:tcW w:w="327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9"/>
              </w:rPr>
              <w:t>Dividends ($0.31</w:t>
            </w:r>
            <w:r>
              <w:rPr>
                <w:rFonts w:ascii="Times New Roman;Times;serif" w:hAnsi="Times New Roman;Times;serif"/>
                <w:sz w:val="18"/>
              </w:rPr>
              <w:t xml:space="preserve"> </w:t>
            </w:r>
            <w:r>
              <w:rPr>
                <w:rFonts w:ascii="Times New Roman;Times;serif" w:hAnsi="Times New Roman;Times;serif"/>
                <w:sz w:val="19"/>
              </w:rPr>
              <w:t>per share and $0.32</w:t>
            </w:r>
            <w:r>
              <w:rPr>
                <w:rFonts w:ascii="Times New Roman;Times;serif" w:hAnsi="Times New Roman;Times;serif"/>
                <w:sz w:val="18"/>
              </w:rPr>
              <w:t xml:space="preserve"> </w:t>
            </w:r>
            <w:r>
              <w:rPr>
                <w:rFonts w:ascii="Times New Roman;Times;serif" w:hAnsi="Times New Roman;Times;serif"/>
                <w:sz w:val="19"/>
              </w:rPr>
              <w:t>per share)</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(22.4)</w:t>
            </w:r>
          </w:p>
        </w:tc>
      </w:tr>
      <w:tr>
        <w:trPr/>
        <w:tc>
          <w:tcPr>
            <w:tcW w:w="3272"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Balance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4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26.3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5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282.7</w:t>
            </w:r>
          </w:p>
        </w:tc>
        <w:tc>
          <w:tcPr>
            <w:tcW w:w="326" w:type="dxa"/>
            <w:tcBorders/>
            <w:shd w:fill="CCEEFF" w:val="clear"/>
            <w:vAlign w:val="center"/>
          </w:tcPr>
          <w:p>
            <w:pPr>
              <w:pStyle w:val="TableContents"/>
              <w:bidi w:val="0"/>
              <w:spacing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1,988.9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82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2,290.0</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41" w:name="_2124ecda_eea0_417a_a685_27ca376a83e1"/>
      <w:bookmarkEnd w:id="741"/>
      <w:r>
        <w:rPr>
          <w:rFonts w:ascii="Times New Roman;Times;serif" w:hAnsi="Times New Roman;Times;serif"/>
          <w:b/>
          <w:sz w:val="20"/>
        </w:rPr>
        <w:t>MATSON, INC. AND SUBSIDIARIES</w:t>
      </w:r>
    </w:p>
    <w:p>
      <w:pPr>
        <w:pStyle w:val="TextBody"/>
        <w:bidi w:val="0"/>
        <w:spacing w:before="0" w:after="0"/>
        <w:ind w:left="0" w:right="0" w:hanging="0"/>
        <w:jc w:val="center"/>
        <w:rPr>
          <w:rFonts w:ascii="Times New Roman;Times;serif" w:hAnsi="Times New Roman;Times;serif"/>
          <w:b/>
          <w:sz w:val="20"/>
        </w:rPr>
      </w:pPr>
      <w:bookmarkStart w:id="742" w:name="NOTESTOTHECONDENSEDCONSOLIDATEDFINANICAL"/>
      <w:bookmarkEnd w:id="742"/>
      <w:r>
        <w:rPr>
          <w:rFonts w:ascii="Times New Roman;Times;serif" w:hAnsi="Times New Roman;Times;serif"/>
          <w:b/>
          <w:sz w:val="20"/>
        </w:rPr>
        <w:t>NOTES TO THE CONDENSED CONSOLIDATED FINANICAL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DESCRIPTION OF THE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Inc., a holding company incorporated in the State of Hawaii, and its subsidiaries (“Matson” or the “Company”), is a leading provider of ocean transportation and logistics services. The Company consists of two segments, Ocean Transportation and Logistics.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Ocean Transportation:</w:t>
      </w:r>
      <w:r>
        <w:rPr>
          <w:rFonts w:ascii="Times New Roman;Times;serif" w:hAnsi="Times New Roman;Times;serif"/>
          <w:sz w:val="20"/>
        </w:rPr>
        <w:t xml:space="preserve"> Matson’s Ocean Transportation business is conducted through Matson Navigation Company, Inc. (“MatNav”), a wholly-owned subsidiary of Matson, Inc. Founded in 1882, MatNav provides a vital lifeline of ocean freight transportation services to the domestic non-contiguous economies of Hawaii, Alaska and Guam, and to other island economies in Micronesia. MatNav also operates premium, expedited services from China to Long Beach, California, provides services to Okinawa, Japan and various islands in the South Pacific, and operates an international export service from Alaska to Asia. In addition, subsidiaries of MatNav provide stevedoring, refrigerated cargo services, inland transportation and other terminal services for MatNav on the Hawaiian islands of Oahu, Hawaii, Maui and Kauai, and for MatNav and an ocean carrier in Alaska.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Matson has a 35 percent ownership interest in SSA Terminals, LLC, a joint venture between Matson Ventures, Inc., a wholly-owned subsidiary of MatNav, and SSA Ventures, Inc., a subsidiary of Carrix, Inc. (“SSAT”). SSAT currently provides terminal and stevedoring services to various carriers at eight terminal facilities on the U.S. West Coast, including three facilities dedicated for MatNav’s use. Matson records its share of income from SSAT in costs and expenses in the Condensed Consolidated Statements of Income and Comprehensive Income, and within the Ocean Transportation segment due to the nature of SSAT’s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Logistics:</w:t>
      </w:r>
      <w:r>
        <w:rPr>
          <w:rFonts w:ascii="Times New Roman;Times;serif" w:hAnsi="Times New Roman;Times;serif"/>
          <w:sz w:val="20"/>
        </w:rPr>
        <w:t xml:space="preserve"> Matson’s logistics business is conducted through Matson Logistics, Inc. (“Matson Logistics”), a wholly-owned subsidiary of MatNav. Established in 1987, Matson Logistics extends the geographic reach of Matson’s transportation network throughout North America and Asia, and is an asset-light business that provides a variety of logistics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trans-loading, value-added packaging and distribution services (collectively, “Warehousing” services); and (iv) purchase order management, booking services, and non-vessel operating common carrier (“NVOCC”) freight forwarding services (collectively, “Supply Chain Management” services).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GENERAL AND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Basis of Presentation:</w:t>
      </w:r>
      <w:r>
        <w:rPr>
          <w:rFonts w:ascii="Times New Roman;Times;serif" w:hAnsi="Times New Roman;Times;serif"/>
          <w:sz w:val="20"/>
        </w:rPr>
        <w:t xml:space="preserve"> The Condensed Consolidated Financial Statements are unaudited, and include the accounts of Matson, Inc. and all wholly-owned subsidiaries, after elimination of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The Company accounts for its investment in SSAT using the equity method of accounting.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Due to the nature of the Company’s operations, the results for interim periods are not necessarily indicative of results to be expected for the year. These Condensed Consolidated Financial Statements reflect all normal recurring adjustments that are, in the opinion of management, necessary for fair presentation of the results of the interim periods, and do not include all of the information and footnotes required by U.S. generally accepted accounting principles for complete consolidated financial statements.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Condensed Consolidated Financial Statements should be read in conjunction with the Consolidated Financial Statements and notes thereto included in the Company’s Annual Report on Form 10-K for the year ended December 31, 2023, filed with the Securities and Exchange Commission (“SEC”) on February 23, 2024.</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743" w:name="Tc_JwJWCvUM4UGWIdaSH-8DDw_8_11"/>
      <w:bookmarkStart w:id="744" w:name="Tc_PgWCDuHKvUiBAqYQMLqN5w_8_8"/>
      <w:bookmarkStart w:id="745" w:name="Tc_Ij060uOayU-cy_xFP2ahvw_8_5"/>
      <w:bookmarkStart w:id="746" w:name="Tc_kXbAn9FprUmEhqTYQhZSNw_8_2"/>
      <w:bookmarkStart w:id="747" w:name="Tc_RJYW0F_pzUG4AsZIkdBXlA_8_0"/>
      <w:bookmarkStart w:id="748" w:name="Tc_whKV6WEsikGGyWYC_uiTlA_7_0"/>
      <w:bookmarkStart w:id="749" w:name="Tc_u3PS9iE34UO1Cqu5SKpGaw_6_0"/>
      <w:bookmarkStart w:id="750" w:name="Tc_T5HUCxjzDkGUGfwC7yXK7A_5_0"/>
      <w:bookmarkStart w:id="751" w:name="Tc_SASH_ueYSkGk-iQQGf7j2w_4_11"/>
      <w:bookmarkStart w:id="752" w:name="Tc_eT5ynfXbD0SPxXxmSbM5mg_4_8"/>
      <w:bookmarkStart w:id="753" w:name="Tc_JF0FlO0OskSh5aqIEPyfMA_4_5"/>
      <w:bookmarkStart w:id="754" w:name="Tc_MzvpyPs8IUOm1AFUTPqifw_4_2"/>
      <w:bookmarkStart w:id="755" w:name="Tc_3sTO5mnNwUi8K9Eh6dTyUA_4_0"/>
      <w:bookmarkStart w:id="756" w:name="Tc_tg2KOHa70UGy2sfHUukyZA_3_11"/>
      <w:bookmarkStart w:id="757" w:name="Tc_AC7hpqH8NEGBEpPTFmNYSQ_3_8"/>
      <w:bookmarkStart w:id="758" w:name="Tc_7ozQj96e20ynefgDyfWBQg_3_5"/>
      <w:bookmarkStart w:id="759" w:name="Tc_T14mxbHHk0a_WjsK_vLEwA_3_2"/>
      <w:bookmarkStart w:id="760" w:name="Tc_ly8RDrjbm0GKPkuJWxVsOQ_3_0"/>
      <w:bookmarkStart w:id="761" w:name="Tc_oPxG9OMuxkmax63xyE3ndA_2_8"/>
      <w:bookmarkStart w:id="762" w:name="Tc_LacoqWeygEivvsOCBZCe5g_2_2"/>
      <w:bookmarkStart w:id="763" w:name="Tc_4gQzaF53gE-mI_Mmjf0hjA_1_8"/>
      <w:bookmarkStart w:id="764" w:name="Tc_9_fcbq3hXUO6YV3d9wCe4A_1_2"/>
      <w:bookmarkStart w:id="765" w:name="_9c390c95_6a03_4dd1_88e9_a2cd103bb29e"/>
      <w:bookmarkStart w:id="766" w:name="Tc_W0vA-HCbWUSrXwgdEGrjuw_10_5"/>
      <w:bookmarkStart w:id="767" w:name="Tc_8deQpCvDZkuEZXIqasegQQ_10_2"/>
      <w:bookmarkStart w:id="768" w:name="Tc_FE-hulwCg0qkiulQr3DtPQ_10_0"/>
      <w:bookmarkStart w:id="769" w:name="Tc_xFcwdNZBMkiL6HspGrKM_Q_9_0"/>
      <w:bookmarkStart w:id="770" w:name="Tc_SNMlIq14x0SmFZBWICeBjg_8_0"/>
      <w:bookmarkStart w:id="771" w:name="Tc_qAWfYWzdfkSYerufz31G5A_7_0"/>
      <w:bookmarkStart w:id="772" w:name="Tc_Ph4XEdGW5EGa5PCw-_YQjw_6_0"/>
      <w:bookmarkStart w:id="773" w:name="Tc_Z_d_yuXcjkynxMXtDi9cZw_5_0"/>
      <w:bookmarkStart w:id="774" w:name="Tc_8dvLcInaQUygduQ_uhD_iw_4_0"/>
      <w:bookmarkStart w:id="775" w:name="Tc_A70FF0DS20e_d6y0lqpgBw_3_5"/>
      <w:bookmarkStart w:id="776" w:name="Tc_yohxTEbcn0i_yehBhXwblQ_3_2"/>
      <w:bookmarkStart w:id="777" w:name="Tc_XcqX4xkPiEuRg8I3trL4jQ_3_0"/>
      <w:bookmarkStart w:id="778" w:name="Tc_1AAD7MszSEydxbug01r1Cg_2_5"/>
      <w:bookmarkStart w:id="779" w:name="Tc_xROnz6cDq0K4NGT585SkQQ_2_2"/>
      <w:bookmarkStart w:id="780" w:name="Tc_QC1F1Avmq0y1rOhyfE7xPw_2_0"/>
      <w:bookmarkStart w:id="781" w:name="Tc_3IPYZqldcEOQ2xUTewJUqQ_1_5"/>
      <w:bookmarkStart w:id="782" w:name="Tc_hQ_yBBqBHECVUR2Zv9Oalw_1_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r>
        <w:rPr>
          <w:rFonts w:ascii="Times New Roman;Times;serif" w:hAnsi="Times New Roman;Times;serif"/>
          <w:b/>
          <w:i/>
          <w:sz w:val="20"/>
        </w:rPr>
        <w:t>Fiscal Period:</w:t>
      </w:r>
      <w:r>
        <w:rPr>
          <w:rFonts w:ascii="Times New Roman;Times;serif" w:hAnsi="Times New Roman;Times;serif"/>
          <w:sz w:val="20"/>
        </w:rPr>
        <w:t xml:space="preserve"> The period end for Matson covered by this report is June 30, 2024. The period end for MatNav and its subsidiaries covered by this report is June 28,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Significant Accounting Policies:</w:t>
      </w:r>
      <w:r>
        <w:rPr>
          <w:rFonts w:ascii="Times New Roman;Times;serif" w:hAnsi="Times New Roman;Times;serif"/>
          <w:sz w:val="20"/>
        </w:rPr>
        <w:t xml:space="preserve"> The Company’s significant accounting policies are described in Note 2 to the Consolidated Financial Statements included in Part II, Item 8 of the Company’s Annual Report on Form 10-K for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Use of Estimates:</w:t>
      </w:r>
      <w:r>
        <w:rPr>
          <w:rFonts w:ascii="Times New Roman;Times;serif" w:hAnsi="Times New Roman;Times;serif"/>
          <w:sz w:val="20"/>
        </w:rPr>
        <w:t xml:space="preserve"> The preparation of the interim Condensed Consolidated Financial Statements in conformity with accounting principles generally accepted in the U.S. requires management to make estimates and assumptions that affect the amounts reported. Estimates and assumptions are used for but not limited to: impairment of investments; impairment of long-lived assets, intangible assets and goodwill; capitalized interest; allowance for doubtful accounts and other receivables; legal contingencies; insurance reserves and other related liabilities; contingent acquisition related consideration; accrual estimates; pension and post-retirement estimates; multi-employer withdrawal liabilities; operating lease assets and liabilities; income (loss) from SSAT; and income taxes. Future results could be materially affected if actual results differ from these estimates and assumptions.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Prepaid Expenses and Other Assets:</w:t>
      </w:r>
      <w:r>
        <w:rPr>
          <w:rFonts w:ascii="Times New Roman;Times;serif" w:hAnsi="Times New Roman;Times;serif"/>
          <w:sz w:val="20"/>
        </w:rPr>
        <w:t xml:space="preserve"> Prepaid expenses and other assets consisted of the following at June 30, 2024 and December 31, 2023:</w:t>
      </w:r>
    </w:p>
    <w:p>
      <w:pPr>
        <w:pStyle w:val="TextBody"/>
        <w:bidi w:val="0"/>
        <w:spacing w:before="0" w:after="0"/>
        <w:ind w:left="0" w:right="0" w:hanging="0"/>
        <w:jc w:val="left"/>
        <w:rPr/>
      </w:pPr>
      <w:r>
        <w:rPr/>
        <w:t>​</w:t>
      </w:r>
    </w:p>
    <w:tbl>
      <w:tblPr>
        <w:tblW w:w="7039" w:type="dxa"/>
        <w:jc w:val="left"/>
        <w:tblInd w:w="0" w:type="dxa"/>
        <w:tblLayout w:type="fixed"/>
        <w:tblCellMar>
          <w:top w:w="0" w:type="dxa"/>
          <w:left w:w="0" w:type="dxa"/>
          <w:bottom w:w="0" w:type="dxa"/>
          <w:right w:w="0" w:type="dxa"/>
        </w:tblCellMar>
      </w:tblPr>
      <w:tblGrid>
        <w:gridCol w:w="4291"/>
        <w:gridCol w:w="326"/>
        <w:gridCol w:w="238"/>
        <w:gridCol w:w="527"/>
        <w:gridCol w:w="326"/>
        <w:gridCol w:w="307"/>
        <w:gridCol w:w="833"/>
        <w:gridCol w:w="191"/>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724785" cy="175260"/>
                      <wp:effectExtent l="0" t="0" r="0" b="0"/>
                      <wp:wrapNone/>
                      <wp:docPr id="65" name="Frame65"/>
                      <a:graphic xmlns:a="http://schemas.openxmlformats.org/drawingml/2006/main">
                        <a:graphicData uri="http://schemas.microsoft.com/office/word/2010/wordprocessingShape">
                          <wps:wsp>
                            <wps:cNvSpPr txBox="1"/>
                            <wps:spPr>
                              <a:xfrm>
                                <a:off x="0" y="0"/>
                                <a:ext cx="272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51130" cy="175260"/>
                      <wp:effectExtent l="0" t="0" r="0" b="0"/>
                      <wp:wrapNone/>
                      <wp:docPr id="67" name="Frame67"/>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34645" cy="175260"/>
                      <wp:effectExtent l="0" t="0" r="0" b="0"/>
                      <wp:wrapNone/>
                      <wp:docPr id="68" name="Frame68"/>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94945" cy="175260"/>
                      <wp:effectExtent l="0" t="0" r="0" b="0"/>
                      <wp:wrapNone/>
                      <wp:docPr id="70" name="Frame70"/>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28955" cy="175260"/>
                      <wp:effectExtent l="0" t="0" r="0" b="0"/>
                      <wp:wrapNone/>
                      <wp:docPr id="71" name="Frame71"/>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21285" cy="175260"/>
                      <wp:effectExtent l="0" t="0" r="0" b="0"/>
                      <wp:wrapNone/>
                      <wp:docPr id="72" name="Frame7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91" w:type="dxa"/>
            <w:tcBorders/>
            <w:vAlign w:val="center"/>
          </w:tcPr>
          <w:p>
            <w:pPr>
              <w:pStyle w:val="TableContents"/>
              <w:bidi w:val="0"/>
              <w:spacing w:before="0" w:after="0"/>
              <w:ind w:left="0" w:right="0" w:hanging="0"/>
              <w:jc w:val="left"/>
              <w:rPr/>
            </w:pPr>
            <w:r>
              <w:rPr/>
              <w:t> </w:t>
            </w:r>
          </w:p>
        </w:tc>
      </w:tr>
      <w:tr>
        <w:trPr/>
        <w:tc>
          <w:tcPr>
            <w:tcW w:w="42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Prepaid Expenses and Other Assets (in millions)</w:t>
            </w:r>
          </w:p>
        </w:tc>
        <w:tc>
          <w:tcPr>
            <w:tcW w:w="326" w:type="dxa"/>
            <w:tcBorders/>
            <w:vAlign w:val="center"/>
          </w:tcPr>
          <w:p>
            <w:pPr>
              <w:pStyle w:val="TableContents"/>
              <w:bidi w:val="0"/>
              <w:spacing w:before="0" w:after="0"/>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fuel</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 and insurance related receivables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leases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center"/>
              <w:rPr/>
            </w:pPr>
            <w:r>
              <w:rPr/>
              <w:t>​</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center"/>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center"/>
              <w:rPr/>
            </w:pPr>
            <w:r>
              <w:rPr/>
              <w:t>​</w:t>
            </w:r>
          </w:p>
        </w:tc>
        <w:tc>
          <w:tcPr>
            <w:tcW w:w="5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center"/>
              <w:rPr/>
            </w:pPr>
            <w:r>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 - vessel construction obligations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5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91" w:type="dxa"/>
            <w:tcBorders/>
            <w:vAlign w:val="center"/>
          </w:tcPr>
          <w:p>
            <w:pPr>
              <w:pStyle w:val="TableContents"/>
              <w:bidi w:val="0"/>
              <w:spacing w:before="0" w:after="0"/>
              <w:ind w:left="0" w:right="0" w:hanging="0"/>
              <w:jc w:val="left"/>
              <w:rPr/>
            </w:pPr>
            <w:r>
              <w:rPr/>
              <w:t>​</w:t>
            </w:r>
          </w:p>
        </w:tc>
      </w:tr>
      <w:tr>
        <w:trPr/>
        <w:tc>
          <w:tcPr>
            <w:tcW w:w="4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receivables at December 31, 2023 include a federal income tax refund related to the Company’s 2021 federal tax return of $118.6 million and other income tax receivables. On April 19, 2024, the Company received the federal income tax refund of $118.6 million and interest of $10.2 million earned on the federal income tax refund.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Construction Fund Investments:</w:t>
      </w:r>
      <w:r>
        <w:rPr>
          <w:rFonts w:ascii="Times New Roman;Times;serif" w:hAnsi="Times New Roman;Times;serif"/>
          <w:sz w:val="20"/>
        </w:rPr>
        <w:t xml:space="preserve"> Capital Construction Fund (“CCF”) investments are held in fixed-rate U.S. Treasuries with various maturity dates of up to three years. These held-to-maturity debt securities are initially recognized at cost and subsequently measured at accreted cost, less any expected credit losses. The accreted cost is adjusted for accretion of discounts to maturity. The Company has classified these securities as held-to-maturity as the Company has the intent and ability to hold such securities until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Recognition of Revenues and Expenses:</w:t>
      </w:r>
      <w:r>
        <w:rPr>
          <w:rFonts w:ascii="Times New Roman;Times;serif" w:hAnsi="Times New Roman;Times;serif"/>
          <w:sz w:val="20"/>
        </w:rPr>
        <w:t xml:space="preserve"> Revenue in the Company’s Condensed Consolidated Financial Statements is presented net of elimination of intercompany transactions. The following is a description of the Company’s principal revenue generating activities by segment, and the Company’s revenue recognition policy for each activity for the periods presented:</w:t>
      </w:r>
    </w:p>
    <w:p>
      <w:pPr>
        <w:pStyle w:val="TextBody"/>
        <w:bidi w:val="0"/>
        <w:spacing w:before="0" w:after="0"/>
        <w:ind w:left="0" w:right="0" w:hanging="0"/>
        <w:jc w:val="left"/>
        <w:rPr/>
      </w:pPr>
      <w:r>
        <w:rPr/>
        <w:t>​</w:t>
      </w:r>
    </w:p>
    <w:tbl>
      <w:tblPr>
        <w:tblW w:w="7801" w:type="dxa"/>
        <w:jc w:val="left"/>
        <w:tblInd w:w="0" w:type="dxa"/>
        <w:tblLayout w:type="fixed"/>
        <w:tblCellMar>
          <w:top w:w="0" w:type="dxa"/>
          <w:left w:w="0" w:type="dxa"/>
          <w:bottom w:w="0" w:type="dxa"/>
          <w:right w:w="0" w:type="dxa"/>
        </w:tblCellMar>
      </w:tblPr>
      <w:tblGrid>
        <w:gridCol w:w="3361"/>
        <w:gridCol w:w="109"/>
        <w:gridCol w:w="211"/>
        <w:gridCol w:w="571"/>
        <w:gridCol w:w="326"/>
        <w:gridCol w:w="211"/>
        <w:gridCol w:w="571"/>
        <w:gridCol w:w="146"/>
        <w:gridCol w:w="211"/>
        <w:gridCol w:w="721"/>
        <w:gridCol w:w="326"/>
        <w:gridCol w:w="211"/>
        <w:gridCol w:w="82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34235" cy="175260"/>
                      <wp:effectExtent l="0" t="0" r="0" b="0"/>
                      <wp:wrapNone/>
                      <wp:docPr id="73" name="Frame73"/>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62585" cy="175260"/>
                      <wp:effectExtent l="0" t="0" r="0" b="0"/>
                      <wp:wrapNone/>
                      <wp:docPr id="76" name="Frame7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62585" cy="175260"/>
                      <wp:effectExtent l="0" t="0" r="0" b="0"/>
                      <wp:wrapNone/>
                      <wp:docPr id="79" name="Frame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92710" cy="175260"/>
                      <wp:effectExtent l="0" t="0" r="0" b="0"/>
                      <wp:wrapNone/>
                      <wp:docPr id="80" name="Frame8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57835" cy="175260"/>
                      <wp:effectExtent l="0" t="0" r="0" b="0"/>
                      <wp:wrapNone/>
                      <wp:docPr id="82" name="Frame8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24510" cy="175260"/>
                      <wp:effectExtent l="0" t="0" r="0" b="0"/>
                      <wp:wrapNone/>
                      <wp:docPr id="85" name="Frame8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22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22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Ocean Transportation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605.8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1,145.3</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and other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Fuel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management and related services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1,167.9</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Ocean Transportation services revenues and fuel sales revenue categories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Ocean Transportation services revenue is recognized ratably over the duration of a voyage based on the relative transit time completed in each reporting period. Vessel operating costs and other ocean transportation operating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83" w:name="Tc_c63B4IZH9EOw0IHAZDCgMA_7_11"/>
      <w:bookmarkStart w:id="784" w:name="Tc_AYqMaFyIakWAOTIRN1KU-w_7_8"/>
      <w:bookmarkStart w:id="785" w:name="Tc_KATm76B0lUCXkdVpBjIYuw_7_5"/>
      <w:bookmarkStart w:id="786" w:name="Tc_zPbvTtK7vk24kf9V4Wc9Ew_7_2"/>
      <w:bookmarkStart w:id="787" w:name="Tc_lCWA4Q9p5kKqEGIW-IYP5g_7_0"/>
      <w:bookmarkStart w:id="788" w:name="Tc_JENfBkhisEW_B3fVSPFZJg_6_0"/>
      <w:bookmarkStart w:id="789" w:name="Tc_kCXr7KdFGEWhlQK5YZPOhg_5_0"/>
      <w:bookmarkStart w:id="790" w:name="Tc_r-3d6UYagkCdLjfqASsGhw_4_11"/>
      <w:bookmarkStart w:id="791" w:name="Tc_9GQp9vbKxUu11b6F0gZn2Q_4_8"/>
      <w:bookmarkStart w:id="792" w:name="Tc_h1iUdIqwJ0Kv3fsQIPmfNg_4_5"/>
      <w:bookmarkStart w:id="793" w:name="Tc_2dBW4CaYbU2_KBdDHHj7FA_4_2"/>
      <w:bookmarkStart w:id="794" w:name="Tc_BBLXx-6bl0CkYglUhkgjjA_4_0"/>
      <w:bookmarkStart w:id="795" w:name="Tc_r07cpFYPvk6RPgj3icCkcw_3_11"/>
      <w:bookmarkStart w:id="796" w:name="Tc_HJYJNi7ClUWPtkIJSEsvJA_3_8"/>
      <w:bookmarkStart w:id="797" w:name="Tc_IbR3xxOLIkqMYNsKo1tDhw_3_5"/>
      <w:bookmarkStart w:id="798" w:name="Tc_4iwEo82LwkWb0YptojgFbA_3_2"/>
      <w:bookmarkStart w:id="799" w:name="Tc_mgZGMNr6dU-dvPDpyN84KQ_3_0"/>
      <w:bookmarkStart w:id="800" w:name="Tc_ZhoaeRXkzEyJD-8xRB8vJA_2_8"/>
      <w:bookmarkStart w:id="801" w:name="Tc_6MnuMaNGk0qqTpA_uBJpeQ_2_2"/>
      <w:bookmarkStart w:id="802" w:name="Tc_6ig_IB2WiEq_BrBuLeR48Q_1_8"/>
      <w:bookmarkStart w:id="803" w:name="Tc_ZS5OYm2j_EG0mN5uBO3SaQ_1_2"/>
      <w:bookmarkStart w:id="804" w:name="_76ce7040_9d75_4809_bd50_999968a13d07"/>
      <w:bookmarkStart w:id="805" w:name="Tc_c63B4IZH9EOw0IHAZDCgMA_7_11"/>
      <w:bookmarkStart w:id="806" w:name="Tc_AYqMaFyIakWAOTIRN1KU-w_7_8"/>
      <w:bookmarkStart w:id="807" w:name="Tc_KATm76B0lUCXkdVpBjIYuw_7_5"/>
      <w:bookmarkStart w:id="808" w:name="Tc_zPbvTtK7vk24kf9V4Wc9Ew_7_2"/>
      <w:bookmarkStart w:id="809" w:name="Tc_lCWA4Q9p5kKqEGIW-IYP5g_7_0"/>
      <w:bookmarkStart w:id="810" w:name="Tc_JENfBkhisEW_B3fVSPFZJg_6_0"/>
      <w:bookmarkStart w:id="811" w:name="Tc_kCXr7KdFGEWhlQK5YZPOhg_5_0"/>
      <w:bookmarkStart w:id="812" w:name="Tc_r-3d6UYagkCdLjfqASsGhw_4_11"/>
      <w:bookmarkStart w:id="813" w:name="Tc_9GQp9vbKxUu11b6F0gZn2Q_4_8"/>
      <w:bookmarkStart w:id="814" w:name="Tc_h1iUdIqwJ0Kv3fsQIPmfNg_4_5"/>
      <w:bookmarkStart w:id="815" w:name="Tc_2dBW4CaYbU2_KBdDHHj7FA_4_2"/>
      <w:bookmarkStart w:id="816" w:name="Tc_BBLXx-6bl0CkYglUhkgjjA_4_0"/>
      <w:bookmarkStart w:id="817" w:name="Tc_r07cpFYPvk6RPgj3icCkcw_3_11"/>
      <w:bookmarkStart w:id="818" w:name="Tc_HJYJNi7ClUWPtkIJSEsvJA_3_8"/>
      <w:bookmarkStart w:id="819" w:name="Tc_IbR3xxOLIkqMYNsKo1tDhw_3_5"/>
      <w:bookmarkStart w:id="820" w:name="Tc_4iwEo82LwkWb0YptojgFbA_3_2"/>
      <w:bookmarkStart w:id="821" w:name="Tc_mgZGMNr6dU-dvPDpyN84KQ_3_0"/>
      <w:bookmarkStart w:id="822" w:name="Tc_ZhoaeRXkzEyJD-8xRB8vJA_2_8"/>
      <w:bookmarkStart w:id="823" w:name="Tc_6MnuMaNGk0qqTpA_uBJpeQ_2_2"/>
      <w:bookmarkStart w:id="824" w:name="Tc_6ig_IB2WiEq_BrBuLeR48Q_1_8"/>
      <w:bookmarkStart w:id="825" w:name="Tc_ZS5OYm2j_EG0mN5uBO3SaQ_1_2"/>
      <w:bookmarkStart w:id="826" w:name="_76ce7040_9d75_4809_bd50_999968a13d07"/>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costs, such as terminal operating overhead and selling, general and administrative expenses, are charged to operating costs as incurred.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Terminal and other related services revenue is recognized as the services are performed. Related costs are recognized as incurred.</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Fuel sales revenue and related costs are recognized when the Company has completed delivery of the product to the customer in accordance with the terms and conditions of the contract. </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management and related services revenue is recognized in proportion to the services completed. Related costs are recognized as incurred.</w:t>
            </w:r>
          </w:p>
        </w:tc>
      </w:tr>
    </w:tbl>
    <w:p>
      <w:pPr>
        <w:pStyle w:val="TextBody"/>
        <w:bidi w:val="0"/>
        <w:spacing w:before="0" w:after="0"/>
        <w:ind w:left="0" w:right="0" w:hanging="0"/>
        <w:jc w:val="left"/>
        <w:rPr/>
      </w:pPr>
      <w:r>
        <w:rPr/>
        <w:t>​</w:t>
      </w:r>
    </w:p>
    <w:p>
      <w:pPr>
        <w:pStyle w:val="TextBody"/>
        <w:bidi w:val="0"/>
        <w:spacing w:before="0" w:after="0"/>
        <w:ind w:left="360" w:right="0" w:hanging="0"/>
        <w:jc w:val="left"/>
        <w:rPr/>
      </w:pPr>
      <w:r>
        <w:rPr/>
        <w:t>​</w:t>
      </w:r>
    </w:p>
    <w:tbl>
      <w:tblPr>
        <w:tblW w:w="8552" w:type="dxa"/>
        <w:jc w:val="left"/>
        <w:tblInd w:w="0" w:type="dxa"/>
        <w:tblLayout w:type="fixed"/>
        <w:tblCellMar>
          <w:top w:w="0" w:type="dxa"/>
          <w:left w:w="0" w:type="dxa"/>
          <w:bottom w:w="0" w:type="dxa"/>
          <w:right w:w="0" w:type="dxa"/>
        </w:tblCellMar>
      </w:tblPr>
      <w:tblGrid>
        <w:gridCol w:w="4846"/>
        <w:gridCol w:w="109"/>
        <w:gridCol w:w="211"/>
        <w:gridCol w:w="571"/>
        <w:gridCol w:w="109"/>
        <w:gridCol w:w="211"/>
        <w:gridCol w:w="571"/>
        <w:gridCol w:w="146"/>
        <w:gridCol w:w="211"/>
        <w:gridCol w:w="571"/>
        <w:gridCol w:w="109"/>
        <w:gridCol w:w="211"/>
        <w:gridCol w:w="676"/>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077210" cy="175260"/>
                      <wp:effectExtent l="0" t="0" r="0" b="0"/>
                      <wp:wrapNone/>
                      <wp:docPr id="86" name="Frame86"/>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62585" cy="175260"/>
                      <wp:effectExtent l="0" t="0" r="0" b="0"/>
                      <wp:wrapNone/>
                      <wp:docPr id="89" name="Frame8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3985" cy="175260"/>
                      <wp:effectExtent l="0" t="0" r="0" b="0"/>
                      <wp:wrapNone/>
                      <wp:docPr id="91" name="Frame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62585" cy="175260"/>
                      <wp:effectExtent l="0" t="0" r="0" b="0"/>
                      <wp:wrapNone/>
                      <wp:docPr id="92" name="Frame9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92710" cy="175260"/>
                      <wp:effectExtent l="0" t="0" r="0" b="0"/>
                      <wp:wrapNone/>
                      <wp:docPr id="93" name="Frame9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362585" cy="175260"/>
                      <wp:effectExtent l="0" t="0" r="0" b="0"/>
                      <wp:wrapNone/>
                      <wp:docPr id="95" name="Frame9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7" name="Frame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9260" cy="175260"/>
                      <wp:effectExtent l="0" t="0" r="0" b="0"/>
                      <wp:wrapNone/>
                      <wp:docPr id="98" name="Frame9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177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8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7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177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Logistics (in millions) (1)</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Transportation Brokerage and Freight Forwarding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Warehousing and distribution services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Management services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310.3</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revenue transactions are primarily denominated in U.S. dollars except for less than 3</w:t>
            </w:r>
            <w:r>
              <w:rPr>
                <w:caps w:val="false"/>
                <w:smallCaps w:val="false"/>
              </w:rPr>
              <w:t> </w:t>
            </w:r>
            <w:r>
              <w:rPr>
                <w:rFonts w:ascii="Times New Roman;Times;serif" w:hAnsi="Times New Roman;Times;serif"/>
                <w:b w:val="false"/>
                <w:i w:val="false"/>
                <w:caps w:val="false"/>
                <w:smallCaps w:val="false"/>
                <w:sz w:val="16"/>
              </w:rPr>
              <w:t xml:space="preserve">percent of transportation brokerage and freight forwarding services revenue and supply chain management services revenue categories which are denominated in foreign currencies. </w:t>
            </w:r>
          </w:p>
        </w:tc>
      </w:tr>
    </w:tbl>
    <w:p>
      <w:pPr>
        <w:pStyle w:val="TextBody"/>
        <w:bidi w:val="0"/>
        <w:spacing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Transportation Brokerage and Freight Forwarding services revenue consists of amounts billed to customers for services provided. The primary costs include third-party purchased transportation services, agent commissions, labor and equipment. Revenue and the related purchased third-party transportation costs are recognized over the duration of a delivery based upon the relative transit time completed in each reporting period. Labor, agent commissions, and other operating costs are expensed as incurred. The Company reports revenue on a gross basis as the Company serves as the principal in these transactions because it is responsible for fulfilling the contractual arrangements with the customer and has latitude in establishing prices.</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Warehousing and distribution services revenue consist of amounts billed to customers for storage, handling, and value-added packaging of customer merchandise. Storage revenue is recognized in the month the service is provided to the customer. Storage related costs are recognized as incurred. Other warehousing and distribution services revenue and related costs are recognized in proportion to the services performed. </w:t>
            </w:r>
          </w:p>
        </w:tc>
      </w:tr>
    </w:tbl>
    <w:tbl>
      <w:tblPr>
        <w:tblW w:w="9977" w:type="dxa"/>
        <w:jc w:val="left"/>
        <w:tblInd w:w="0" w:type="dxa"/>
        <w:tblLayout w:type="fixed"/>
        <w:tblCellMar>
          <w:top w:w="0" w:type="dxa"/>
          <w:left w:w="0" w:type="dxa"/>
          <w:bottom w:w="0" w:type="dxa"/>
          <w:right w:w="0" w:type="dxa"/>
        </w:tblCellMar>
      </w:tblPr>
      <w:tblGrid>
        <w:gridCol w:w="301"/>
        <w:gridCol w:w="9676"/>
      </w:tblGrid>
      <w:tr>
        <w:trPr/>
        <w:tc>
          <w:tcPr>
            <w:tcW w:w="301" w:type="dxa"/>
            <w:tcBorders/>
            <w:vAlign w:val="center"/>
          </w:tcPr>
          <w:p>
            <w:pPr>
              <w:pStyle w:val="TableContents"/>
              <w:bidi w:val="0"/>
              <w:spacing w:before="0" w:after="283"/>
              <w:jc w:val="left"/>
              <w:rPr/>
            </w:pPr>
            <w:r>
              <w:rPr/>
              <w:t>◾</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Management services revenue, and related costs are recognized in proportion to the services performed.</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generally invoices its customers at the commencement of the voyage or the transportation service being provided, or as other services are being performed. Revenue is deferred when services are invoiced in advance to the customer. The Company’s receivables are classified as short-term as collection terms are for periods of less than one year. The Company expenses sales commissions and contract acquisition costs as incurred because the amounts are generally immaterial. These expenses are included in selling, general and administrative expenses in the Condensed Consolidated Statements of Income and Comprehensive Income.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Capitalized Interest:</w:t>
      </w:r>
      <w:r>
        <w:rPr>
          <w:rFonts w:ascii="Times New Roman;Times;serif" w:hAnsi="Times New Roman;Times;serif"/>
          <w:sz w:val="20"/>
        </w:rPr>
        <w:t xml:space="preserve"> The Company capitalizes interest costs during the period as the qualified assets are being readied for their intended use. The Company determined that the vessel construction costs are considered qualifying assets for the purposes of capitalizing interest on these assets. The amount of capitalized interest is calculated based on the amount of expenditures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Condensed Consolidated Balance Sheets (see Note 5). The Company capitalized $1.0 million and $0.5 million of interest related to the construction of new vessels for the three months ended June 30, 2024 and 2023, and $1.8 million and $0.9 million for the six months ended June 30, 2024 and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Dividends:</w:t>
      </w:r>
      <w:r>
        <w:rPr>
          <w:rFonts w:ascii="Times New Roman;Times;serif" w:hAnsi="Times New Roman;Times;serif"/>
          <w:sz w:val="20"/>
        </w:rPr>
        <w:t xml:space="preserve"> The Company’s second quarter 2024 cash dividend of $0.32 per share was paid on June 6, 2024. On June 27, 2024, the Company’s Board of Directors declared a cash dividend of $0.34 per share payable on September 5, 2024 to shareholders of record on August 1,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and six months ended June 30, 2024, the Company repurchased approximately 0.6 million and 1.0 million shares for a total cost of $72.2 million and $121.1 million, respectively. As of June 30, 2024, the maximum number of remaining shares that may be repurchased under the Company’s share repurchase program was approximately 1.4 million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New Accounting Pronouncements:</w:t>
      </w:r>
      <w:r>
        <w:rPr>
          <w:rFonts w:ascii="Times New Roman;Times;serif" w:hAnsi="Times New Roman;Times;serif"/>
          <w:sz w:val="20"/>
        </w:rPr>
        <w:t xml:space="preserve"> In November 2023, the Financial Accounting Standards Board (“FASB”) issued Accounting Standard Update (“ASU”) 2023-07, Segment Reporting (Topic 280): Improvements to Reportable Segment Disclosures (“ASU 2023-07”). ASU 2023-07 requires disclosure of incremental segment information on an annual and interim basis. The ASU is effective for fiscal years beginning after December 15, 2023, and interim periods within fiscal years beginning after December 15, 2024, and requires retrospective application to all prior periods presented in the financial statements. Early adoption is permitted. The Company is currently evaluating the effects of adopting ASU 2023-07 but does not expect it will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December 2023, the FASB issued ASU 2023-09, Improvements to Income Tax Disclosures (“ASU 2023-09”). ASU 2023-09 requires disaggregated information about a reporting entity’s effective tax rate reconciliation as well as information on income taxes paid. ASU 2023-09 is effective for annual periods beginning after December 15, 2024, and interim periods within fiscal years beginning after December 15, 2025. The Company is currently evaluating the effects of adoption ASU 2023-09 but does not expect it to have a material impact on the Company’s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827" w:name="Tc_VDC1EH8MSEKz3Jyfxrqr0Q_17_11"/>
      <w:bookmarkStart w:id="828" w:name="Tc_s4qMfGIgrUaYni7JtYtAgA_17_8"/>
      <w:bookmarkStart w:id="829" w:name="Tc_Mz9T_cWOY02ZPsOb95Hj3g_17_5"/>
      <w:bookmarkStart w:id="830" w:name="Tc_iHdsmSbSVECx4FUb9IstlQ_17_2"/>
      <w:bookmarkStart w:id="831" w:name="Tc_TYpGthu3x0KG_erBYDoUMQ_17_0"/>
      <w:bookmarkStart w:id="832" w:name="Tc_j53FSdf82EO03cDp6pKBZA_16_0"/>
      <w:bookmarkStart w:id="833" w:name="Tc_3jf8O-PXRkS8eCeM2r3kLQ_15_0"/>
      <w:bookmarkStart w:id="834" w:name="Tc_RKHZnPel0kyclUQx0-sSow_14_0"/>
      <w:bookmarkStart w:id="835" w:name="Tc_OZCHok5fuUO1FMidDFL6uQ_13_0"/>
      <w:bookmarkStart w:id="836" w:name="Tc_MaKsjLbdvUaKTlAcm1VO8g_12_0"/>
      <w:bookmarkStart w:id="837" w:name="Tc_eJ5uWjB-QkGzEqdbT8Abxg_11_0"/>
      <w:bookmarkStart w:id="838" w:name="Tc_wyMNhczBZ0Wh4eynTScPRQ_10_0"/>
      <w:bookmarkStart w:id="839" w:name="Tc_5-pX7H-BuEOVJ5j-_rtD2A_9_11"/>
      <w:bookmarkStart w:id="840" w:name="Tc_gZ5kdzYrX02xdIaw0SrMIg_9_8"/>
      <w:bookmarkStart w:id="841" w:name="Tc_ZU9jwCUYw0iaaHcUysPzRQ_9_5"/>
      <w:bookmarkStart w:id="842" w:name="Tc_NbiluRqnFEaVC_9E7z7XlA_9_2"/>
      <w:bookmarkStart w:id="843" w:name="Tc_vWATI-UcEEit7vwgufVGiQ_9_0"/>
      <w:bookmarkStart w:id="844" w:name="Tc_dyxGypfADEuBOUA1rXwQ4g_8_0"/>
      <w:bookmarkStart w:id="845" w:name="Tc_1D40-7zZNUux4HO_gWRxZw_7_11"/>
      <w:bookmarkStart w:id="846" w:name="Tc_iiwC0RzKhkmscDu3puRN3w_7_8"/>
      <w:bookmarkStart w:id="847" w:name="Tc_nfLDVmVqqk-Pl6rsz41rag_7_5"/>
      <w:bookmarkStart w:id="848" w:name="Tc_y023m5lduUec5uZ55skEdQ_7_2"/>
      <w:bookmarkStart w:id="849" w:name="Tc_hg3SwfJsKEe8Kh_la-CkEw_7_0"/>
      <w:bookmarkStart w:id="850" w:name="Tc_7mJ4FxvDSEeE_GTgCwhldg_6_0"/>
      <w:bookmarkStart w:id="851" w:name="Tc_w87GNCZWiEGvSlVzMyCO9A_5_11"/>
      <w:bookmarkStart w:id="852" w:name="Tc_gRbXDKcLHUyRTHYmHKfoRg_5_8"/>
      <w:bookmarkStart w:id="853" w:name="Tc_3DLW5iB9wUq02ThjUJRRBg_5_5"/>
      <w:bookmarkStart w:id="854" w:name="Tc_OcQb68dSu0a8cwgAvJyN6g_5_2"/>
      <w:bookmarkStart w:id="855" w:name="Tc__AqMKoEekUKI6HMz8MPPvw_5_0"/>
      <w:bookmarkStart w:id="856" w:name="Tc_umXWLkrAgk208-fqN4V46w_4_0"/>
      <w:bookmarkStart w:id="857" w:name="Tc_B1qTFIdWU06-YtO2vvdFGg_3_11"/>
      <w:bookmarkStart w:id="858" w:name="Tc_qUWFzNqvT0Gi3KW1Qc391Q_3_8"/>
      <w:bookmarkStart w:id="859" w:name="Tc_3ruz5Dt4JkenpZ9OpDtkNg_3_5"/>
      <w:bookmarkStart w:id="860" w:name="Tc_lWYVkH8mRUqg4hS0YEj49A_3_2"/>
      <w:bookmarkStart w:id="861" w:name="Tc_GScWmXit3USYcf0yykSnxg_3_0"/>
      <w:bookmarkStart w:id="862" w:name="Tc_Qy-DLq429USyfbYdaYIzHQ_2_8"/>
      <w:bookmarkStart w:id="863" w:name="Tc_cG2vVDOZT0iLvFiLaXHx0w_2_2"/>
      <w:bookmarkStart w:id="864" w:name="Tc__TW5Y2ijVkOgJ6NRoWFLpg_1_8"/>
      <w:bookmarkStart w:id="865" w:name="Tc_jGscJhNA6kWDlK_42E-Kjw_1_2"/>
      <w:bookmarkStart w:id="866" w:name="_0d7445f0_de78_4027_9356_82ced491309f"/>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REPORTABLE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consists of two reportable segments, Ocean Transportation and Logistics, which are further described in Note 1. Reportable segments are measured based on operating income. In arrangements where the customer purchases ocean transportation and logistics services, the revenues are allocated to each reportable segment based upon the contractual amounts for each type of service. The Company’s SSAT segment has been aggregated into the Company’s Ocean Transportation segment due to the operations of SSAT being an integral part of the Company’s Ocean Transportation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Company’s Ocean Transportation segment provides ocean transportation services to the Logistics segment, and the Logistics segment provides logistics services to the Ocean Transportation segment in certain transactions. Accordingly, inter-segment revenue of $61.8 million and $54.4 million for the three months ended June 30, 2024 and 2023, and $108.4 million and $94.5 million for the six months ended June 30, 2024 and 2023, respectively, have been eliminated from operating revenues in the table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Reportable segment financial information for the three and six months ended June 30, 2024 and 2023 are as follows:</w:t>
      </w:r>
    </w:p>
    <w:p>
      <w:pPr>
        <w:pStyle w:val="TextBody"/>
        <w:bidi w:val="0"/>
        <w:spacing w:before="0" w:after="0"/>
        <w:ind w:left="0" w:right="0" w:hanging="0"/>
        <w:jc w:val="left"/>
        <w:rPr/>
      </w:pPr>
      <w:r>
        <w:rPr/>
        <w:t>​</w:t>
      </w:r>
    </w:p>
    <w:tbl>
      <w:tblPr>
        <w:tblW w:w="7193" w:type="dxa"/>
        <w:jc w:val="left"/>
        <w:tblInd w:w="0" w:type="dxa"/>
        <w:tblLayout w:type="fixed"/>
        <w:tblCellMar>
          <w:top w:w="0" w:type="dxa"/>
          <w:left w:w="0" w:type="dxa"/>
          <w:bottom w:w="0" w:type="dxa"/>
          <w:right w:w="0" w:type="dxa"/>
        </w:tblCellMar>
      </w:tblPr>
      <w:tblGrid>
        <w:gridCol w:w="2386"/>
        <w:gridCol w:w="326"/>
        <w:gridCol w:w="211"/>
        <w:gridCol w:w="586"/>
        <w:gridCol w:w="326"/>
        <w:gridCol w:w="211"/>
        <w:gridCol w:w="586"/>
        <w:gridCol w:w="326"/>
        <w:gridCol w:w="211"/>
        <w:gridCol w:w="721"/>
        <w:gridCol w:w="326"/>
        <w:gridCol w:w="211"/>
        <w:gridCol w:w="766"/>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515110" cy="175260"/>
                      <wp:effectExtent l="0" t="0" r="0" b="0"/>
                      <wp:wrapNone/>
                      <wp:docPr id="99" name="Frame99"/>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72110" cy="175260"/>
                      <wp:effectExtent l="0" t="0" r="0" b="0"/>
                      <wp:wrapNone/>
                      <wp:docPr id="102" name="Frame10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372110" cy="175260"/>
                      <wp:effectExtent l="0" t="0" r="0" b="0"/>
                      <wp:wrapNone/>
                      <wp:docPr id="105" name="Frame10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57835" cy="175260"/>
                      <wp:effectExtent l="0" t="0" r="0" b="0"/>
                      <wp:wrapNone/>
                      <wp:docPr id="108" name="Frame10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33985" cy="175260"/>
                      <wp:effectExtent l="0" t="0" r="0" b="0"/>
                      <wp:wrapNone/>
                      <wp:docPr id="110" name="Frame1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86410" cy="175260"/>
                      <wp:effectExtent l="0" t="0" r="0" b="0"/>
                      <wp:wrapNone/>
                      <wp:docPr id="111" name="Frame11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23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3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2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3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1,167.9</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1,478.2</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r>
      <w:tr>
        <w:trPr/>
        <w:tc>
          <w:tcPr>
            <w:tcW w:w="2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23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114.8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operating revenue excludes inter-segment revenue of $22.8</w:t>
            </w:r>
            <w:r>
              <w:rPr>
                <w:caps w:val="false"/>
                <w:smallCaps w:val="false"/>
              </w:rPr>
              <w:t> </w:t>
            </w:r>
            <w:r>
              <w:rPr>
                <w:rFonts w:ascii="Times New Roman;Times;serif" w:hAnsi="Times New Roman;Times;serif"/>
                <w:b w:val="false"/>
                <w:i w:val="false"/>
                <w:caps w:val="false"/>
                <w:smallCaps w:val="false"/>
                <w:sz w:val="16"/>
              </w:rPr>
              <w:t>million and $19.0</w:t>
            </w:r>
            <w:r>
              <w:rPr>
                <w:caps w:val="false"/>
                <w:smallCaps w:val="false"/>
              </w:rPr>
              <w:t> </w:t>
            </w:r>
            <w:r>
              <w:rPr>
                <w:rFonts w:ascii="Times New Roman;Times;serif" w:hAnsi="Times New Roman;Times;serif"/>
                <w:b w:val="false"/>
                <w:i w:val="false"/>
                <w:caps w:val="false"/>
                <w:smallCaps w:val="false"/>
                <w:sz w:val="16"/>
              </w:rPr>
              <w:t>million for the three months ended June 30, 2024 and 2023, and $42.5</w:t>
            </w:r>
            <w:r>
              <w:rPr>
                <w:caps w:val="false"/>
                <w:smallCaps w:val="false"/>
              </w:rPr>
              <w:t> </w:t>
            </w:r>
            <w:r>
              <w:rPr>
                <w:rFonts w:ascii="Times New Roman;Times;serif" w:hAnsi="Times New Roman;Times;serif"/>
                <w:b w:val="false"/>
                <w:i w:val="false"/>
                <w:caps w:val="false"/>
                <w:smallCaps w:val="false"/>
                <w:sz w:val="16"/>
              </w:rPr>
              <w:t>million and $35.1</w:t>
            </w:r>
            <w:r>
              <w:rPr>
                <w:caps w:val="false"/>
                <w:smallCaps w:val="false"/>
              </w:rPr>
              <w:t> </w:t>
            </w:r>
            <w:r>
              <w:rPr>
                <w:rFonts w:ascii="Times New Roman;Times;serif" w:hAnsi="Times New Roman;Times;serif"/>
                <w:b w:val="false"/>
                <w:i w:val="false"/>
                <w:caps w:val="false"/>
                <w:smallCaps w:val="false"/>
                <w:sz w:val="16"/>
              </w:rPr>
              <w:t>million for the six months ended June 30, 2024 and 2023, respectively.</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0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Logistics operating revenue excludes inter-segment revenue of $39.0</w:t>
            </w:r>
            <w:r>
              <w:rPr>
                <w:caps w:val="false"/>
                <w:smallCaps w:val="false"/>
              </w:rPr>
              <w:t> </w:t>
            </w:r>
            <w:r>
              <w:rPr>
                <w:rFonts w:ascii="Times New Roman;Times;serif" w:hAnsi="Times New Roman;Times;serif"/>
                <w:b w:val="false"/>
                <w:i w:val="false"/>
                <w:caps w:val="false"/>
                <w:smallCaps w:val="false"/>
                <w:sz w:val="16"/>
              </w:rPr>
              <w:t>million and $35.4</w:t>
            </w:r>
            <w:r>
              <w:rPr>
                <w:caps w:val="false"/>
                <w:smallCaps w:val="false"/>
              </w:rPr>
              <w:t> </w:t>
            </w:r>
            <w:r>
              <w:rPr>
                <w:rFonts w:ascii="Times New Roman;Times;serif" w:hAnsi="Times New Roman;Times;serif"/>
                <w:b w:val="false"/>
                <w:i w:val="false"/>
                <w:caps w:val="false"/>
                <w:smallCaps w:val="false"/>
                <w:sz w:val="16"/>
              </w:rPr>
              <w:t>million for the three months ended June 30, 2024 and 2023, and $65.9</w:t>
            </w:r>
            <w:r>
              <w:rPr>
                <w:caps w:val="false"/>
                <w:smallCaps w:val="false"/>
              </w:rPr>
              <w:t> </w:t>
            </w:r>
            <w:r>
              <w:rPr>
                <w:rFonts w:ascii="Times New Roman;Times;serif" w:hAnsi="Times New Roman;Times;serif"/>
                <w:b w:val="false"/>
                <w:i w:val="false"/>
                <w:caps w:val="false"/>
                <w:smallCaps w:val="false"/>
                <w:sz w:val="16"/>
              </w:rPr>
              <w:t>million and $59.4</w:t>
            </w:r>
            <w:r>
              <w:rPr>
                <w:caps w:val="false"/>
                <w:smallCaps w:val="false"/>
              </w:rPr>
              <w:t> </w:t>
            </w:r>
            <w:r>
              <w:rPr>
                <w:rFonts w:ascii="Times New Roman;Times;serif" w:hAnsi="Times New Roman;Times;serif"/>
                <w:b w:val="false"/>
                <w:i w:val="false"/>
                <w:caps w:val="false"/>
                <w:smallCaps w:val="false"/>
                <w:sz w:val="16"/>
              </w:rPr>
              <w:t xml:space="preserve">million for the six months ended June 30, 2024 and 2023, respectively.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99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Ocean Transportation segment information includes net income (loss) of $1.2</w:t>
            </w:r>
            <w:r>
              <w:rPr>
                <w:caps w:val="false"/>
                <w:smallCaps w:val="false"/>
              </w:rPr>
              <w:t> </w:t>
            </w:r>
            <w:r>
              <w:rPr>
                <w:rFonts w:ascii="Times New Roman;Times;serif" w:hAnsi="Times New Roman;Times;serif"/>
                <w:b w:val="false"/>
                <w:i w:val="false"/>
                <w:caps w:val="false"/>
                <w:smallCaps w:val="false"/>
                <w:sz w:val="16"/>
              </w:rPr>
              <w:t>million and $(1.4)</w:t>
            </w:r>
            <w:r>
              <w:rPr>
                <w:caps w:val="false"/>
                <w:smallCaps w:val="false"/>
              </w:rPr>
              <w:t> </w:t>
            </w:r>
            <w:r>
              <w:rPr>
                <w:rFonts w:ascii="Times New Roman;Times;serif" w:hAnsi="Times New Roman;Times;serif"/>
                <w:b w:val="false"/>
                <w:i w:val="false"/>
                <w:caps w:val="false"/>
                <w:smallCaps w:val="false"/>
                <w:sz w:val="16"/>
              </w:rPr>
              <w:t>million from the Company’s equity investment in SSAT for the three months ended June 30, 2024 and 2023, and $1.6</w:t>
            </w:r>
            <w:r>
              <w:rPr>
                <w:caps w:val="false"/>
                <w:smallCaps w:val="false"/>
              </w:rPr>
              <w:t> </w:t>
            </w:r>
            <w:r>
              <w:rPr>
                <w:rFonts w:ascii="Times New Roman;Times;serif" w:hAnsi="Times New Roman;Times;serif"/>
                <w:b w:val="false"/>
                <w:i w:val="false"/>
                <w:caps w:val="false"/>
                <w:smallCaps w:val="false"/>
                <w:sz w:val="16"/>
              </w:rPr>
              <w:t>million and $(3.2)</w:t>
            </w:r>
            <w:r>
              <w:rPr>
                <w:caps w:val="false"/>
                <w:smallCaps w:val="false"/>
              </w:rPr>
              <w:t> </w:t>
            </w:r>
            <w:r>
              <w:rPr>
                <w:rFonts w:ascii="Times New Roman;Times;serif" w:hAnsi="Times New Roman;Times;serif"/>
                <w:b w:val="false"/>
                <w:i w:val="false"/>
                <w:caps w:val="false"/>
                <w:smallCaps w:val="false"/>
                <w:sz w:val="16"/>
              </w:rPr>
              <w:t>million for the six months ended June 30, 2024 and 2023,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67" w:name="Tc_n_edZSNHCkqbnmjdUroD9w_8_11"/>
      <w:bookmarkStart w:id="868" w:name="Tc_7x-F9FwCCE-wsQoR2JQ6VA_8_8"/>
      <w:bookmarkStart w:id="869" w:name="Tc_EWP9xsmlZ0SUdIgqmG7Teg_8_5"/>
      <w:bookmarkStart w:id="870" w:name="Tc_cMYh1Ck-uEaPK9vWIXlAQQ_8_2"/>
      <w:bookmarkStart w:id="871" w:name="Tc_MGuyM4SF9Uagv1ltyd1eeg_8_0"/>
      <w:bookmarkStart w:id="872" w:name="Tc_-TXMgjF2LEqZ4vmr1DlfpA_7_11"/>
      <w:bookmarkStart w:id="873" w:name="Tc_NIvaITdv_Eied4C9kx88Pg_7_8"/>
      <w:bookmarkStart w:id="874" w:name="Tc_DH4dgZCWRUCITdCRt4VqyQ_7_5"/>
      <w:bookmarkStart w:id="875" w:name="Tc_3qzbDkZTtkaJ_oT-gY4XHg_7_2"/>
      <w:bookmarkStart w:id="876" w:name="Tc_-omGQZm1O0Sa5NawcuCxXw_7_0"/>
      <w:bookmarkStart w:id="877" w:name="Tc_Ja4L1LpbKkeURsjAPv4rig_6_0"/>
      <w:bookmarkStart w:id="878" w:name="Tc_ZWzsdVyEPk2yKZZ2WJ8GpQ_5_0"/>
      <w:bookmarkStart w:id="879" w:name="Tc_shn8Rvrr5U6eGvQZo3nTew_4_11"/>
      <w:bookmarkStart w:id="880" w:name="Tc_xYL6XYb_80CpKnZLJauEdA_4_8"/>
      <w:bookmarkStart w:id="881" w:name="Tc_c15Ztc2j30GQ45e8h2h47Q_4_5"/>
      <w:bookmarkStart w:id="882" w:name="Tc_t117KrwlNUWUTDMphUnaOw_4_2"/>
      <w:bookmarkStart w:id="883" w:name="Tc_Ypqxd6wuGk-JAwqQ_l_RfQ_4_0"/>
      <w:bookmarkStart w:id="884" w:name="Tc_WJQ9yazIIUS1VBd86gQEZw_3_11"/>
      <w:bookmarkStart w:id="885" w:name="Tc_Uq9BCsShQke35g_eDgb0Rg_3_8"/>
      <w:bookmarkStart w:id="886" w:name="Tc_giseDlGumEmCLOtrJ_x5qw_3_5"/>
      <w:bookmarkStart w:id="887" w:name="Tc_vNRUPzDBuUKCz1qpggRiRw_3_2"/>
      <w:bookmarkStart w:id="888" w:name="Tc_nDNAsMnJLkGw-lzCvDp2Rg_3_0"/>
      <w:bookmarkStart w:id="889" w:name="Tc_yi27wXUAoU2FqY4XiG-e1w_2_8"/>
      <w:bookmarkStart w:id="890" w:name="Tc_tWISvjJQ1Ue4oxe0AkyEww_2_2"/>
      <w:bookmarkStart w:id="891" w:name="Tc_LU1An4W_L0qieSrCmhPoFA_1_8"/>
      <w:bookmarkStart w:id="892" w:name="Tc_8TbiDq0qqkGgNNuucfyVqg_1_2"/>
      <w:bookmarkStart w:id="893" w:name="_6be2f3e3_8a73_4a6a_b649_0cc3ac0f7e09"/>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Times New Roman;Times;serif" w:hAnsi="Times New Roman;Times;serif"/>
          <w:b/>
          <w:sz w:val="20"/>
        </w:rPr>
        <w:t>4.          INVESTMENT IN SSAT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in SSAT is described in Note 4 to the Consolidated Financial Statements included in the Company’s Annual Report on Form 10-K for the year ended December 31, 2023. Condensed income statement information for SSAT for the three and six months ended June 30, 2024 and 2023 consisted of the following:</w:t>
      </w:r>
    </w:p>
    <w:p>
      <w:pPr>
        <w:pStyle w:val="TextBody"/>
        <w:bidi w:val="0"/>
        <w:spacing w:before="0" w:after="0"/>
        <w:ind w:left="0" w:right="0" w:hanging="0"/>
        <w:jc w:val="left"/>
        <w:rPr/>
      </w:pPr>
      <w:r>
        <w:rPr/>
        <w:t>​</w:t>
      </w:r>
    </w:p>
    <w:tbl>
      <w:tblPr>
        <w:tblW w:w="8757" w:type="dxa"/>
        <w:jc w:val="left"/>
        <w:tblInd w:w="0" w:type="dxa"/>
        <w:tblLayout w:type="fixed"/>
        <w:tblCellMar>
          <w:top w:w="0" w:type="dxa"/>
          <w:left w:w="0" w:type="dxa"/>
          <w:bottom w:w="0" w:type="dxa"/>
          <w:right w:w="0" w:type="dxa"/>
        </w:tblCellMar>
      </w:tblPr>
      <w:tblGrid>
        <w:gridCol w:w="4051"/>
        <w:gridCol w:w="109"/>
        <w:gridCol w:w="211"/>
        <w:gridCol w:w="691"/>
        <w:gridCol w:w="326"/>
        <w:gridCol w:w="211"/>
        <w:gridCol w:w="691"/>
        <w:gridCol w:w="146"/>
        <w:gridCol w:w="211"/>
        <w:gridCol w:w="691"/>
        <w:gridCol w:w="326"/>
        <w:gridCol w:w="211"/>
        <w:gridCol w:w="691"/>
        <w:gridCol w:w="191"/>
      </w:tblGrid>
      <w:tr>
        <w:trPr/>
        <w:tc>
          <w:tcPr>
            <w:tcW w:w="4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572385" cy="175260"/>
                      <wp:effectExtent l="0" t="0" r="0" b="0"/>
                      <wp:wrapNone/>
                      <wp:docPr id="112" name="Frame112"/>
                      <a:graphic xmlns:a="http://schemas.openxmlformats.org/drawingml/2006/main">
                        <a:graphicData uri="http://schemas.microsoft.com/office/word/2010/wordprocessingShape">
                          <wps:wsp>
                            <wps:cNvSpPr txBox="1"/>
                            <wps:spPr>
                              <a:xfrm>
                                <a:off x="0" y="0"/>
                                <a:ext cx="2572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3" name="Frame1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38785" cy="175260"/>
                      <wp:effectExtent l="0" t="0" r="0" b="0"/>
                      <wp:wrapNone/>
                      <wp:docPr id="115" name="Frame1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7" name="Frame1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38785" cy="175260"/>
                      <wp:effectExtent l="0" t="0" r="0" b="0"/>
                      <wp:wrapNone/>
                      <wp:docPr id="118" name="Frame1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92710" cy="175260"/>
                      <wp:effectExtent l="0" t="0" r="0" b="0"/>
                      <wp:wrapNone/>
                      <wp:docPr id="119" name="Frame11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38785" cy="175260"/>
                      <wp:effectExtent l="0" t="0" r="0" b="0"/>
                      <wp:wrapNone/>
                      <wp:docPr id="121" name="Frame12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38785" cy="175260"/>
                      <wp:effectExtent l="0" t="0" r="0" b="0"/>
                      <wp:wrapNone/>
                      <wp:docPr id="124" name="Frame1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1285" cy="175260"/>
                      <wp:effectExtent l="0" t="0" r="0" b="0"/>
                      <wp:wrapNone/>
                      <wp:docPr id="125" name="Frame12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before="0" w:after="0"/>
              <w:ind w:left="0" w:right="0" w:hanging="0"/>
              <w:jc w:val="left"/>
              <w:rPr>
                <w:color w:val="0563C1"/>
              </w:rPr>
            </w:pPr>
            <w:r>
              <w:rPr>
                <w:color w:val="0563C1"/>
              </w:rPr>
              <w:t>​</w:t>
            </w:r>
          </w:p>
        </w:tc>
        <w:tc>
          <w:tcPr>
            <w:tcW w:w="109" w:type="dxa"/>
            <w:tcBorders/>
            <w:vAlign w:val="center"/>
          </w:tcPr>
          <w:p>
            <w:pPr>
              <w:pStyle w:val="TableContents"/>
              <w:bidi w:val="0"/>
              <w:spacing w:before="0" w:after="0"/>
              <w:ind w:left="0" w:right="0" w:hanging="0"/>
              <w:jc w:val="left"/>
              <w:rPr/>
            </w:pPr>
            <w:r>
              <w:rPr/>
              <w:t>​</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46" w:type="dxa"/>
            <w:tcBorders/>
            <w:vAlign w:val="center"/>
          </w:tcPr>
          <w:p>
            <w:pPr>
              <w:pStyle w:val="TableContents"/>
              <w:bidi w:val="0"/>
              <w:spacing w:before="0" w:after="0"/>
              <w:ind w:left="0" w:right="0" w:hanging="0"/>
              <w:jc w:val="left"/>
              <w:rPr/>
            </w:pPr>
            <w:r>
              <w:rPr/>
              <w:t> </w:t>
            </w:r>
          </w:p>
        </w:tc>
        <w:tc>
          <w:tcPr>
            <w:tcW w:w="213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1" w:type="dxa"/>
            <w:tcBorders/>
            <w:vAlign w:val="center"/>
          </w:tcPr>
          <w:p>
            <w:pPr>
              <w:pStyle w:val="TableContents"/>
              <w:bidi w:val="0"/>
              <w:spacing w:before="0" w:after="0"/>
              <w:ind w:left="0" w:right="0" w:hanging="0"/>
              <w:jc w:val="left"/>
              <w:rPr/>
            </w:pPr>
            <w:r>
              <w:rPr/>
              <w:t> </w:t>
            </w:r>
          </w:p>
        </w:tc>
      </w:tr>
      <w:tr>
        <w:trPr/>
        <w:tc>
          <w:tcPr>
            <w:tcW w:w="40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before="0" w:after="0"/>
              <w:ind w:left="0" w:right="0" w:hanging="0"/>
              <w:jc w:val="left"/>
              <w:rPr/>
            </w:pPr>
            <w:r>
              <w:rPr/>
              <w:t> </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1" w:type="dxa"/>
            <w:tcBorders/>
            <w:vAlign w:val="center"/>
          </w:tcPr>
          <w:p>
            <w:pPr>
              <w:pStyle w:val="TableContents"/>
              <w:bidi w:val="0"/>
              <w:spacing w:before="0" w:after="0"/>
              <w:ind w:left="0" w:right="0" w:hanging="0"/>
              <w:jc w:val="left"/>
              <w:rPr/>
            </w:pPr>
            <w:r>
              <w:rPr/>
              <w:t> </w:t>
            </w:r>
          </w:p>
        </w:tc>
      </w:tr>
      <w:tr>
        <w:trPr/>
        <w:tc>
          <w:tcPr>
            <w:tcW w:w="40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4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1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0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Profit (Loss) (1)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91" w:type="dxa"/>
            <w:tcBorders/>
            <w:vAlign w:val="center"/>
          </w:tcPr>
          <w:p>
            <w:pPr>
              <w:pStyle w:val="TableContents"/>
              <w:bidi w:val="0"/>
              <w:spacing w:before="0" w:after="0"/>
              <w:ind w:left="0" w:right="0" w:hanging="0"/>
              <w:jc w:val="left"/>
              <w:rPr/>
            </w:pPr>
            <w:r>
              <w:rPr/>
              <w:t>​</w:t>
            </w:r>
          </w:p>
        </w:tc>
      </w:tr>
      <w:tr>
        <w:trPr/>
        <w:tc>
          <w:tcPr>
            <w:tcW w:w="40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Share of SSAT’s Net Income (Loss) (2)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91" w:type="dxa"/>
            <w:tcBorders/>
            <w:shd w:fill="CCEEFF" w:val="clear"/>
            <w:vAlign w:val="center"/>
          </w:tcPr>
          <w:p>
            <w:pPr>
              <w:pStyle w:val="TableContents"/>
              <w:bidi w:val="0"/>
              <w:spacing w:before="0" w:after="0"/>
              <w:ind w:left="0" w:right="0" w:hanging="0"/>
              <w:jc w:val="left"/>
              <w:rPr/>
            </w:pPr>
            <w:r>
              <w:rPr/>
              <w:t>​</w:t>
            </w:r>
          </w:p>
        </w:tc>
      </w:tr>
    </w:tbl>
    <w:tbl>
      <w:tblPr>
        <w:tblW w:w="10007" w:type="dxa"/>
        <w:jc w:val="left"/>
        <w:tblInd w:w="0" w:type="dxa"/>
        <w:tblLayout w:type="fixed"/>
        <w:tblCellMar>
          <w:top w:w="0" w:type="dxa"/>
          <w:left w:w="0" w:type="dxa"/>
          <w:bottom w:w="0" w:type="dxa"/>
          <w:right w:w="0" w:type="dxa"/>
        </w:tblCellMar>
      </w:tblPr>
      <w:tblGrid>
        <w:gridCol w:w="331"/>
        <w:gridCol w:w="967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6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earnings and losses from equity method investment held by SSAT less earnings and losses allocated to non-controlling interests. </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6"/>
              </w:rPr>
              <w:t>The Company records its share of net income (loss) from SSAT in costs and expenses in the Condensed Consolidated Statement of Income and Comprehensive Income due to the nature of SSAT’s operations.</w:t>
            </w:r>
            <w:r>
              <w:rPr>
                <w:caps w:val="false"/>
                <w:smallCaps w:val="false"/>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 in SSAT was $86.4 million and $85.5 million at June 30, 2024 and December 31,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1, 2024, SSAT completed the sale of 25 percent of its equity interest in SSA Terminals (Seattle Terminals), LLC (“SSAT ST”) to a third-party company. After the completion of this transaction, SSAT retains a 50 percent controlling interest in SSAT ST, while the third-party company increased its non-controlling interest to 50 percent in SSAT ST. As a result of this transaction, the Company recorded an increase in its investment in SSAT of approximately $13.2 million and increase in deferred income taxes of $3.1 million, and a corresponding increase in retained earnings of $10.1 million.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894" w:name="Tc_Erj6M_mMkkqWbBH_X4rEZg_11_5"/>
      <w:bookmarkStart w:id="895" w:name="Tc_3VE5ma8jnEaM1PXolfLXzA_11_2"/>
      <w:bookmarkStart w:id="896" w:name="Tc_he6W4g7jFEykMNQL2R0ypg_11_0"/>
      <w:bookmarkStart w:id="897" w:name="Tc_Q4L6pcgUWE2m-by1vy5XVQ_10_0"/>
      <w:bookmarkStart w:id="898" w:name="Tc_UVcsAjAhbESMVEPJNyde7Q_9_0"/>
      <w:bookmarkStart w:id="899" w:name="Tc_i-C8jS93-EeUawnd2f6Q7A_8_0"/>
      <w:bookmarkStart w:id="900" w:name="Tc_QETRZygNA0ayCeu3bwYZfQ_7_0"/>
      <w:bookmarkStart w:id="901" w:name="Tc_vxMuxkVMwkGxGcOcUP-7Lw_6_0"/>
      <w:bookmarkStart w:id="902" w:name="Tc_DWXVv32e10ecfcPY9_8SAg_5_0"/>
      <w:bookmarkStart w:id="903" w:name="Tc_OBjB3JqaO0-xjh_c04qqmw_4_5"/>
      <w:bookmarkStart w:id="904" w:name="Tc_PbloBYdVNUKufH-s4KrBkg_4_2"/>
      <w:bookmarkStart w:id="905" w:name="Tc_-77fVs2Jpk2gOMZfu40KRA_4_0"/>
      <w:bookmarkStart w:id="906" w:name="Tc_fVG_o_ts0UG6QKj74AI0nA_3_0"/>
      <w:bookmarkStart w:id="907" w:name="Tc_lG2ukBf67kyBK4j4FoGU9A_2_5"/>
      <w:bookmarkStart w:id="908" w:name="Tc_E0toxopm006Vi9mLG1iO9A_2_2"/>
      <w:bookmarkStart w:id="909" w:name="Tc_j_oon7nDrUKKAuDvlBfnUQ_2_0"/>
      <w:bookmarkStart w:id="910" w:name="Tc_Uef7jKCd8EKyXbK72VDeqQ_1_5"/>
      <w:bookmarkStart w:id="911" w:name="Tc_RkMO6u8GZkaWicNsWOz-_A_1_2"/>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rFonts w:ascii="Times New Roman;Times;serif" w:hAnsi="Times New Roman;Times;serif"/>
          <w:b/>
          <w:sz w:val="20"/>
        </w:rPr>
        <w:t>5.          PROPERTY AND EQUIPMENT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as of June 30, 2024 and December 31, 2023 consisted of the following:</w:t>
      </w:r>
    </w:p>
    <w:p>
      <w:pPr>
        <w:pStyle w:val="TextBody"/>
        <w:bidi w:val="0"/>
        <w:spacing w:before="0" w:after="0"/>
        <w:ind w:left="0" w:right="0" w:hanging="0"/>
        <w:jc w:val="left"/>
        <w:rPr/>
      </w:pPr>
      <w:r>
        <w:rPr/>
        <w:t>​</w:t>
      </w:r>
    </w:p>
    <w:tbl>
      <w:tblPr>
        <w:tblW w:w="6040" w:type="dxa"/>
        <w:jc w:val="left"/>
        <w:tblInd w:w="0" w:type="dxa"/>
        <w:tblLayout w:type="fixed"/>
        <w:tblCellMar>
          <w:top w:w="0" w:type="dxa"/>
          <w:left w:w="0" w:type="dxa"/>
          <w:bottom w:w="0" w:type="dxa"/>
          <w:right w:w="0" w:type="dxa"/>
        </w:tblCellMar>
      </w:tblPr>
      <w:tblGrid>
        <w:gridCol w:w="3151"/>
        <w:gridCol w:w="326"/>
        <w:gridCol w:w="211"/>
        <w:gridCol w:w="841"/>
        <w:gridCol w:w="326"/>
        <w:gridCol w:w="228"/>
        <w:gridCol w:w="957"/>
      </w:tblGrid>
      <w:tr>
        <w:trPr/>
        <w:tc>
          <w:tcPr>
            <w:tcW w:w="3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00885" cy="175260"/>
                      <wp:effectExtent l="0" t="0" r="0" b="0"/>
                      <wp:wrapNone/>
                      <wp:docPr id="126" name="Frame126"/>
                      <a:graphic xmlns:a="http://schemas.openxmlformats.org/drawingml/2006/main">
                        <a:graphicData uri="http://schemas.microsoft.com/office/word/2010/wordprocessingShape">
                          <wps:wsp>
                            <wps:cNvSpPr txBox="1"/>
                            <wps:spPr>
                              <a:xfrm>
                                <a:off x="0" y="0"/>
                                <a:ext cx="200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34035" cy="175260"/>
                      <wp:effectExtent l="0" t="0" r="0" b="0"/>
                      <wp:wrapNone/>
                      <wp:docPr id="129" name="Frame12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4780" cy="175260"/>
                      <wp:effectExtent l="0" t="0" r="0" b="0"/>
                      <wp:wrapNone/>
                      <wp:docPr id="131" name="Frame13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07695" cy="175260"/>
                      <wp:effectExtent l="0" t="0" r="0" b="0"/>
                      <wp:wrapNone/>
                      <wp:docPr id="132" name="Frame132"/>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center"/>
              <w:rPr/>
            </w:pPr>
            <w:r>
              <w:rPr/>
              <w:t>​</w:t>
            </w:r>
          </w:p>
        </w:tc>
        <w:tc>
          <w:tcPr>
            <w:tcW w:w="957" w:type="dxa"/>
            <w:tcBorders/>
            <w:shd w:fill="CCEEFF" w:val="clear"/>
            <w:vAlign w:val="center"/>
          </w:tcPr>
          <w:p>
            <w:pPr>
              <w:pStyle w:val="TableContents"/>
              <w:bidi w:val="0"/>
              <w:spacing w:before="0" w:after="0"/>
              <w:ind w:left="0" w:right="0" w:hanging="0"/>
              <w:jc w:val="center"/>
              <w:rPr/>
            </w:pPr>
            <w:r>
              <w:rPr/>
              <w:t>​</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2,331.6</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2,323.4</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Containers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861.8</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845.0</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Terminal facilities and other property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148.0</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construction in progress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115.2</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3,598.8</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3,487.2</w:t>
            </w:r>
          </w:p>
        </w:tc>
      </w:tr>
      <w:tr>
        <w:trPr/>
        <w:tc>
          <w:tcPr>
            <w:tcW w:w="3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(1,447.6)</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(1,397.3)</w:t>
            </w:r>
          </w:p>
        </w:tc>
      </w:tr>
      <w:tr>
        <w:trPr/>
        <w:tc>
          <w:tcPr>
            <w:tcW w:w="3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2,151.2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2,089.9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vessel construction in progress at June 30, 2024 and December 31, 2023 includes milestone progress payments, capitalized interest and other costs related to the construction of three new Jones Act vessels.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912" w:name="Tc_J0h3KOC9O02NDHLLE-OjsQ_10_5"/>
      <w:bookmarkStart w:id="913" w:name="Tc_9EiA3kImLUWMCj2khKGY3w_10_2"/>
      <w:bookmarkStart w:id="914" w:name="Tc_y4I-OXmVoEWUzri479L22A_10_0"/>
      <w:bookmarkStart w:id="915" w:name="Tc_nTRq_lcieUa2eHVsumrn-g_9_0"/>
      <w:bookmarkStart w:id="916" w:name="Tc_2Bl6F02aPkqM7LtJrt0PXw_8_0"/>
      <w:bookmarkStart w:id="917" w:name="Tc_2kN9Ts-rwkigZK_IIq-1Vg_7_0"/>
      <w:bookmarkStart w:id="918" w:name="Tc_EudDJmgjXEW8AY1tiJaarA_6_0"/>
      <w:bookmarkStart w:id="919" w:name="Tc_zVyKJsSL2ESdZgDwBGv60w_5_0"/>
      <w:bookmarkStart w:id="920" w:name="Tc_i7DaegBgeEyZPM_ZginCOg_4_5"/>
      <w:bookmarkStart w:id="921" w:name="Tc_IEex2ZlUeE6eOePqGMLASA_4_2"/>
      <w:bookmarkStart w:id="922" w:name="Tc_KmXQDO45HU6gPSe34t8aMQ_4_0"/>
      <w:bookmarkStart w:id="923" w:name="Tc_BPse-jU9x0mdBGZK3BkODg_3_0"/>
      <w:bookmarkStart w:id="924" w:name="Tc_l7oDmugDEU-AuD5mY79gEg_2_5"/>
      <w:bookmarkStart w:id="925" w:name="Tc_pePT783qeky3v27kH7vc2Q_2_2"/>
      <w:bookmarkStart w:id="926" w:name="Tc_0jiq3s1WIE-LaEQb-R3WFw_2_0"/>
      <w:bookmarkStart w:id="927" w:name="Tc_hO61Tb0Kzk-hwF5Ut448xw_1_5"/>
      <w:bookmarkStart w:id="928" w:name="Tc_HWhhAUIVL0OxuLyyh9DIiQ_1_2"/>
      <w:bookmarkStart w:id="929" w:name="Tc_tLFsdD9iD0aLYpS61phePQ_3_8"/>
      <w:bookmarkStart w:id="930" w:name="Tc_cnbkV3ck1kKqjsxF3I-YuA_3_5"/>
      <w:bookmarkStart w:id="931" w:name="Tc_aEYQxEL-kkSAirljc2THTA_3_2"/>
      <w:bookmarkStart w:id="932" w:name="Tc_ywKeqlT17UCKy-_LEPpYzQ_3_0"/>
      <w:bookmarkStart w:id="933" w:name="Tc_oxWm_7u7VEGpVALOHWiJCw_2_8"/>
      <w:bookmarkStart w:id="934" w:name="Tc_N4QzcCHPfEuwFKxmHHpA2g_2_5"/>
      <w:bookmarkStart w:id="935" w:name="Tc_d3_B63tyDU-v34PT2WOSUA_2_2"/>
      <w:bookmarkStart w:id="936" w:name="Tc_1zqFNi-uCkOiiXLeUvfEUw_2_0"/>
      <w:bookmarkStart w:id="937" w:name="Tc_d3SGCOw-MkmMInaMis882g_1_2"/>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Pr>
          <w:rFonts w:ascii="Times New Roman;Times;serif" w:hAnsi="Times New Roman;Times;serif"/>
          <w:b/>
          <w:sz w:val="20"/>
        </w:rPr>
        <w:t>6.          GOODWILL AND INTANGIBLES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by segment as of June 30, 2024 and December 31, 2023 consisted of the following:</w:t>
      </w:r>
    </w:p>
    <w:p>
      <w:pPr>
        <w:pStyle w:val="TextBody"/>
        <w:bidi w:val="0"/>
        <w:spacing w:before="0" w:after="0"/>
        <w:ind w:left="0" w:right="0" w:hanging="0"/>
        <w:jc w:val="left"/>
        <w:rPr/>
      </w:pPr>
      <w:r>
        <w:rPr/>
        <w:t>​</w:t>
      </w:r>
    </w:p>
    <w:tbl>
      <w:tblPr>
        <w:tblW w:w="4940" w:type="dxa"/>
        <w:jc w:val="left"/>
        <w:tblInd w:w="0" w:type="dxa"/>
        <w:tblLayout w:type="fixed"/>
        <w:tblCellMar>
          <w:top w:w="0" w:type="dxa"/>
          <w:left w:w="0" w:type="dxa"/>
          <w:bottom w:w="0" w:type="dxa"/>
          <w:right w:w="0" w:type="dxa"/>
        </w:tblCellMar>
      </w:tblPr>
      <w:tblGrid>
        <w:gridCol w:w="991"/>
        <w:gridCol w:w="326"/>
        <w:gridCol w:w="328"/>
        <w:gridCol w:w="888"/>
        <w:gridCol w:w="326"/>
        <w:gridCol w:w="211"/>
        <w:gridCol w:w="571"/>
        <w:gridCol w:w="326"/>
        <w:gridCol w:w="211"/>
        <w:gridCol w:w="571"/>
        <w:gridCol w:w="191"/>
      </w:tblGrid>
      <w:tr>
        <w:trPr/>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29285" cy="175260"/>
                      <wp:effectExtent l="0" t="0" r="0" b="0"/>
                      <wp:wrapNone/>
                      <wp:docPr id="133" name="Frame133"/>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8280" cy="175260"/>
                      <wp:effectExtent l="0" t="0" r="0" b="0"/>
                      <wp:wrapNone/>
                      <wp:docPr id="135" name="Frame13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63880" cy="175260"/>
                      <wp:effectExtent l="0" t="0" r="0" b="0"/>
                      <wp:wrapNone/>
                      <wp:docPr id="136" name="Frame136"/>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362585" cy="175260"/>
                      <wp:effectExtent l="0" t="0" r="0" b="0"/>
                      <wp:wrapNone/>
                      <wp:docPr id="139" name="Frame1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62585" cy="175260"/>
                      <wp:effectExtent l="0" t="0" r="0" b="0"/>
                      <wp:wrapNone/>
                      <wp:docPr id="142" name="Frame1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21285" cy="175260"/>
                      <wp:effectExtent l="0" t="0" r="0" b="0"/>
                      <wp:wrapNone/>
                      <wp:docPr id="143" name="Frame14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Ocean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Transportation</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Logistics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91" w:type="dxa"/>
            <w:tcBorders/>
            <w:vAlign w:val="center"/>
          </w:tcPr>
          <w:p>
            <w:pPr>
              <w:pStyle w:val="TableContents"/>
              <w:bidi w:val="0"/>
              <w:spacing w:before="0" w:after="0"/>
              <w:ind w:left="0" w:right="0" w:hanging="0"/>
              <w:jc w:val="left"/>
              <w:rPr/>
            </w:pPr>
            <w:r>
              <w:rPr/>
              <w:t> </w:t>
            </w:r>
          </w:p>
        </w:tc>
      </w:tr>
      <w:tr>
        <w:trPr/>
        <w:tc>
          <w:tcPr>
            <w:tcW w:w="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Intangible assets as of June 30, 2024 and December 31, 2023 consisted of the following: </w:t>
      </w:r>
    </w:p>
    <w:p>
      <w:pPr>
        <w:pStyle w:val="TextBody"/>
        <w:bidi w:val="0"/>
        <w:spacing w:lineRule="atLeast" w:line="200" w:before="0" w:after="0"/>
        <w:ind w:left="0" w:right="0" w:hanging="0"/>
        <w:jc w:val="left"/>
        <w:rPr/>
      </w:pPr>
      <w:r>
        <w:rPr/>
        <w:t>​</w:t>
      </w:r>
    </w:p>
    <w:tbl>
      <w:tblPr>
        <w:tblW w:w="5744" w:type="dxa"/>
        <w:jc w:val="left"/>
        <w:tblInd w:w="0" w:type="dxa"/>
        <w:tblLayout w:type="fixed"/>
        <w:tblCellMar>
          <w:top w:w="0" w:type="dxa"/>
          <w:left w:w="0" w:type="dxa"/>
          <w:bottom w:w="0" w:type="dxa"/>
          <w:right w:w="0" w:type="dxa"/>
        </w:tblCellMar>
      </w:tblPr>
      <w:tblGrid>
        <w:gridCol w:w="2896"/>
        <w:gridCol w:w="326"/>
        <w:gridCol w:w="211"/>
        <w:gridCol w:w="691"/>
        <w:gridCol w:w="326"/>
        <w:gridCol w:w="285"/>
        <w:gridCol w:w="855"/>
        <w:gridCol w:w="154"/>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38960" cy="175260"/>
                      <wp:effectExtent l="0" t="0" r="0" b="0"/>
                      <wp:wrapNone/>
                      <wp:docPr id="144" name="Frame144"/>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38785" cy="175260"/>
                      <wp:effectExtent l="0" t="0" r="0" b="0"/>
                      <wp:wrapNone/>
                      <wp:docPr id="147" name="Frame14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80975" cy="175260"/>
                      <wp:effectExtent l="0" t="0" r="0" b="0"/>
                      <wp:wrapNone/>
                      <wp:docPr id="149" name="Frame149"/>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42925" cy="175260"/>
                      <wp:effectExtent l="0" t="0" r="0" b="0"/>
                      <wp:wrapNone/>
                      <wp:docPr id="150" name="Frame150"/>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7790" cy="175260"/>
                      <wp:effectExtent l="0" t="0" r="0" b="0"/>
                      <wp:wrapNone/>
                      <wp:docPr id="151" name="Frame15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center"/>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Customer Relationships,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141.8</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w:t>
            </w:r>
          </w:p>
        </w:tc>
        <w:tc>
          <w:tcPr>
            <w:tcW w:w="154"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 – Logistics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lineRule="atLeast" w:line="200" w:before="0" w:after="0"/>
        <w:ind w:left="0" w:right="0" w:hanging="0"/>
        <w:jc w:val="left"/>
        <w:rPr/>
      </w:pPr>
      <w:r>
        <w:rPr/>
        <w:t>​</w:t>
      </w:r>
    </w:p>
    <w:p>
      <w:pPr>
        <w:pStyle w:val="TextBody"/>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On February 27, 2023, the Company completed an asset acquisition consisting of Logistics customer relationship intangible assets for $16.5 million, which are being amortized over seven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evaluates its goodwill and intangible assets for possible impairment in the fourth quarter, or whenever events or changes in circumstances indicate that it is more likely than not that the fair value is less than its carrying amount. The Company has reporting units within the Ocean Transportation and Logistics reportable segments. The Company considered the general economic and market conditions and its impact on the performance of each of the Company’s reporting units. Based on the Company’s assessment of its market capitalization, future forecasts and the amount of excess of fair value over the carrying value of the reporting units in the 2023 annual impairment tests, the Company concluded that an impairment triggering event did not occur during the three months ended June 30, 2024.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will monitor events and changes in circumstances that could negatively impact the key assumptions used in determining the fair value, including the amount and timing of estimated future cash flows generated by the reporting units, long-term growth and discount rates, comparable company market valuations, and industry and economic trends. It is possible that future changes in such circumstances, including future changes in the assumptions and estimates used in assessing the fair value of the reporting unit, could require the Company to record a non-cash impairment charge.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38" w:name="Tc_Mk6Nnhu0-Uul6LmpIuxE0A_8_5"/>
      <w:bookmarkStart w:id="939" w:name="Tc_RW9ORK7WzUeoWvxrPEoSRw_8_2"/>
      <w:bookmarkStart w:id="940" w:name="Tc_AJ5dIUh74kGQXn768xtptg_8_0"/>
      <w:bookmarkStart w:id="941" w:name="Tc_sw3V_DZOS0Sr2uR9F-mwQw_7_0"/>
      <w:bookmarkStart w:id="942" w:name="Tc_RwP6WwQpQU-W9GJsVBZ4hA_6_0"/>
      <w:bookmarkStart w:id="943" w:name="Tc_GISpVH-nW0mtXmDbDHRbYA_5_0"/>
      <w:bookmarkStart w:id="944" w:name="Tc_sHQT4631W0W7kuPtv-uERQ_4_5"/>
      <w:bookmarkStart w:id="945" w:name="Tc_NMnwaj-Qi0GD3b4p8H7X9A_4_2"/>
      <w:bookmarkStart w:id="946" w:name="Tc_Ebd-AV8m_0iOrbSdvQUG2g_4_0"/>
      <w:bookmarkStart w:id="947" w:name="Tc_lwIgNZ0e70yYOTWnblEJxg_3_5"/>
      <w:bookmarkStart w:id="948" w:name="Tc_odRTo21dQ0yDjf3vq1utCA_3_2"/>
      <w:bookmarkStart w:id="949" w:name="Tc_boASq5OI60egVzN3vKoyHQ_3_0"/>
      <w:bookmarkStart w:id="950" w:name="Tc_QQShf3YyP0Ghxg1InGPD1A_2_2"/>
      <w:bookmarkStart w:id="951" w:name="Tc_R8TgQyRh-Ue3DHWEGJT2zw_1_2"/>
      <w:bookmarkStart w:id="952" w:name="Tc_3HGXMb2woEqKod-wgX88wQ_19_5"/>
      <w:bookmarkStart w:id="953" w:name="Tc_q4lQqrOrc0-dvHt38iJgnw_19_2"/>
      <w:bookmarkStart w:id="954" w:name="Tc_SEs9m5lKd0-Diy0odGuSqQ_19_0"/>
      <w:bookmarkStart w:id="955" w:name="Tc_iY-K9w7xtE-GUicMg64qdA_18_6"/>
      <w:bookmarkStart w:id="956" w:name="Tc_2mrIQl_NRUupiy8EVP5JDA_18_0"/>
      <w:bookmarkStart w:id="957" w:name="Tc_hNBFZGn7FUedk_m5whW09w_17_6"/>
      <w:bookmarkStart w:id="958" w:name="Tc_5HPa0jII0EGVWRTlXXRQ5A_17_0"/>
      <w:bookmarkStart w:id="959" w:name="Tc_QdietG1gykC9D1XSEU6QUg_16_6"/>
      <w:bookmarkStart w:id="960" w:name="Tc_MCmTwANFr0-0IQoQHxFQrw_16_0"/>
      <w:bookmarkStart w:id="961" w:name="Tc_9MO8FjcJg0SEwrorYNj5Lw_15_6"/>
      <w:bookmarkStart w:id="962" w:name="Tc_jS7EkQZHXUOTB2lDK3U4EA_15_3"/>
      <w:bookmarkStart w:id="963" w:name="Tc_DABcOeZyCU2Rc0wAr90T7w_15_0"/>
      <w:bookmarkStart w:id="964" w:name="Tc_niso7NDOYEO3VXtAH8HdmA_14_0"/>
      <w:bookmarkStart w:id="965" w:name="Tc_eQxcUyGJnkmqfCO_QePx9w_13_0"/>
      <w:bookmarkStart w:id="966" w:name="Tc_ULeG4PS-Y0yEs5tlfY367g_12_0"/>
      <w:bookmarkStart w:id="967" w:name="Tc_itVKCtnSRUyjTd4WTye_rA_11_0"/>
      <w:bookmarkStart w:id="968" w:name="Tc_AJbC6Cpq8U-5HMU4kTSGDw_10_0"/>
      <w:bookmarkStart w:id="969" w:name="Tc_4VtrR8v31U6Zc8Yxumz8Zg_9_6"/>
      <w:bookmarkStart w:id="970" w:name="Tc_akPQgyRD0ECH9SIHVzZSLQ_9_0"/>
      <w:bookmarkStart w:id="971" w:name="Tc_f-4Q_rUCUUS4HJNwOeE9-g_8_0"/>
      <w:bookmarkStart w:id="972" w:name="Tc_we6kUEPCPEeNiCm1TcKKrQ_7_6"/>
      <w:bookmarkStart w:id="973" w:name="Tc_QxeFmpD_4UylOu-quGHFCg_7_0"/>
      <w:bookmarkStart w:id="974" w:name="Tc_ojlJ6BYA_kiWYK09gamV3w_6_3"/>
      <w:bookmarkStart w:id="975" w:name="Tc_kHer5g988k-O0Q10DgoAQA_6_0"/>
      <w:bookmarkStart w:id="976" w:name="Tc_76AmnRhp5kO6EIHehExATw_5_5"/>
      <w:bookmarkStart w:id="977" w:name="Tc_Mg1_dFJkpUar5O3i-fJ_ug_5_2"/>
      <w:bookmarkStart w:id="978" w:name="Tc_UCVT62np_ESz5TCLRcMrWQ_5_0"/>
      <w:bookmarkStart w:id="979" w:name="Tc_qi9fvs7fD0eCrK_49LLBBQ_4_0"/>
      <w:bookmarkStart w:id="980" w:name="Tc_FGCTalWTY0-1bQOb1mn4hA_3_5"/>
      <w:bookmarkStart w:id="981" w:name="Tc_UaDR0VANIEik2Sj9QVXmWw_3_2"/>
      <w:bookmarkStart w:id="982" w:name="Tc_-qQ3Tx1aa0q_7cOnHdCPDw_3_0"/>
      <w:bookmarkStart w:id="983" w:name="Tc_wLc-hBVJBUuy1SO60RWlaA_2_2"/>
      <w:bookmarkStart w:id="984" w:name="Tc_1qFWqBg_x0GpHgBW4CMgFw_1_2"/>
      <w:bookmarkStart w:id="985" w:name="_Hlk164156128"/>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b/>
          <w:sz w:val="20"/>
        </w:rPr>
        <w:t>7.</w:t>
      </w:r>
      <w:r>
        <w:rPr>
          <w:rFonts w:ascii="Times New Roman;Times;serif" w:hAnsi="Times New Roman;Times;serif"/>
          <w:sz w:val="20"/>
        </w:rPr>
        <w:t>          </w:t>
      </w:r>
      <w:r>
        <w:rPr>
          <w:rFonts w:ascii="Times New Roman;Times;serif" w:hAnsi="Times New Roman;Times;serif"/>
          <w:b/>
          <w:sz w:val="20"/>
        </w:rPr>
        <w:t>CAPITAL CONSTRUCTION FUND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CCF is described in Note 7 to the Consolidated Financial Statements included in Part II, Item 8 of the Company’s Annual Report on Form 10-K for the year ended December 31, 2023. A summary of the activities within the CCF cash and cash equivalents, and investments account for the six months ended June 30, 2024 and 2023 consisted of the following:</w:t>
      </w:r>
    </w:p>
    <w:p>
      <w:pPr>
        <w:pStyle w:val="TextBody"/>
        <w:bidi w:val="0"/>
        <w:spacing w:before="0" w:after="0"/>
        <w:ind w:left="0" w:right="0" w:hanging="0"/>
        <w:jc w:val="left"/>
        <w:rPr/>
      </w:pPr>
      <w:r>
        <w:rPr/>
        <w:t>​</w:t>
      </w:r>
    </w:p>
    <w:tbl>
      <w:tblPr>
        <w:tblW w:w="7977" w:type="dxa"/>
        <w:jc w:val="left"/>
        <w:tblInd w:w="0" w:type="dxa"/>
        <w:tblLayout w:type="fixed"/>
        <w:tblCellMar>
          <w:top w:w="0" w:type="dxa"/>
          <w:left w:w="0" w:type="dxa"/>
          <w:bottom w:w="0" w:type="dxa"/>
          <w:right w:w="0" w:type="dxa"/>
        </w:tblCellMar>
      </w:tblPr>
      <w:tblGrid>
        <w:gridCol w:w="5686"/>
        <w:gridCol w:w="326"/>
        <w:gridCol w:w="196"/>
        <w:gridCol w:w="631"/>
        <w:gridCol w:w="326"/>
        <w:gridCol w:w="196"/>
        <w:gridCol w:w="616"/>
      </w:tblGrid>
      <w:tr>
        <w:trPr/>
        <w:tc>
          <w:tcPr>
            <w:tcW w:w="5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610610" cy="175260"/>
                      <wp:effectExtent l="0" t="0" r="0" b="0"/>
                      <wp:wrapNone/>
                      <wp:docPr id="152" name="Frame152"/>
                      <a:graphic xmlns:a="http://schemas.openxmlformats.org/drawingml/2006/main">
                        <a:graphicData uri="http://schemas.microsoft.com/office/word/2010/wordprocessingShape">
                          <wps:wsp>
                            <wps:cNvSpPr txBox="1"/>
                            <wps:spPr>
                              <a:xfrm>
                                <a:off x="0" y="0"/>
                                <a:ext cx="3610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24460" cy="175260"/>
                      <wp:effectExtent l="0" t="0" r="0" b="0"/>
                      <wp:wrapNone/>
                      <wp:docPr id="154" name="Frame1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00685" cy="175260"/>
                      <wp:effectExtent l="0" t="0" r="0" b="0"/>
                      <wp:wrapNone/>
                      <wp:docPr id="155" name="Frame15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24460" cy="175260"/>
                      <wp:effectExtent l="0" t="0" r="0" b="0"/>
                      <wp:wrapNone/>
                      <wp:docPr id="157" name="Frame15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91160" cy="175260"/>
                      <wp:effectExtent l="0" t="0" r="0" b="0"/>
                      <wp:wrapNone/>
                      <wp:docPr id="158" name="Frame158"/>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6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center"/>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cash balance at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596.7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518.2</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deposits into the CCF</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100.0</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purchase of U.S. Treasury debt securities and accrued interest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income deposited into the CCF</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assigned accounts receivable</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Qualifying withdrawal payments out of the CCF</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(49.9)</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balance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581.4</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interest earned on CCF Cash and Investments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balance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583.9</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CCF investments balance at beginning of period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center"/>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U.S. Treasury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investments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investments balance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453.3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CCF cash and cash equivalents, and investments balance at end of period</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613.9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583.9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Cash and Cash Equivalents:</w:t>
      </w:r>
      <w:r>
        <w:rPr>
          <w:rFonts w:ascii="Times New Roman;Times;serif" w:hAnsi="Times New Roman;Times;serif"/>
          <w:sz w:val="20"/>
        </w:rPr>
        <w:t xml:space="preserve"> Cash on deposit in the CCF account is invested in a short-term U.S. Treasury obligations fund with daily liquidity. At June 30, 2024, these short-term securities held within this CCF cash account had a weighted average life of </w:t>
      </w:r>
      <w:r>
        <w:rPr>
          <w:rFonts w:ascii="Times New Roman;Times;serif" w:hAnsi="Times New Roman;Times;serif"/>
          <w:b w:val="false"/>
          <w:i w:val="false"/>
          <w:caps w:val="false"/>
          <w:smallCaps w:val="false"/>
          <w:sz w:val="20"/>
        </w:rPr>
        <w:t>83 days</w:t>
      </w:r>
      <w:r>
        <w:rPr>
          <w:rFonts w:ascii="Times New Roman;Times;serif" w:hAnsi="Times New Roman;Times;serif"/>
          <w:sz w:val="20"/>
        </w:rPr>
        <w:t>. Total CCF cash and cash equivalents was $160.6 million and $599.4 million as of June 30, 2024 and December 31,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CCF Investments:</w:t>
      </w:r>
      <w:r>
        <w:rPr>
          <w:rFonts w:ascii="Times New Roman;Times;serif" w:hAnsi="Times New Roman;Times;serif"/>
          <w:sz w:val="20"/>
        </w:rPr>
        <w:t xml:space="preserve"> In February 2024, the Company purchased approximately $448.1 million of fixed-rate U.S. Treasuries with accrued interest of $1.7 million using CCF cash. The fixed-rate debt securities were purchased at a discount and have various maturity dates of up to </w:t>
      </w:r>
      <w:r>
        <w:rPr>
          <w:rFonts w:ascii="Times New Roman;Times;serif" w:hAnsi="Times New Roman;Times;serif"/>
          <w:b w:val="false"/>
          <w:i w:val="false"/>
          <w:caps w:val="false"/>
          <w:smallCaps w:val="false"/>
          <w:sz w:val="20"/>
        </w:rPr>
        <w:t>3 years</w:t>
      </w:r>
      <w:r>
        <w:rPr>
          <w:rFonts w:ascii="Times New Roman;Times;serif" w:hAnsi="Times New Roman;Times;serif"/>
          <w:sz w:val="20"/>
        </w:rPr>
        <w:t>. The cost of investments is adjusted for accretion of the discount until the securities mature. Such accretion is included in interest income in the Condensed Consolidated Statements of Income and Comprehensive Income. As of June 30, 2024, the Company had $453.3 million in held-to-maturity debt securities in the CCF investments account.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2024, CCF investments maturities are as follows:</w:t>
      </w:r>
    </w:p>
    <w:p>
      <w:pPr>
        <w:pStyle w:val="TextBody"/>
        <w:bidi w:val="0"/>
        <w:spacing w:before="0" w:after="0"/>
        <w:ind w:left="0" w:right="0" w:hanging="0"/>
        <w:jc w:val="left"/>
        <w:rPr/>
      </w:pPr>
      <w:r>
        <w:rPr/>
        <w:t>​</w:t>
      </w:r>
    </w:p>
    <w:tbl>
      <w:tblPr>
        <w:tblW w:w="4143" w:type="dxa"/>
        <w:jc w:val="left"/>
        <w:tblInd w:w="0" w:type="dxa"/>
        <w:tblLayout w:type="fixed"/>
        <w:tblCellMar>
          <w:top w:w="0" w:type="dxa"/>
          <w:left w:w="0" w:type="dxa"/>
          <w:bottom w:w="0" w:type="dxa"/>
          <w:right w:w="0" w:type="dxa"/>
        </w:tblCellMar>
      </w:tblPr>
      <w:tblGrid>
        <w:gridCol w:w="1996"/>
        <w:gridCol w:w="326"/>
        <w:gridCol w:w="211"/>
        <w:gridCol w:w="571"/>
        <w:gridCol w:w="109"/>
        <w:gridCol w:w="221"/>
        <w:gridCol w:w="709"/>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267460" cy="175260"/>
                      <wp:effectExtent l="0" t="0" r="0" b="0"/>
                      <wp:wrapNone/>
                      <wp:docPr id="159" name="Frame15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62585" cy="175260"/>
                      <wp:effectExtent l="0" t="0" r="0" b="0"/>
                      <wp:wrapNone/>
                      <wp:docPr id="162" name="Frame1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0335" cy="175260"/>
                      <wp:effectExtent l="0" t="0" r="0" b="0"/>
                      <wp:wrapNone/>
                      <wp:docPr id="164" name="Frame16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50215" cy="175260"/>
                      <wp:effectExtent l="0" t="0" r="0" b="0"/>
                      <wp:wrapNone/>
                      <wp:docPr id="165" name="Frame16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821"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996"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82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19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109"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188.0</w:t>
            </w:r>
          </w:p>
        </w:tc>
        <w:tc>
          <w:tcPr>
            <w:tcW w:w="109"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187.1</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165.7</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w:t>
            </w:r>
          </w:p>
        </w:tc>
      </w:tr>
      <w:tr>
        <w:trPr/>
        <w:tc>
          <w:tcPr>
            <w:tcW w:w="19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c>
          <w:tcPr>
            <w:tcW w:w="109"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r>
      <w:tr>
        <w:trPr/>
        <w:tc>
          <w:tcPr>
            <w:tcW w:w="19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CCF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w:t>
            </w:r>
          </w:p>
        </w:tc>
        <w:tc>
          <w:tcPr>
            <w:tcW w:w="109"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450.6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cash and cash equivalents, and investments are classified as a long-term asset on the Company’s Condensed Consolidated Balance Sheets as the Company intends to use withdrawals to fund qualified milestone progress payments for the construction of three new Jones Act vessels.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986" w:name="Tc_Hm7nI2HJOUafCzOjWVTSVA_8_5"/>
      <w:bookmarkStart w:id="987" w:name="Tc_lgu4IYcJa0OvZIS8KyiLqg_8_2"/>
      <w:bookmarkStart w:id="988" w:name="Tc_z-zqn51dzUOCqQ0avT1KOw_8_0"/>
      <w:bookmarkStart w:id="989" w:name="Tc_7UJaBQ_MpUWF_IGtA96kHA_7_0"/>
      <w:bookmarkStart w:id="990" w:name="Tc_owvukjQIkE6KGYvF7ZopKg_6_6"/>
      <w:bookmarkStart w:id="991" w:name="Tc_iWRlE1LfxUyAF3qfT2e9bQ_6_0"/>
      <w:bookmarkStart w:id="992" w:name="Tc_vuMAz7O-Tkeylpi9DSrcwg_5_3"/>
      <w:bookmarkStart w:id="993" w:name="Tc_jIuu48DIo0-Bgy5-z4e0Cw_5_0"/>
      <w:bookmarkStart w:id="994" w:name="Tc_Eezv4lT0o0yFNS7MDOwoXQ_4_5"/>
      <w:bookmarkStart w:id="995" w:name="Tc_d1eXtM03ake3qchcgfhIXA_4_2"/>
      <w:bookmarkStart w:id="996" w:name="Tc_8lyohOKkW0CxDFVAHi-ABg_4_0"/>
      <w:bookmarkStart w:id="997" w:name="Tc_s03ZPx06DkSPHG5QUdN7mA_3_5"/>
      <w:bookmarkStart w:id="998" w:name="Tc_aU_hBXcznku5bVnG8vnJ_A_3_2"/>
      <w:bookmarkStart w:id="999" w:name="Tc_aZ-ggySP9kSBQhwTBiVijA_3_0"/>
      <w:bookmarkStart w:id="1000" w:name="Tc_zJzJQj1su02FnhyPEZ6X6g_2_2"/>
      <w:bookmarkStart w:id="1001" w:name="Tc_Ks7G8JOCB0iY6ljYjrBEGQ_1_2"/>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r>
        <w:rPr>
          <w:rFonts w:ascii="Times New Roman;Times;serif" w:hAnsi="Times New Roman;Times;serif"/>
          <w:b/>
          <w:i/>
          <w:sz w:val="20"/>
        </w:rPr>
        <w:t>CCF Assigned Accounts Receivable:</w:t>
      </w:r>
      <w:r>
        <w:rPr>
          <w:rFonts w:ascii="Times New Roman;Times;serif" w:hAnsi="Times New Roman;Times;serif"/>
          <w:sz w:val="20"/>
        </w:rPr>
        <w:t xml:space="preserve"> Activities within the CCF assigned accounts receivable account for the six months ended June 30, 2024 and 2023 consisted of the following:</w:t>
      </w:r>
    </w:p>
    <w:p>
      <w:pPr>
        <w:pStyle w:val="TextBody"/>
        <w:bidi w:val="0"/>
        <w:spacing w:before="0" w:after="0"/>
        <w:ind w:left="0" w:right="0" w:hanging="0"/>
        <w:jc w:val="left"/>
        <w:rPr/>
      </w:pPr>
      <w:r>
        <w:rPr/>
        <w:t>​</w:t>
      </w:r>
    </w:p>
    <w:tbl>
      <w:tblPr>
        <w:tblW w:w="7767" w:type="dxa"/>
        <w:jc w:val="left"/>
        <w:tblInd w:w="0" w:type="dxa"/>
        <w:tblLayout w:type="fixed"/>
        <w:tblCellMar>
          <w:top w:w="0" w:type="dxa"/>
          <w:left w:w="0" w:type="dxa"/>
          <w:bottom w:w="0" w:type="dxa"/>
          <w:right w:w="0" w:type="dxa"/>
        </w:tblCellMar>
      </w:tblPr>
      <w:tblGrid>
        <w:gridCol w:w="5431"/>
        <w:gridCol w:w="326"/>
        <w:gridCol w:w="211"/>
        <w:gridCol w:w="586"/>
        <w:gridCol w:w="326"/>
        <w:gridCol w:w="211"/>
        <w:gridCol w:w="676"/>
      </w:tblGrid>
      <w:tr>
        <w:trPr/>
        <w:tc>
          <w:tcPr>
            <w:tcW w:w="5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448685" cy="175260"/>
                      <wp:effectExtent l="0" t="0" r="0" b="0"/>
                      <wp:wrapNone/>
                      <wp:docPr id="166" name="Frame166"/>
                      <a:graphic xmlns:a="http://schemas.openxmlformats.org/drawingml/2006/main">
                        <a:graphicData uri="http://schemas.microsoft.com/office/word/2010/wordprocessingShape">
                          <wps:wsp>
                            <wps:cNvSpPr txBox="1"/>
                            <wps:spPr>
                              <a:xfrm>
                                <a:off x="0" y="0"/>
                                <a:ext cx="3448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372110" cy="175260"/>
                      <wp:effectExtent l="0" t="0" r="0" b="0"/>
                      <wp:wrapNone/>
                      <wp:docPr id="169" name="Frame16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29260" cy="175260"/>
                      <wp:effectExtent l="0" t="0" r="0" b="0"/>
                      <wp:wrapNone/>
                      <wp:docPr id="172" name="Frame17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54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4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assigned accounts receivable 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Assigned 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assigned 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earned on assigned accounts receivable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5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assigned accounts receivable balance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did not pledge any accounts receivable into the CCF during the six months ended June 30, 2024. During the six months ended June 30, 2023, the Company pledged $200.0 million of accounts receivable into the CCF. During the six months ended June 30, 2024, the Company repurchased $35.8 million of assigned accounts receivable from the CCF. The Company did not repurchase any assigned accounts receivable from the CCF during the six months ended June 30, 2023. As of June 30, 2024 and December 31, 2023, eligible accounts receivable of $185.9 million and $218.1 million were assigned to the CCF, respectively. Due to the nature of the assignment of eligible accounts receivable into the CCF, such assigned amounts are classified as part of accounts receivable in the Condensed Consolidated Balance Sheets.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002" w:name="Tc_ndlhiwA1_k68Ta4INw6mpw_13_5"/>
      <w:bookmarkStart w:id="1003" w:name="Tc_Bb3nKlnprkmPIfxGw2Z-GA_13_2"/>
      <w:bookmarkStart w:id="1004" w:name="Tc_o876d-fPQ0-w1g9atR_Fpg_13_0"/>
      <w:bookmarkStart w:id="1005" w:name="Tc_nj9_j_H2qEWbpFVlAxQBHA_12_0"/>
      <w:bookmarkStart w:id="1006" w:name="Tc_sYFL2kByDUuOiCGdAZ8ulw_11_0"/>
      <w:bookmarkStart w:id="1007" w:name="Tc_UowP7wlj9UOAva29ADWNdw_10_0"/>
      <w:bookmarkStart w:id="1008" w:name="Tc_9RhO_09Z6UiGcMEelRUmtg_9_0"/>
      <w:bookmarkStart w:id="1009" w:name="Tc_7KiQdyhP-Uyk0W5Ys4-xlQ_8_0"/>
      <w:bookmarkStart w:id="1010" w:name="Tc_4oiXOoQ2uEC6ZJRmWpAM-g_7_0"/>
      <w:bookmarkStart w:id="1011" w:name="Tc_STWUMPLEWkyPIVz1A3owDA_6_0"/>
      <w:bookmarkStart w:id="1012" w:name="Tc_EqEkyaLuVEu-3w59U-M1Zg_5_0"/>
      <w:bookmarkStart w:id="1013" w:name="Tc_ucAeTENnoUqU4rWUyijk9g_4_5"/>
      <w:bookmarkStart w:id="1014" w:name="Tc_vLNCp1ZIxEyWAeCtYnwWiw_4_2"/>
      <w:bookmarkStart w:id="1015" w:name="Tc_S442556Gz06QTaAlKHVO6g_4_0"/>
      <w:bookmarkStart w:id="1016" w:name="Tc_ShSMo7UyrEqTEZRpiNyzdA_3_0"/>
      <w:bookmarkStart w:id="1017" w:name="Tc_jNBFdDNkZUSIMffpShJuIQ_2_5"/>
      <w:bookmarkStart w:id="1018" w:name="Tc_vBglplPlwkeINMDmHeJ0OA_2_2"/>
      <w:bookmarkStart w:id="1019" w:name="Tc_8Tbzub6Mr023bB8vkcimnQ_2_0"/>
      <w:bookmarkStart w:id="1020" w:name="Tc_j9Ata-dQh0OaEb0TvKp8bg_1_5"/>
      <w:bookmarkStart w:id="1021" w:name="Tc_h4SsEfhVXUOoiM5uOoWnmA_1_2"/>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r>
        <w:rPr>
          <w:rFonts w:ascii="Times New Roman;Times;serif" w:hAnsi="Times New Roman;Times;serif"/>
          <w:b/>
          <w:sz w:val="20"/>
        </w:rPr>
        <w:t>8.</w:t>
      </w:r>
      <w:r>
        <w:rPr>
          <w:rFonts w:ascii="Times New Roman;Times;serif" w:hAnsi="Times New Roman;Times;serif"/>
          <w:sz w:val="20"/>
        </w:rPr>
        <w:t>          </w:t>
      </w:r>
      <w:r>
        <w:rPr>
          <w:rFonts w:ascii="Times New Roman;Times;serif" w:hAnsi="Times New Roman;Times;serif"/>
          <w:b/>
          <w:sz w:val="20"/>
        </w:rPr>
        <w:t>DEBT</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2024 and December 31, 2023, the Company’s debt consisted of the following:</w:t>
      </w:r>
    </w:p>
    <w:p>
      <w:pPr>
        <w:pStyle w:val="TextBody"/>
        <w:bidi w:val="0"/>
        <w:spacing w:lineRule="atLeast" w:line="200" w:before="0" w:after="0"/>
        <w:ind w:left="0" w:right="0" w:hanging="0"/>
        <w:jc w:val="left"/>
        <w:rPr/>
      </w:pPr>
      <w:r>
        <w:rPr/>
        <w:t>​</w:t>
      </w:r>
    </w:p>
    <w:tbl>
      <w:tblPr>
        <w:tblW w:w="6580" w:type="dxa"/>
        <w:jc w:val="left"/>
        <w:tblInd w:w="0" w:type="dxa"/>
        <w:tblLayout w:type="fixed"/>
        <w:tblCellMar>
          <w:top w:w="0" w:type="dxa"/>
          <w:left w:w="0" w:type="dxa"/>
          <w:bottom w:w="0" w:type="dxa"/>
          <w:right w:w="0" w:type="dxa"/>
        </w:tblCellMar>
      </w:tblPr>
      <w:tblGrid>
        <w:gridCol w:w="3916"/>
        <w:gridCol w:w="326"/>
        <w:gridCol w:w="211"/>
        <w:gridCol w:w="616"/>
        <w:gridCol w:w="326"/>
        <w:gridCol w:w="281"/>
        <w:gridCol w:w="904"/>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486660" cy="175260"/>
                      <wp:effectExtent l="0" t="0" r="0" b="0"/>
                      <wp:wrapNone/>
                      <wp:docPr id="173" name="Frame173"/>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391160" cy="175260"/>
                      <wp:effectExtent l="0" t="0" r="0" b="0"/>
                      <wp:wrapNone/>
                      <wp:docPr id="176" name="Frame17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78435" cy="175260"/>
                      <wp:effectExtent l="0" t="0" r="0" b="0"/>
                      <wp:wrapNone/>
                      <wp:docPr id="178" name="Frame17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574040" cy="175260"/>
                      <wp:effectExtent l="0" t="0" r="0" b="0"/>
                      <wp:wrapNone/>
                      <wp:docPr id="179" name="Frame179"/>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Private Placement Term Loans: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3.37 %, payable through 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3.14 %, payable through 2031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107.3 </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114.4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XI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904" w:type="dxa"/>
            <w:tcBorders/>
            <w:vAlign w:val="center"/>
          </w:tcPr>
          <w:p>
            <w:pPr>
              <w:pStyle w:val="TableContents"/>
              <w:bidi w:val="0"/>
              <w:spacing w:before="0" w:after="0"/>
              <w:ind w:left="0" w:right="0" w:hanging="0"/>
              <w:jc w:val="righ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1.22 %, payable through 2043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154.3 </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158.2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1.35 %, payable through 2044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118.8 </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121.8 </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 </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400.9</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Deferred loan fees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deferred loan fees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389.3</w:t>
            </w:r>
          </w:p>
        </w:tc>
      </w:tr>
    </w:tbl>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Except as described below, the Company’s debt is described in Note 8 to the Consolidated Financial Statements included in the Company’s Annual Report on Form 10-K for the year ended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Revolving Credit Facility:</w:t>
      </w:r>
      <w:r>
        <w:rPr>
          <w:rFonts w:ascii="Times New Roman;Times;serif" w:hAnsi="Times New Roman;Times;serif"/>
          <w:sz w:val="20"/>
        </w:rPr>
        <w:t xml:space="preserve"> The Company’s revolving credit facility has committed available borrowing of up to $650 million and matures on March 31, 2026. As of June 30, 2024, the Company had $644.2 million of remaining borrowing availability under the revolving credit facility. The Company used $5.8 million of the revolving credit facility for letters of credit outstanding as of June 30, 2024. There were no outstanding borrowings under the revolving credit facility as of June 30, 2024 and December 31,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 Security and Guarantees:</w:t>
      </w:r>
      <w:r>
        <w:rPr>
          <w:rFonts w:ascii="Times New Roman;Times;serif" w:hAnsi="Times New Roman;Times;serif"/>
          <w:sz w:val="20"/>
        </w:rPr>
        <w:t xml:space="preserve"> All of the debt of the Company and MatNav, including related guarantees, as of June 30, 2024 was unsecured, except for the Title XI debt.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022" w:name="Tc_pnVV5eC5Y0qXyPn_mHkPGg_9_2"/>
      <w:bookmarkStart w:id="1023" w:name="Tc_UgPxhsYvw0up16JCV7_rqg_9_0"/>
      <w:bookmarkStart w:id="1024" w:name="Tc_oG3pxXwwE0eM7EQz5ABMzw_8_0"/>
      <w:bookmarkStart w:id="1025" w:name="Tc_qfoM2poKXE2WrOt56LTqhA_7_0"/>
      <w:bookmarkStart w:id="1026" w:name="Tc_jxwzd_RhEEivkHw8i3Q3ig_6_0"/>
      <w:bookmarkStart w:id="1027" w:name="Tc_FqkTSzVfM0Ci9DBifAzYFQ_5_0"/>
      <w:bookmarkStart w:id="1028" w:name="Tc_0FoGiQDTVUiAFYA1VaVUSA_4_0"/>
      <w:bookmarkStart w:id="1029" w:name="Tc_6cMe0_o-JEG-3fdXJSYU4g_3_2"/>
      <w:bookmarkStart w:id="1030" w:name="Tc_97BOGGikUUuv5HoE1bx92Q_3_0"/>
      <w:bookmarkStart w:id="1031" w:name="Tc_R60G2SdC90q1KH-ekVQdjA_2_2"/>
      <w:bookmarkStart w:id="1032" w:name="Tc_ri2J0hpYIk-26sPZy78FBg_2_0"/>
      <w:bookmarkStart w:id="1033" w:name="Tc_KdQ9ZGdv6kSOgrebk2P3Zw_1_2"/>
      <w:bookmarkEnd w:id="1022"/>
      <w:bookmarkEnd w:id="1023"/>
      <w:bookmarkEnd w:id="1024"/>
      <w:bookmarkEnd w:id="1025"/>
      <w:bookmarkEnd w:id="1026"/>
      <w:bookmarkEnd w:id="1027"/>
      <w:bookmarkEnd w:id="1028"/>
      <w:bookmarkEnd w:id="1029"/>
      <w:bookmarkEnd w:id="1030"/>
      <w:bookmarkEnd w:id="1031"/>
      <w:bookmarkEnd w:id="1032"/>
      <w:bookmarkEnd w:id="1033"/>
      <w:r>
        <w:rPr>
          <w:rFonts w:ascii="Times New Roman;Times;serif" w:hAnsi="Times New Roman;Times;serif"/>
          <w:b/>
          <w:i/>
          <w:sz w:val="20"/>
        </w:rPr>
        <w:t>Debt Maturities:</w:t>
      </w:r>
      <w:r>
        <w:rPr>
          <w:rFonts w:ascii="Times New Roman;Times;serif" w:hAnsi="Times New Roman;Times;serif"/>
          <w:sz w:val="20"/>
        </w:rPr>
        <w:t xml:space="preserve"> As of June 30, 2024, debt maturities during the next five years and thereafter are as follows:</w:t>
      </w:r>
    </w:p>
    <w:p>
      <w:pPr>
        <w:pStyle w:val="TextBody"/>
        <w:bidi w:val="0"/>
        <w:spacing w:before="0" w:after="0"/>
        <w:ind w:left="0" w:right="0" w:hanging="0"/>
        <w:jc w:val="left"/>
        <w:rPr/>
      </w:pPr>
      <w:r>
        <w:rPr/>
        <w:t>​</w:t>
      </w:r>
    </w:p>
    <w:tbl>
      <w:tblPr>
        <w:tblW w:w="3178" w:type="dxa"/>
        <w:jc w:val="left"/>
        <w:tblInd w:w="0" w:type="dxa"/>
        <w:tblLayout w:type="fixed"/>
        <w:tblCellMar>
          <w:top w:w="0" w:type="dxa"/>
          <w:left w:w="0" w:type="dxa"/>
          <w:bottom w:w="0" w:type="dxa"/>
          <w:right w:w="0" w:type="dxa"/>
        </w:tblCellMar>
      </w:tblPr>
      <w:tblGrid>
        <w:gridCol w:w="1681"/>
        <w:gridCol w:w="326"/>
        <w:gridCol w:w="278"/>
        <w:gridCol w:w="893"/>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067435" cy="175260"/>
                      <wp:effectExtent l="0" t="0" r="0" b="0"/>
                      <wp:wrapNone/>
                      <wp:docPr id="180" name="Frame180"/>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76530" cy="175260"/>
                      <wp:effectExtent l="0" t="0" r="0" b="0"/>
                      <wp:wrapNone/>
                      <wp:docPr id="182" name="Frame182"/>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567055" cy="175260"/>
                      <wp:effectExtent l="0" t="0" r="0" b="0"/>
                      <wp:wrapNone/>
                      <wp:docPr id="183" name="Frame183"/>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color w:val="0563C1"/>
              </w:rPr>
            </w:pPr>
            <w:r>
              <w:rPr>
                <w:color w:val="0563C1"/>
              </w:rPr>
              <w:t>​</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253.6</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420.7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034" w:name="Tc_WWcTRgEIF0qeqzycyVfgJA_13_2"/>
      <w:bookmarkStart w:id="1035" w:name="Tc_htdW-rb2r0ychxLFVC4HOg_13_0"/>
      <w:bookmarkStart w:id="1036" w:name="Tc_yNbvcK3KXE62fbI_j7ioxg_12_0"/>
      <w:bookmarkStart w:id="1037" w:name="Tc_ZfN_PTFao02rmFE7itReEA_11_0"/>
      <w:bookmarkStart w:id="1038" w:name="Tc_OOzO0329jkaN5kDttYzMOQ_10_0"/>
      <w:bookmarkStart w:id="1039" w:name="Tc_vc-vjUeS-USVSOTXM8YPOA_9_0"/>
      <w:bookmarkStart w:id="1040" w:name="Tc_A5y5L4rZ9kmlsmvKF9fVZQ_8_0"/>
      <w:bookmarkStart w:id="1041" w:name="Tc_wVmYZ1zNJ02Gs6aaC1HKDw_7_0"/>
      <w:bookmarkStart w:id="1042" w:name="Tc_QwmjFpJNIE-G8LiTeQBWjQ_6_0"/>
      <w:bookmarkStart w:id="1043" w:name="Tc_73xZd32zVEqWDwwb6w43TQ_5_0"/>
      <w:bookmarkStart w:id="1044" w:name="Tc_SFHBpnKnmEqlSTtrcSnEBQ_4_0"/>
      <w:bookmarkStart w:id="1045" w:name="Tc_16zyBj064UOscMopBKJLLQ_3_2"/>
      <w:bookmarkStart w:id="1046" w:name="Tc_A9SMoqztPkWm_RCbZshh9A_3_0"/>
      <w:bookmarkStart w:id="1047" w:name="Tc_I4XV8gwER0aMmkq7AgnXHQ_2_2"/>
      <w:bookmarkStart w:id="1048" w:name="Tc_t5RajUzTbU2k6R69HC-zwA_2_0"/>
      <w:bookmarkStart w:id="1049" w:name="Tc_mxoZ342QRkWKfM_eY0Y9Cw_1_2"/>
      <w:bookmarkStart w:id="1050" w:name="Tc_gyYAxPTp7kGJZ5P7I5FLkA_7_11"/>
      <w:bookmarkStart w:id="1051" w:name="Tc_36PsaATcvUypxW2epsugtQ_7_8"/>
      <w:bookmarkStart w:id="1052" w:name="Tc_T4r4L57ZO0OYeYpCdErlEA_7_5"/>
      <w:bookmarkStart w:id="1053" w:name="Tc_ZaTBP-qIqEuIYDmIPKmu7A_7_2"/>
      <w:bookmarkStart w:id="1054" w:name="Tc_O9VfWd_DSESKR9hTvWqg5Q_7_0"/>
      <w:bookmarkStart w:id="1055" w:name="Tc_FHFc4G_M9EWN-fP2w80iDA_6_0"/>
      <w:bookmarkStart w:id="1056" w:name="Tc_eikqkeLBGEGVO9jiRrpaww_5_0"/>
      <w:bookmarkStart w:id="1057" w:name="Tc_UdYeKYsm8ky71N5pyXprKg_4_11"/>
      <w:bookmarkStart w:id="1058" w:name="Tc_iGxDWb85X0KBUJtWZ-9mUQ_4_8"/>
      <w:bookmarkStart w:id="1059" w:name="Tc_P5YRO3SCvkqXsUK1PZNOrw_4_5"/>
      <w:bookmarkStart w:id="1060" w:name="Tc_NeSdx0qrwkOTl-vvxzM_Jg_4_2"/>
      <w:bookmarkStart w:id="1061" w:name="Tc_Ue3hwKTpxU6KggqIuH7oQA_4_0"/>
      <w:bookmarkStart w:id="1062" w:name="Tc_kKlkOk4E9UqsU4t4yUyIfA_3_11"/>
      <w:bookmarkStart w:id="1063" w:name="Tc_DHHqMBpJJEyKbsy4DLgCrw_3_8"/>
      <w:bookmarkStart w:id="1064" w:name="Tc_-g76422xr0SWxnU0tpzu6g_3_5"/>
      <w:bookmarkStart w:id="1065" w:name="Tc_-Hd5J_Owokif-9bzVE3FsA_3_2"/>
      <w:bookmarkStart w:id="1066" w:name="Tc_1A7JeQzcEk6saujQGzw3lg_3_0"/>
      <w:bookmarkStart w:id="1067" w:name="Tc_m-cR_TCGcky7IiHoJ8jgJw_2_8"/>
      <w:bookmarkStart w:id="1068" w:name="Tc_Sx5E7fHHyEqJF9Il6NJYOA_2_2"/>
      <w:bookmarkStart w:id="1069" w:name="Tc_ikjoZ3VmmkaJ3KrtfYi9ig_1_8"/>
      <w:bookmarkStart w:id="1070" w:name="Tc_ascBgPqX9EOL5w2ikybQmw_1_2"/>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r>
        <w:rPr>
          <w:rFonts w:ascii="Times New Roman;Times;serif" w:hAnsi="Times New Roman;Times;serif"/>
          <w:b/>
          <w:sz w:val="20"/>
        </w:rPr>
        <w:t>9.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leases are described in Note 9 to the Consolidated Financial Statements included in Part II, Item 8 of the Company’s Annual Report on Form 10-K for the year ended December 31, 2023.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Components of Lease Cost:</w:t>
      </w:r>
      <w:r>
        <w:rPr>
          <w:rFonts w:ascii="Times New Roman;Times;serif" w:hAnsi="Times New Roman;Times;serif"/>
          <w:sz w:val="20"/>
        </w:rPr>
        <w:t xml:space="preserve"> Components of lease cost recorded in the Company’s Condensed Consolidated Statement of Income and Comprehensive Income for the three and six months ended June 30, 2024 and 2023 consisted of the following: </w:t>
      </w:r>
    </w:p>
    <w:p>
      <w:pPr>
        <w:pStyle w:val="TextBody"/>
        <w:bidi w:val="0"/>
        <w:spacing w:before="0" w:after="0"/>
        <w:ind w:left="0" w:right="0" w:hanging="0"/>
        <w:jc w:val="left"/>
        <w:rPr/>
      </w:pPr>
      <w:r>
        <w:rPr/>
        <w:t>​</w:t>
      </w:r>
    </w:p>
    <w:tbl>
      <w:tblPr>
        <w:tblW w:w="5453" w:type="dxa"/>
        <w:jc w:val="left"/>
        <w:tblInd w:w="0" w:type="dxa"/>
        <w:tblLayout w:type="fixed"/>
        <w:tblCellMar>
          <w:top w:w="0" w:type="dxa"/>
          <w:left w:w="0" w:type="dxa"/>
          <w:bottom w:w="0" w:type="dxa"/>
          <w:right w:w="0" w:type="dxa"/>
        </w:tblCellMar>
      </w:tblPr>
      <w:tblGrid>
        <w:gridCol w:w="1801"/>
        <w:gridCol w:w="326"/>
        <w:gridCol w:w="238"/>
        <w:gridCol w:w="525"/>
        <w:gridCol w:w="123"/>
        <w:gridCol w:w="238"/>
        <w:gridCol w:w="525"/>
        <w:gridCol w:w="109"/>
        <w:gridCol w:w="211"/>
        <w:gridCol w:w="466"/>
        <w:gridCol w:w="109"/>
        <w:gridCol w:w="211"/>
        <w:gridCol w:w="57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143635" cy="175260"/>
                      <wp:effectExtent l="0" t="0" r="0" b="0"/>
                      <wp:wrapNone/>
                      <wp:docPr id="184" name="Frame184"/>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51130" cy="175260"/>
                      <wp:effectExtent l="0" t="0" r="0" b="0"/>
                      <wp:wrapNone/>
                      <wp:docPr id="186" name="Frame18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33375" cy="175260"/>
                      <wp:effectExtent l="0" t="0" r="0" b="0"/>
                      <wp:wrapNone/>
                      <wp:docPr id="187" name="Frame187"/>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78105" cy="175260"/>
                      <wp:effectExtent l="0" t="0" r="0" b="0"/>
                      <wp:wrapNone/>
                      <wp:docPr id="188" name="Frame188"/>
                      <a:graphic xmlns:a="http://schemas.openxmlformats.org/drawingml/2006/main">
                        <a:graphicData uri="http://schemas.microsoft.com/office/word/2010/wordprocessingShape">
                          <wps:wsp>
                            <wps:cNvSpPr txBox="1"/>
                            <wps:spPr>
                              <a:xfrm>
                                <a:off x="0" y="0"/>
                                <a:ext cx="78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51130" cy="175260"/>
                      <wp:effectExtent l="0" t="0" r="0" b="0"/>
                      <wp:wrapNone/>
                      <wp:docPr id="189" name="Frame18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33375" cy="175260"/>
                      <wp:effectExtent l="0" t="0" r="0" b="0"/>
                      <wp:wrapNone/>
                      <wp:docPr id="190" name="Frame190"/>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95910" cy="175260"/>
                      <wp:effectExtent l="0" t="0" r="0" b="0"/>
                      <wp:wrapNone/>
                      <wp:docPr id="193" name="Frame193"/>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94" name="Frame1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362585" cy="175260"/>
                      <wp:effectExtent l="0" t="0" r="0" b="0"/>
                      <wp:wrapNone/>
                      <wp:docPr id="196" name="Frame19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49"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56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5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8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center"/>
              <w:rPr/>
            </w:pPr>
            <w:r>
              <w:rPr/>
              <w:t>    </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3" w:type="dxa"/>
            <w:tcBorders/>
            <w:vAlign w:val="center"/>
          </w:tcPr>
          <w:p>
            <w:pPr>
              <w:pStyle w:val="TableContents"/>
              <w:bidi w:val="0"/>
              <w:spacing w:before="0" w:after="0"/>
              <w:ind w:left="0" w:right="0" w:hanging="0"/>
              <w:jc w:val="left"/>
              <w:rPr/>
            </w:pPr>
            <w:r>
              <w:rPr/>
              <w:t>​</w:t>
            </w:r>
          </w:p>
        </w:tc>
        <w:tc>
          <w:tcPr>
            <w:tcW w:w="7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center"/>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26"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23"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center"/>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0"/>
              <w:ind w:left="0" w:right="0" w:hanging="0"/>
              <w:jc w:val="center"/>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123"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operating lease liabilities at June 30, 2024 are as follows:</w:t>
      </w:r>
    </w:p>
    <w:p>
      <w:pPr>
        <w:pStyle w:val="TextBody"/>
        <w:bidi w:val="0"/>
        <w:spacing w:before="0" w:after="0"/>
        <w:ind w:left="0" w:right="0" w:hanging="0"/>
        <w:jc w:val="left"/>
        <w:rPr/>
      </w:pPr>
      <w:r>
        <w:rPr/>
        <w:t>​</w:t>
      </w:r>
    </w:p>
    <w:tbl>
      <w:tblPr>
        <w:tblW w:w="5008" w:type="dxa"/>
        <w:jc w:val="left"/>
        <w:tblInd w:w="0" w:type="dxa"/>
        <w:tblLayout w:type="fixed"/>
        <w:tblCellMar>
          <w:top w:w="0" w:type="dxa"/>
          <w:left w:w="0" w:type="dxa"/>
          <w:bottom w:w="0" w:type="dxa"/>
          <w:right w:w="0" w:type="dxa"/>
        </w:tblCellMar>
      </w:tblPr>
      <w:tblGrid>
        <w:gridCol w:w="3511"/>
        <w:gridCol w:w="326"/>
        <w:gridCol w:w="278"/>
        <w:gridCol w:w="893"/>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29485" cy="175260"/>
                      <wp:effectExtent l="0" t="0" r="0" b="0"/>
                      <wp:wrapNone/>
                      <wp:docPr id="197" name="Frame197"/>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76530" cy="175260"/>
                      <wp:effectExtent l="0" t="0" r="0" b="0"/>
                      <wp:wrapNone/>
                      <wp:docPr id="199" name="Frame199"/>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67055" cy="175260"/>
                      <wp:effectExtent l="0" t="0" r="0" b="0"/>
                      <wp:wrapNone/>
                      <wp:docPr id="200" name="Frame200"/>
                      <a:graphic xmlns:a="http://schemas.openxmlformats.org/drawingml/2006/main">
                        <a:graphicData uri="http://schemas.microsoft.com/office/word/2010/wordprocessingShape">
                          <wps:wsp>
                            <wps:cNvSpPr txBox="1"/>
                            <wps:spPr>
                              <a:xfrm>
                                <a:off x="0" y="0"/>
                                <a:ext cx="567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 (in millions)</w:t>
            </w:r>
          </w:p>
        </w:tc>
        <w:tc>
          <w:tcPr>
            <w:tcW w:w="326" w:type="dxa"/>
            <w:tcBorders/>
            <w:vAlign w:val="center"/>
          </w:tcPr>
          <w:p>
            <w:pPr>
              <w:pStyle w:val="TableContents"/>
              <w:bidi w:val="0"/>
              <w:spacing w:before="0" w:after="0"/>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center"/>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center"/>
              <w:rPr/>
            </w:pPr>
            <w:r>
              <w:rPr/>
              <w:t>​</w:t>
            </w:r>
          </w:p>
        </w:tc>
        <w:tc>
          <w:tcPr>
            <w:tcW w:w="278" w:type="dxa"/>
            <w:tcBorders/>
            <w:vAlign w:val="center"/>
          </w:tcPr>
          <w:p>
            <w:pPr>
              <w:pStyle w:val="TableContents"/>
              <w:bidi w:val="0"/>
              <w:spacing w:before="0" w:after="0"/>
              <w:ind w:left="0" w:right="0" w:hanging="0"/>
              <w:jc w:val="left"/>
              <w:rPr/>
            </w:pPr>
            <w:r>
              <w:rPr/>
              <w:t> </w:t>
            </w:r>
          </w:p>
        </w:tc>
        <w:tc>
          <w:tcPr>
            <w:tcW w:w="8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 </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285.7</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operating lease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253.2</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Short-term portion</w:t>
            </w:r>
          </w:p>
        </w:tc>
        <w:tc>
          <w:tcPr>
            <w:tcW w:w="326" w:type="dxa"/>
            <w:tcBorders/>
            <w:vAlign w:val="center"/>
          </w:tcPr>
          <w:p>
            <w:pPr>
              <w:pStyle w:val="TableContents"/>
              <w:bidi w:val="0"/>
              <w:spacing w:before="0" w:after="0"/>
              <w:ind w:left="0" w:right="0" w:hanging="0"/>
              <w:jc w:val="center"/>
              <w:rPr/>
            </w:pPr>
            <w:r>
              <w:rPr/>
              <w:t>​</w:t>
            </w:r>
          </w:p>
        </w:tc>
        <w:tc>
          <w:tcPr>
            <w:tcW w:w="27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CCEEFF" w:val="clear"/>
            <w:vAlign w:val="center"/>
          </w:tcPr>
          <w:p>
            <w:pPr>
              <w:pStyle w:val="TableContents"/>
              <w:bidi w:val="0"/>
              <w:spacing w:before="0" w:after="0"/>
              <w:ind w:left="0" w:right="0" w:hanging="0"/>
              <w:jc w:val="center"/>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71" w:name="Tc_3JsWj-lENkKgWZIC3-gooA_14_14"/>
      <w:bookmarkStart w:id="1072" w:name="Tc_zs1eoIdDQEiA5Are3LRPFg_14_11"/>
      <w:bookmarkStart w:id="1073" w:name="Tc_eO6Zc6sAkE21NjxdA7cb7A_14_8"/>
      <w:bookmarkStart w:id="1074" w:name="Tc_cu8HO2H75UijmAdMDdjlLw_14_5"/>
      <w:bookmarkStart w:id="1075" w:name="Tc_XJY1jMgUy0WcXBN7k4vBMg_14_2"/>
      <w:bookmarkStart w:id="1076" w:name="Tc_xBAG2MFup0-npkzc6XXVbg_14_0"/>
      <w:bookmarkStart w:id="1077" w:name="Tc_ch11w84MBEmXej_xMRPEWQ_13_9"/>
      <w:bookmarkStart w:id="1078" w:name="Tc_1IEsK2lIIUimS5HpNGYu5A_13_6"/>
      <w:bookmarkStart w:id="1079" w:name="Tc_3U3Gtj-QXUK2X1SNGzLOug_13_3"/>
      <w:bookmarkStart w:id="1080" w:name="Tc_qSRXuR8wlUWusWybBttgIw_13_0"/>
      <w:bookmarkStart w:id="1081" w:name="Tc_aDOZDWin8UKVlD4I9zhfrQ_12_12"/>
      <w:bookmarkStart w:id="1082" w:name="Tc_qFHxVktefUiCXwzbnICymA_12_9"/>
      <w:bookmarkStart w:id="1083" w:name="Tc_ZlDH6I1l0E-KU1LzDWmRlQ_12_0"/>
      <w:bookmarkStart w:id="1084" w:name="Tc_TMaxvu1RA0OAVMKerRO0Ig_11_12"/>
      <w:bookmarkStart w:id="1085" w:name="Tc_lnZCpt1i3E6ASW31W4BrNQ_11_9"/>
      <w:bookmarkStart w:id="1086" w:name="Tc_Gn9wIRPVZkOEeHDdxf9O3A_11_3"/>
      <w:bookmarkStart w:id="1087" w:name="Tc_cj835dMmmU-d5TFKvL1eiA_11_0"/>
      <w:bookmarkStart w:id="1088" w:name="Tc_-njpkjt-gkSTo3ot19d6ng_10_0"/>
      <w:bookmarkStart w:id="1089" w:name="Tc_O6XeQGKXmkyYCXrHPtfrig_9_9"/>
      <w:bookmarkStart w:id="1090" w:name="Tc_A8vQ-W2YKUiTIOccevjHeQ_9_6"/>
      <w:bookmarkStart w:id="1091" w:name="Tc_1icKuQjoykOkCs_I6WssUA_9_3"/>
      <w:bookmarkStart w:id="1092" w:name="Tc_m5XPoPUCyE2jZqP_op68-Q_9_0"/>
      <w:bookmarkStart w:id="1093" w:name="Tc_ijzz8C9KlUq6vrolXnnJyA_8_9"/>
      <w:bookmarkStart w:id="1094" w:name="Tc_u-I2nfNHR0iAj_ZAkdI41Q_8_6"/>
      <w:bookmarkStart w:id="1095" w:name="Tc_1RcWsna6REiyI2O7ogZY0Q_8_3"/>
      <w:bookmarkStart w:id="1096" w:name="Tc_0x7X4nDCcUOTbLlwwtpJPQ_8_0"/>
      <w:bookmarkStart w:id="1097" w:name="Tc_j2ABvMQ8dEqN31Laif0Y1A_7_12"/>
      <w:bookmarkStart w:id="1098" w:name="Tc_HvJrX_BTt0uoEJ_PGF3VRQ_7_9"/>
      <w:bookmarkStart w:id="1099" w:name="Tc_qcahTBop6EaqFm3F8VyYuw_7_0"/>
      <w:bookmarkStart w:id="1100" w:name="Tc_7AMDHV8e_keQgCBsSdek-g_6_12"/>
      <w:bookmarkStart w:id="1101" w:name="Tc_yIZJ95sJOEuoqMVaRIhmLw_6_9"/>
      <w:bookmarkStart w:id="1102" w:name="Tc_9cHTDqL2hkiLOjNUlU4Iww_6_3"/>
      <w:bookmarkStart w:id="1103" w:name="Tc_IZ9xzPNCiE-txncecmOaqA_6_0"/>
      <w:bookmarkStart w:id="1104" w:name="Tc_7yKbyEUPl0Cnyd8RLJ6xug_5_14"/>
      <w:bookmarkStart w:id="1105" w:name="Tc_rFKeAYPoK0eq3dw7EpuJdg_5_11"/>
      <w:bookmarkStart w:id="1106" w:name="Tc_2GN350YurkW_oY6WTVdVXw_5_8"/>
      <w:bookmarkStart w:id="1107" w:name="Tc_nrmJlvm-RUaVFJ9WbDDjUw_5_5"/>
      <w:bookmarkStart w:id="1108" w:name="Tc_Jx34D0p0fUSw5zUCt8ZdUA_5_2"/>
      <w:bookmarkStart w:id="1109" w:name="Tc_B1m5j8kVpEOaZ81YiKyn8g_5_0"/>
      <w:bookmarkStart w:id="1110" w:name="Tc_pntLV3CBnEGbhtXGhPh-lw_4_14"/>
      <w:bookmarkStart w:id="1111" w:name="Tc_Dd2hVZW-Z0Wc7tThy5NYeg_4_11"/>
      <w:bookmarkStart w:id="1112" w:name="Tc_aD9Kvw1Uuk-cMtnHO7cYjA_4_8"/>
      <w:bookmarkStart w:id="1113" w:name="Tc_hbY8F7sN3UmrU9qS-IoReQ_4_5"/>
      <w:bookmarkStart w:id="1114" w:name="Tc_l271b5x5akypR5UzxJmHIQ_4_2"/>
      <w:bookmarkStart w:id="1115" w:name="Tc_WSArX7-vGkOgvxgWEcNnrQ_4_0"/>
      <w:bookmarkStart w:id="1116" w:name="Tc_yeRYofLd4ECNAGOAzT0nRw_3_14"/>
      <w:bookmarkStart w:id="1117" w:name="Tc_vyY6x00rq0OOMkvLYBc5WQ_3_8"/>
      <w:bookmarkStart w:id="1118" w:name="Tc_pV-1t0xmik6iMJHUXbrtsg_3_5"/>
      <w:bookmarkStart w:id="1119" w:name="Tc_OleEM759DUuwQSLWgJ32mA_3_2"/>
      <w:bookmarkStart w:id="1120" w:name="Tc_Dnfb04IKykqCYajr4aZ6FQ_2_14"/>
      <w:bookmarkStart w:id="1121" w:name="Tc_gjk4dO5mAkSIVDrKvnk1IQ_2_8"/>
      <w:bookmarkStart w:id="1122" w:name="Tc_OdZro4eqrkOfEi-rIvsn0w_2_5"/>
      <w:bookmarkStart w:id="1123" w:name="Tc_mvlCFPNQo0e6r2HZiTyirA_1_14"/>
      <w:bookmarkStart w:id="1124" w:name="_24824587_02f3_40af_a17f_16138927bde4"/>
      <w:bookmarkStart w:id="1125" w:name="Tc_x7ty8qCVQE-fl4XKjSND7A_14_14"/>
      <w:bookmarkStart w:id="1126" w:name="Tc_HaaJ7l9KXkuPTwKtq1Zozw_14_11"/>
      <w:bookmarkStart w:id="1127" w:name="Tc_4MlVGe9wmkOov7gQEyg2PQ_14_8"/>
      <w:bookmarkStart w:id="1128" w:name="Tc_PXjse4LmzEWoazdUxl0QjA_14_5"/>
      <w:bookmarkStart w:id="1129" w:name="Tc_xNzKyDZRNUGhs3ueZ5ZoHg_14_2"/>
      <w:bookmarkStart w:id="1130" w:name="Tc_FpLwu8QH_U-CQF9mLvAbuA_14_0"/>
      <w:bookmarkStart w:id="1131" w:name="Tc_WSEQl17FTkShLpWGNGxe7A_13_9"/>
      <w:bookmarkStart w:id="1132" w:name="Tc_1SUK0TreW0Wnlv5ZhpLr_g_13_6"/>
      <w:bookmarkStart w:id="1133" w:name="Tc_IBe3snVq0Ue188cDTO3fbA_13_3"/>
      <w:bookmarkStart w:id="1134" w:name="Tc_YrUq46xhg0iBhV0cdpzdYA_13_0"/>
      <w:bookmarkStart w:id="1135" w:name="Tc_GDj5TjZeAEWuqjlCEIfwZw_12_15"/>
      <w:bookmarkStart w:id="1136" w:name="Tc_YqUPi0avQUWZeUgctRi-Zg_12_12"/>
      <w:bookmarkStart w:id="1137" w:name="Tc_mpSzs86aZkaZKz1ohuP0Gg_12_9"/>
      <w:bookmarkStart w:id="1138" w:name="Tc_a0bYEVAC90G21lVEYpoRzA_12_0"/>
      <w:bookmarkStart w:id="1139" w:name="Tc_Zj4NI7zuuEKgxauQpcuB-A_11_12"/>
      <w:bookmarkStart w:id="1140" w:name="Tc_3FO690B6eEiOARLJ670-Ig_11_9"/>
      <w:bookmarkStart w:id="1141" w:name="Tc_log1ZipH_0C-9VY33vgiYw_11_3"/>
      <w:bookmarkStart w:id="1142" w:name="Tc_flBYUsvS70OIyJDf2dLGAg_11_0"/>
      <w:bookmarkStart w:id="1143" w:name="Tc_AMLRjkI7kUCAe6CO1ih7Pg_10_0"/>
      <w:bookmarkStart w:id="1144" w:name="Tc_2KqikEq9uUOM0-GzQ9IlXA_9_9"/>
      <w:bookmarkStart w:id="1145" w:name="Tc_KVjRja4k7E-dlfHRio8Xhg_9_6"/>
      <w:bookmarkStart w:id="1146" w:name="Tc_CnpvlCSXCU--GZ0O-kc4BA_9_3"/>
      <w:bookmarkStart w:id="1147" w:name="Tc_bhj6S8fuH0mrgejIeF7nGw_9_0"/>
      <w:bookmarkStart w:id="1148" w:name="Tc_IPRuy-lu3kueeIejWOAKRw_8_9"/>
      <w:bookmarkStart w:id="1149" w:name="Tc_i7VgIdnngUGPUDfgMZul6g_8_6"/>
      <w:bookmarkStart w:id="1150" w:name="Tc_D0Fp9z9LR0O-EBRf1orJMA_8_3"/>
      <w:bookmarkStart w:id="1151" w:name="Tc_KEhTVeX8RUy8aaOV1Ztpng_8_0"/>
      <w:bookmarkStart w:id="1152" w:name="Tc_4QQiCoE6YUimILYrZAPlPQ_7_12"/>
      <w:bookmarkStart w:id="1153" w:name="Tc_h212W8sJZEGALI0EFaKcFg_7_9"/>
      <w:bookmarkStart w:id="1154" w:name="Tc_jwJBeVPC-0yuCj6dihNPew_7_0"/>
      <w:bookmarkStart w:id="1155" w:name="Tc_FagoqW2-tE-Ad9xANMRrlA_6_12"/>
      <w:bookmarkStart w:id="1156" w:name="Tc_Y6rP25nAAk6cuRPzXwbWqw_6_9"/>
      <w:bookmarkStart w:id="1157" w:name="Tc_RIodbpAPlEeZZKfTrlj87g_6_3"/>
      <w:bookmarkStart w:id="1158" w:name="Tc_9TZInLWVLUKDMCaf2sb4pA_6_0"/>
      <w:bookmarkStart w:id="1159" w:name="Tc_tEdIXBMweE61XQR-ezC1qg_5_14"/>
      <w:bookmarkStart w:id="1160" w:name="Tc_JPUQBVQ_EkqMlOfUYSMCzg_5_11"/>
      <w:bookmarkStart w:id="1161" w:name="Tc_crwzQaocDk26bcw_hurhaQ_5_8"/>
      <w:bookmarkStart w:id="1162" w:name="Tc_SjT9MMXZe0GSmwAc8ZQTcw_5_5"/>
      <w:bookmarkStart w:id="1163" w:name="Tc_mBgLIAFSC0aEPuo_sAW3Lg_5_2"/>
      <w:bookmarkStart w:id="1164" w:name="Tc_KBghqO_Szku_tChEU0Ttnw_5_0"/>
      <w:bookmarkStart w:id="1165" w:name="Tc_9Jsl-pjzgUWwD5qdcbYgKA_4_14"/>
      <w:bookmarkStart w:id="1166" w:name="Tc_QhrqKTgWZUGZBlaDcrYayg_4_11"/>
      <w:bookmarkStart w:id="1167" w:name="Tc_MrGSFr4f7UmtvmIkGvHhlA_4_8"/>
      <w:bookmarkStart w:id="1168" w:name="Tc_Hebwd9Hnm0els4qgke-MQQ_4_5"/>
      <w:bookmarkStart w:id="1169" w:name="Tc_6knjD94jc0--xBZ-uShyQg_4_2"/>
      <w:bookmarkStart w:id="1170" w:name="Tc_mWYE5sqVr0Gvp1A-XQ8JsA_4_0"/>
      <w:bookmarkStart w:id="1171" w:name="Tc_DX9wgLGc20WWEVT01WUtCA_3_14"/>
      <w:bookmarkStart w:id="1172" w:name="Tc_3WZ0y0i0lkis9lotHREfMg_3_8"/>
      <w:bookmarkStart w:id="1173" w:name="Tc_TYSgGGkCak-1bnhDqCSJ6w_3_5"/>
      <w:bookmarkStart w:id="1174" w:name="Tc_Qy0-A_Inj06zAHh9t9sUAw_3_2"/>
      <w:bookmarkStart w:id="1175" w:name="Tc_IPwnVabVK0KhBFSk3Z6b8A_2_14"/>
      <w:bookmarkStart w:id="1176" w:name="Tc_Dk-saiDku0KFPW7_N0UFUA_2_8"/>
      <w:bookmarkStart w:id="1177" w:name="Tc_2BHasqom2U2uOamVRzhE8Q_2_5"/>
      <w:bookmarkStart w:id="1178" w:name="Tc_V_tHrq3qJkGOLFfVg1dHkQ_1_14"/>
      <w:bookmarkStart w:id="1179" w:name="_e1001717_62d6_4e4c_82f1_b7415064dd16"/>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r>
        <w:rPr>
          <w:rFonts w:ascii="Times New Roman;Times;serif" w:hAnsi="Times New Roman;Times;serif"/>
          <w:b/>
          <w:sz w:val="20"/>
        </w:rPr>
        <w:t>10.          ACCUMULATED OTHER COMPREHENSIVE INCOME (LOSS)</w:t>
      </w:r>
    </w:p>
    <w:p>
      <w:pPr>
        <w:pStyle w:val="TextBody"/>
        <w:bidi w:val="0"/>
        <w:spacing w:lineRule="atLeast" w:line="200"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six months ended June 30, 2024 consisted of the following:</w:t>
      </w:r>
    </w:p>
    <w:tbl>
      <w:tblPr>
        <w:tblW w:w="9104" w:type="dxa"/>
        <w:jc w:val="left"/>
        <w:tblInd w:w="0" w:type="dxa"/>
        <w:tblLayout w:type="fixed"/>
        <w:tblCellMar>
          <w:top w:w="0" w:type="dxa"/>
          <w:left w:w="0" w:type="dxa"/>
          <w:bottom w:w="0" w:type="dxa"/>
          <w:right w:w="0" w:type="dxa"/>
        </w:tblCellMar>
      </w:tblPr>
      <w:tblGrid>
        <w:gridCol w:w="2881"/>
        <w:gridCol w:w="326"/>
        <w:gridCol w:w="211"/>
        <w:gridCol w:w="586"/>
        <w:gridCol w:w="326"/>
        <w:gridCol w:w="285"/>
        <w:gridCol w:w="631"/>
        <w:gridCol w:w="326"/>
        <w:gridCol w:w="260"/>
        <w:gridCol w:w="521"/>
        <w:gridCol w:w="326"/>
        <w:gridCol w:w="211"/>
        <w:gridCol w:w="481"/>
        <w:gridCol w:w="326"/>
        <w:gridCol w:w="347"/>
        <w:gridCol w:w="869"/>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829435" cy="175895"/>
                      <wp:effectExtent l="0" t="0" r="0" b="0"/>
                      <wp:wrapNone/>
                      <wp:docPr id="201" name="Frame201"/>
                      <a:graphic xmlns:a="http://schemas.openxmlformats.org/drawingml/2006/main">
                        <a:graphicData uri="http://schemas.microsoft.com/office/word/2010/wordprocessingShape">
                          <wps:wsp>
                            <wps:cNvSpPr txBox="1"/>
                            <wps:spPr>
                              <a:xfrm>
                                <a:off x="0" y="0"/>
                                <a:ext cx="1829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895"/>
                      <wp:effectExtent l="0" t="0" r="0" b="0"/>
                      <wp:wrapNone/>
                      <wp:docPr id="202" name="Frame20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895"/>
                      <wp:effectExtent l="0" t="0" r="0" b="0"/>
                      <wp:wrapNone/>
                      <wp:docPr id="203" name="Frame203"/>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372110" cy="175895"/>
                      <wp:effectExtent l="0" t="0" r="0" b="0"/>
                      <wp:wrapNone/>
                      <wp:docPr id="204" name="Frame204"/>
                      <a:graphic xmlns:a="http://schemas.openxmlformats.org/drawingml/2006/main">
                        <a:graphicData uri="http://schemas.microsoft.com/office/word/2010/wordprocessingShape">
                          <wps:wsp>
                            <wps:cNvSpPr txBox="1"/>
                            <wps:spPr>
                              <a:xfrm>
                                <a:off x="0" y="0"/>
                                <a:ext cx="3721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895"/>
                      <wp:effectExtent l="0" t="0" r="0" b="0"/>
                      <wp:wrapNone/>
                      <wp:docPr id="205" name="Frame20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0975" cy="175895"/>
                      <wp:effectExtent l="0" t="0" r="0" b="0"/>
                      <wp:wrapNone/>
                      <wp:docPr id="206" name="Frame206"/>
                      <a:graphic xmlns:a="http://schemas.openxmlformats.org/drawingml/2006/main">
                        <a:graphicData uri="http://schemas.microsoft.com/office/word/2010/wordprocessingShape">
                          <wps:wsp>
                            <wps:cNvSpPr txBox="1"/>
                            <wps:spPr>
                              <a:xfrm>
                                <a:off x="0" y="0"/>
                                <a:ext cx="18097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00685" cy="175895"/>
                      <wp:effectExtent l="0" t="0" r="0" b="0"/>
                      <wp:wrapNone/>
                      <wp:docPr id="207" name="Frame207"/>
                      <a:graphic xmlns:a="http://schemas.openxmlformats.org/drawingml/2006/main">
                        <a:graphicData uri="http://schemas.microsoft.com/office/word/2010/wordprocessingShape">
                          <wps:wsp>
                            <wps:cNvSpPr txBox="1"/>
                            <wps:spPr>
                              <a:xfrm>
                                <a:off x="0" y="0"/>
                                <a:ext cx="4006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895"/>
                      <wp:effectExtent l="0" t="0" r="0" b="0"/>
                      <wp:wrapNone/>
                      <wp:docPr id="208" name="Frame20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65100" cy="175895"/>
                      <wp:effectExtent l="0" t="0" r="0" b="0"/>
                      <wp:wrapNone/>
                      <wp:docPr id="209" name="Frame209"/>
                      <a:graphic xmlns:a="http://schemas.openxmlformats.org/drawingml/2006/main">
                        <a:graphicData uri="http://schemas.microsoft.com/office/word/2010/wordprocessingShape">
                          <wps:wsp>
                            <wps:cNvSpPr txBox="1"/>
                            <wps:spPr>
                              <a:xfrm>
                                <a:off x="0" y="0"/>
                                <a:ext cx="16510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30835" cy="175895"/>
                      <wp:effectExtent l="0" t="0" r="0" b="0"/>
                      <wp:wrapNone/>
                      <wp:docPr id="210" name="Frame210"/>
                      <a:graphic xmlns:a="http://schemas.openxmlformats.org/drawingml/2006/main">
                        <a:graphicData uri="http://schemas.microsoft.com/office/word/2010/wordprocessingShape">
                          <wps:wsp>
                            <wps:cNvSpPr txBox="1"/>
                            <wps:spPr>
                              <a:xfrm>
                                <a:off x="0" y="0"/>
                                <a:ext cx="3308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895"/>
                      <wp:effectExtent l="0" t="0" r="0" b="0"/>
                      <wp:wrapNone/>
                      <wp:docPr id="211" name="Frame211"/>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33985" cy="175895"/>
                      <wp:effectExtent l="0" t="0" r="0" b="0"/>
                      <wp:wrapNone/>
                      <wp:docPr id="212" name="Frame212"/>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05435" cy="175895"/>
                      <wp:effectExtent l="0" t="0" r="0" b="0"/>
                      <wp:wrapNone/>
                      <wp:docPr id="213" name="Frame213"/>
                      <a:graphic xmlns:a="http://schemas.openxmlformats.org/drawingml/2006/main">
                        <a:graphicData uri="http://schemas.microsoft.com/office/word/2010/wordprocessingShape">
                          <wps:wsp>
                            <wps:cNvSpPr txBox="1"/>
                            <wps:spPr>
                              <a:xfrm>
                                <a:off x="0" y="0"/>
                                <a:ext cx="3054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895"/>
                      <wp:effectExtent l="0" t="0" r="0" b="0"/>
                      <wp:wrapNone/>
                      <wp:docPr id="214" name="Frame214"/>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20345" cy="175895"/>
                      <wp:effectExtent l="0" t="0" r="0" b="0"/>
                      <wp:wrapNone/>
                      <wp:docPr id="215" name="Frame215"/>
                      <a:graphic xmlns:a="http://schemas.openxmlformats.org/drawingml/2006/main">
                        <a:graphicData uri="http://schemas.microsoft.com/office/word/2010/wordprocessingShape">
                          <wps:wsp>
                            <wps:cNvSpPr txBox="1"/>
                            <wps:spPr>
                              <a:xfrm>
                                <a:off x="0" y="0"/>
                                <a:ext cx="22034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551815" cy="175895"/>
                      <wp:effectExtent l="0" t="0" r="0" b="0"/>
                      <wp:wrapNone/>
                      <wp:docPr id="216" name="Frame216"/>
                      <a:graphic xmlns:a="http://schemas.openxmlformats.org/drawingml/2006/main">
                        <a:graphicData uri="http://schemas.microsoft.com/office/word/2010/wordprocessingShape">
                          <wps:wsp>
                            <wps:cNvSpPr txBox="1"/>
                            <wps:spPr>
                              <a:xfrm>
                                <a:off x="0" y="0"/>
                                <a:ext cx="5518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21285" cy="175895"/>
                      <wp:effectExtent l="0" t="0" r="0" b="0"/>
                      <wp:wrapNone/>
                      <wp:docPr id="217" name="Frame217"/>
                      <a:graphic xmlns:a="http://schemas.openxmlformats.org/drawingml/2006/main">
                        <a:graphicData uri="http://schemas.microsoft.com/office/word/2010/wordprocessingShape">
                          <wps:wsp>
                            <wps:cNvSpPr txBox="1"/>
                            <wps:spPr>
                              <a:xfrm>
                                <a:off x="0" y="0"/>
                                <a:ext cx="1212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97"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26" w:type="dxa"/>
            <w:tcBorders/>
            <w:vAlign w:val="center"/>
          </w:tcPr>
          <w:p>
            <w:pPr>
              <w:pStyle w:val="TableContents"/>
              <w:bidi w:val="0"/>
              <w:spacing w:before="1" w:after="1"/>
              <w:ind w:left="0" w:right="0" w:hanging="0"/>
              <w:jc w:val="left"/>
              <w:rPr/>
            </w:pPr>
            <w:r>
              <w:rPr/>
              <w:t>​</w:t>
            </w:r>
          </w:p>
        </w:tc>
        <w:tc>
          <w:tcPr>
            <w:tcW w:w="9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26" w:type="dxa"/>
            <w:tcBorders/>
            <w:vAlign w:val="center"/>
          </w:tcPr>
          <w:p>
            <w:pPr>
              <w:pStyle w:val="TableContents"/>
              <w:bidi w:val="0"/>
              <w:spacing w:before="1" w:after="1"/>
              <w:ind w:left="0" w:right="0" w:hanging="0"/>
              <w:jc w:val="left"/>
              <w:rPr/>
            </w:pPr>
            <w:r>
              <w:rPr/>
              <w:t>​</w:t>
            </w:r>
          </w:p>
        </w:tc>
        <w:tc>
          <w:tcPr>
            <w:tcW w:w="781"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26" w:type="dxa"/>
            <w:tcBorders/>
            <w:vAlign w:val="center"/>
          </w:tcPr>
          <w:p>
            <w:pPr>
              <w:pStyle w:val="TableContents"/>
              <w:bidi w:val="0"/>
              <w:spacing w:before="1" w:after="1"/>
              <w:ind w:left="0" w:right="0" w:hanging="0"/>
              <w:jc w:val="left"/>
              <w:rPr/>
            </w:pPr>
            <w:r>
              <w:rPr/>
              <w:t>​</w:t>
            </w:r>
          </w:p>
        </w:tc>
        <w:tc>
          <w:tcPr>
            <w:tcW w:w="692" w:type="dxa"/>
            <w:gridSpan w:val="2"/>
            <w:tcBorders/>
            <w:vAlign w:val="center"/>
          </w:tcPr>
          <w:p>
            <w:pPr>
              <w:pStyle w:val="TableContents"/>
              <w:bidi w:val="0"/>
              <w:spacing w:before="1" w:after="1"/>
              <w:ind w:left="0" w:right="0" w:hanging="0"/>
              <w:jc w:val="center"/>
              <w:rPr/>
            </w:pPr>
            <w:r>
              <w:rPr/>
              <w:t>​</w:t>
            </w:r>
          </w:p>
        </w:tc>
        <w:tc>
          <w:tcPr>
            <w:tcW w:w="326" w:type="dxa"/>
            <w:tcBorders/>
            <w:vAlign w:val="center"/>
          </w:tcPr>
          <w:p>
            <w:pPr>
              <w:pStyle w:val="TableContents"/>
              <w:bidi w:val="0"/>
              <w:spacing w:before="1" w:after="1"/>
              <w:ind w:left="0" w:right="0" w:hanging="0"/>
              <w:jc w:val="left"/>
              <w:rPr/>
            </w:pPr>
            <w:r>
              <w:rPr/>
              <w:t>​</w:t>
            </w:r>
          </w:p>
        </w:tc>
        <w:tc>
          <w:tcPr>
            <w:tcW w:w="1216"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1" w:after="1"/>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1" w:after="1"/>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1" w:after="1"/>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1" w:after="1"/>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1"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1" w:after="1"/>
              <w:ind w:left="0" w:right="0" w:hanging="0"/>
              <w:jc w:val="left"/>
              <w:rPr/>
            </w:pPr>
            <w:r>
              <w:rPr/>
              <w:t> </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December 31, 2023</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1" w:after="1"/>
              <w:ind w:left="0" w:right="0" w:hanging="0"/>
              <w:jc w:val="left"/>
              <w:rPr/>
            </w:pPr>
            <w:r>
              <w:rPr/>
              <w:t>​</w:t>
            </w:r>
          </w:p>
        </w:tc>
        <w:tc>
          <w:tcPr>
            <w:tcW w:w="347"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347" w:type="dxa"/>
            <w:tcBorders/>
            <w:vAlign w:val="center"/>
          </w:tcPr>
          <w:p>
            <w:pPr>
              <w:pStyle w:val="TableContents"/>
              <w:bidi w:val="0"/>
              <w:spacing w:before="1" w:after="1"/>
              <w:ind w:left="0" w:right="0" w:hanging="0"/>
              <w:jc w:val="left"/>
              <w:rPr/>
            </w:pPr>
            <w:r>
              <w:rPr/>
              <w:t>​</w:t>
            </w:r>
          </w:p>
        </w:tc>
        <w:tc>
          <w:tcPr>
            <w:tcW w:w="86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pPr>
            <w:r>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347" w:type="dxa"/>
            <w:tcBorders/>
            <w:shd w:fill="CCEEFF" w:val="clear"/>
            <w:vAlign w:val="center"/>
          </w:tcPr>
          <w:p>
            <w:pPr>
              <w:pStyle w:val="TableContents"/>
              <w:bidi w:val="0"/>
              <w:spacing w:before="1" w:after="1"/>
              <w:ind w:left="0" w:right="0" w:hanging="0"/>
              <w:jc w:val="left"/>
              <w:rPr/>
            </w:pPr>
            <w:r>
              <w:rPr/>
              <w:t>​</w:t>
            </w:r>
          </w:p>
        </w:tc>
        <w:tc>
          <w:tcPr>
            <w:tcW w:w="86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26" w:type="dxa"/>
            <w:tcBorders/>
            <w:vAlign w:val="center"/>
          </w:tcPr>
          <w:p>
            <w:pPr>
              <w:pStyle w:val="TableContents"/>
              <w:bidi w:val="0"/>
              <w:spacing w:before="1" w:after="1"/>
              <w:ind w:left="0" w:right="0" w:hanging="0"/>
              <w:jc w:val="left"/>
              <w:rPr/>
            </w:pPr>
            <w:r>
              <w:rPr/>
              <w:t>​</w:t>
            </w:r>
          </w:p>
        </w:tc>
        <w:tc>
          <w:tcPr>
            <w:tcW w:w="347" w:type="dxa"/>
            <w:tcBorders/>
            <w:vAlign w:val="center"/>
          </w:tcPr>
          <w:p>
            <w:pPr>
              <w:pStyle w:val="TableContents"/>
              <w:bidi w:val="0"/>
              <w:spacing w:before="1" w:after="1"/>
              <w:ind w:left="0" w:right="0" w:hanging="0"/>
              <w:jc w:val="left"/>
              <w:rPr/>
            </w:pPr>
            <w:r>
              <w:rPr/>
              <w:t>​</w:t>
            </w:r>
          </w:p>
        </w:tc>
        <w:tc>
          <w:tcPr>
            <w:tcW w:w="86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1"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March 31, 2024</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(20.2)</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0.5</w:t>
            </w:r>
          </w:p>
        </w:tc>
        <w:tc>
          <w:tcPr>
            <w:tcW w:w="326" w:type="dxa"/>
            <w:tcBorders/>
            <w:vAlign w:val="center"/>
          </w:tcPr>
          <w:p>
            <w:pPr>
              <w:pStyle w:val="TableContents"/>
              <w:bidi w:val="0"/>
              <w:spacing w:before="1" w:after="1"/>
              <w:ind w:left="0" w:right="0" w:hanging="0"/>
              <w:jc w:val="left"/>
              <w:rPr/>
            </w:pPr>
            <w:r>
              <w:rPr/>
              <w:t>​</w:t>
            </w:r>
          </w:p>
        </w:tc>
        <w:tc>
          <w:tcPr>
            <w:tcW w:w="347" w:type="dxa"/>
            <w:tcBorders/>
            <w:vAlign w:val="center"/>
          </w:tcPr>
          <w:p>
            <w:pPr>
              <w:pStyle w:val="TableContents"/>
              <w:bidi w:val="0"/>
              <w:spacing w:before="1" w:after="1"/>
              <w:ind w:left="0" w:right="0" w:hanging="0"/>
              <w:jc w:val="left"/>
              <w:rPr/>
            </w:pPr>
            <w:r>
              <w:rPr/>
              <w:t>​</w:t>
            </w:r>
          </w:p>
        </w:tc>
        <w:tc>
          <w:tcPr>
            <w:tcW w:w="869"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58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shd w:fill="CCEEFF" w:val="clear"/>
            <w:vAlign w:val="center"/>
          </w:tcPr>
          <w:p>
            <w:pPr>
              <w:pStyle w:val="TableContents"/>
              <w:bidi w:val="0"/>
              <w:spacing w:before="1" w:after="1"/>
              <w:ind w:left="0" w:right="0" w:hanging="0"/>
              <w:jc w:val="left"/>
              <w:rPr/>
            </w:pPr>
            <w:r>
              <w:rPr/>
              <w:t>​</w:t>
            </w:r>
          </w:p>
        </w:tc>
        <w:tc>
          <w:tcPr>
            <w:tcW w:w="6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shd w:fill="CCEEFF" w:val="clear"/>
            <w:vAlign w:val="center"/>
          </w:tcPr>
          <w:p>
            <w:pPr>
              <w:pStyle w:val="TableContents"/>
              <w:bidi w:val="0"/>
              <w:spacing w:before="1" w:after="1"/>
              <w:ind w:left="0" w:right="0" w:hanging="0"/>
              <w:jc w:val="left"/>
              <w:rPr/>
            </w:pPr>
            <w:r>
              <w:rPr/>
              <w:t>​</w:t>
            </w:r>
          </w:p>
        </w:tc>
        <w:tc>
          <w:tcPr>
            <w:tcW w:w="52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48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347" w:type="dxa"/>
            <w:tcBorders/>
            <w:shd w:fill="CCEEFF" w:val="clear"/>
            <w:vAlign w:val="center"/>
          </w:tcPr>
          <w:p>
            <w:pPr>
              <w:pStyle w:val="TableContents"/>
              <w:bidi w:val="0"/>
              <w:spacing w:before="1" w:after="1"/>
              <w:ind w:left="0" w:right="0" w:hanging="0"/>
              <w:jc w:val="left"/>
              <w:rPr/>
            </w:pPr>
            <w:r>
              <w:rPr/>
              <w:t>​</w:t>
            </w:r>
          </w:p>
        </w:tc>
        <w:tc>
          <w:tcPr>
            <w:tcW w:w="869"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5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1" w:after="1"/>
              <w:ind w:left="0" w:right="0" w:hanging="0"/>
              <w:jc w:val="left"/>
              <w:rPr/>
            </w:pPr>
            <w:r>
              <w:rPr/>
              <w:t>​</w:t>
            </w:r>
          </w:p>
        </w:tc>
        <w:tc>
          <w:tcPr>
            <w:tcW w:w="285" w:type="dxa"/>
            <w:tcBorders/>
            <w:vAlign w:val="center"/>
          </w:tcPr>
          <w:p>
            <w:pPr>
              <w:pStyle w:val="TableContents"/>
              <w:bidi w:val="0"/>
              <w:spacing w:before="1" w:after="1"/>
              <w:ind w:left="0" w:right="0" w:hanging="0"/>
              <w:jc w:val="left"/>
              <w:rPr/>
            </w:pPr>
            <w:r>
              <w:rPr/>
              <w:t>​</w:t>
            </w:r>
          </w:p>
        </w:tc>
        <w:tc>
          <w:tcPr>
            <w:tcW w:w="6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1" w:after="1"/>
              <w:ind w:left="0" w:right="0" w:hanging="0"/>
              <w:jc w:val="left"/>
              <w:rPr/>
            </w:pPr>
            <w:r>
              <w:rPr/>
              <w:t>​</w:t>
            </w:r>
          </w:p>
        </w:tc>
        <w:tc>
          <w:tcPr>
            <w:tcW w:w="260" w:type="dxa"/>
            <w:tcBorders/>
            <w:vAlign w:val="center"/>
          </w:tcPr>
          <w:p>
            <w:pPr>
              <w:pStyle w:val="TableContents"/>
              <w:bidi w:val="0"/>
              <w:spacing w:before="1" w:after="1"/>
              <w:ind w:left="0" w:right="0" w:hanging="0"/>
              <w:jc w:val="left"/>
              <w:rPr/>
            </w:pPr>
            <w:r>
              <w:rPr/>
              <w:t>​</w:t>
            </w:r>
          </w:p>
        </w:tc>
        <w:tc>
          <w:tcPr>
            <w:tcW w:w="52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481" w:type="dxa"/>
            <w:tcBorders/>
            <w:vAlign w:val="center"/>
          </w:tcPr>
          <w:p>
            <w:pPr>
              <w:pStyle w:val="TableContents"/>
              <w:bidi w:val="0"/>
              <w:spacing w:before="1" w:after="1"/>
              <w:ind w:left="0" w:right="0" w:hanging="0"/>
              <w:jc w:val="right"/>
              <w:rPr/>
            </w:pPr>
            <w:r>
              <w:rPr/>
              <w:t>—</w:t>
            </w:r>
          </w:p>
        </w:tc>
        <w:tc>
          <w:tcPr>
            <w:tcW w:w="326" w:type="dxa"/>
            <w:tcBorders/>
            <w:vAlign w:val="center"/>
          </w:tcPr>
          <w:p>
            <w:pPr>
              <w:pStyle w:val="TableContents"/>
              <w:bidi w:val="0"/>
              <w:spacing w:before="1" w:after="1"/>
              <w:ind w:left="0" w:right="0" w:hanging="0"/>
              <w:jc w:val="left"/>
              <w:rPr/>
            </w:pPr>
            <w:r>
              <w:rPr/>
              <w:t>​</w:t>
            </w:r>
          </w:p>
        </w:tc>
        <w:tc>
          <w:tcPr>
            <w:tcW w:w="347" w:type="dxa"/>
            <w:tcBorders/>
            <w:vAlign w:val="center"/>
          </w:tcPr>
          <w:p>
            <w:pPr>
              <w:pStyle w:val="TableContents"/>
              <w:bidi w:val="0"/>
              <w:spacing w:before="1" w:after="1"/>
              <w:ind w:left="0" w:right="0" w:hanging="0"/>
              <w:jc w:val="left"/>
              <w:rPr/>
            </w:pPr>
            <w:r>
              <w:rPr/>
              <w:t>​</w:t>
            </w:r>
          </w:p>
        </w:tc>
        <w:tc>
          <w:tcPr>
            <w:tcW w:w="869" w:type="dxa"/>
            <w:tcBorders/>
            <w:vAlign w:val="center"/>
          </w:tcPr>
          <w:p>
            <w:pPr>
              <w:pStyle w:val="TableContents"/>
              <w:bidi w:val="0"/>
              <w:spacing w:before="1" w:after="1"/>
              <w:ind w:left="0" w:right="0" w:hanging="0"/>
              <w:jc w:val="right"/>
              <w:rPr/>
            </w:pPr>
            <w:r>
              <w:rPr/>
              <w:t>—</w:t>
            </w:r>
          </w:p>
        </w:tc>
        <w:tc>
          <w:tcPr>
            <w:tcW w:w="191" w:type="dxa"/>
            <w:tcBorders/>
            <w:vAlign w:val="center"/>
          </w:tcPr>
          <w:p>
            <w:pPr>
              <w:pStyle w:val="TableContents"/>
              <w:bidi w:val="0"/>
              <w:spacing w:before="1" w:after="1"/>
              <w:ind w:left="0" w:right="0" w:hanging="0"/>
              <w:jc w:val="left"/>
              <w:rPr/>
            </w:pPr>
            <w:r>
              <w:rPr/>
              <w:t>​</w:t>
            </w:r>
          </w:p>
        </w:tc>
      </w:tr>
      <w:tr>
        <w:trPr/>
        <w:tc>
          <w:tcPr>
            <w:tcW w:w="28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52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1" w:after="1"/>
              <w:ind w:left="0" w:right="0" w:hanging="0"/>
              <w:jc w:val="left"/>
              <w:rPr/>
            </w:pPr>
            <w:r>
              <w:rPr/>
              <w:t>​</w:t>
            </w:r>
          </w:p>
        </w:tc>
        <w:tc>
          <w:tcPr>
            <w:tcW w:w="347"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shd w:fill="CCEEFF" w:val="clear"/>
            <w:vAlign w:val="center"/>
          </w:tcPr>
          <w:p>
            <w:pPr>
              <w:pStyle w:val="TableContents"/>
              <w:bidi w:val="0"/>
              <w:spacing w:before="1" w:after="1"/>
              <w:ind w:left="0" w:right="0" w:hanging="0"/>
              <w:jc w:val="left"/>
              <w:rPr/>
            </w:pPr>
            <w:r>
              <w:rPr/>
              <w:t>​</w:t>
            </w:r>
          </w:p>
        </w:tc>
      </w:tr>
      <w:tr>
        <w:trPr/>
        <w:tc>
          <w:tcPr>
            <w:tcW w:w="28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Balance at June 30, 2024</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vAlign w:val="center"/>
          </w:tcPr>
          <w:p>
            <w:pPr>
              <w:pStyle w:val="TableContents"/>
              <w:bidi w:val="0"/>
              <w:spacing w:before="1" w:after="1"/>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1" w:after="1"/>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1" w:after="1"/>
              <w:ind w:left="0" w:right="0" w:hanging="0"/>
              <w:jc w:val="left"/>
              <w:rPr/>
            </w:pPr>
            <w:r>
              <w:rPr/>
              <w:t>​</w:t>
            </w:r>
          </w:p>
        </w:tc>
        <w:tc>
          <w:tcPr>
            <w:tcW w:w="347"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(10.2)</w:t>
            </w:r>
          </w:p>
        </w:tc>
        <w:tc>
          <w:tcPr>
            <w:tcW w:w="191" w:type="dxa"/>
            <w:tcBorders/>
            <w:vAlign w:val="center"/>
          </w:tcPr>
          <w:p>
            <w:pPr>
              <w:pStyle w:val="TableContents"/>
              <w:bidi w:val="0"/>
              <w:spacing w:before="1"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by component, net of tax, for the six months ended June 30, 2023 consisted of the following:</w:t>
      </w:r>
    </w:p>
    <w:tbl>
      <w:tblPr>
        <w:tblW w:w="9104" w:type="dxa"/>
        <w:jc w:val="left"/>
        <w:tblInd w:w="0" w:type="dxa"/>
        <w:tblLayout w:type="fixed"/>
        <w:tblCellMar>
          <w:top w:w="0" w:type="dxa"/>
          <w:left w:w="0" w:type="dxa"/>
          <w:bottom w:w="0" w:type="dxa"/>
          <w:right w:w="0" w:type="dxa"/>
        </w:tblCellMar>
      </w:tblPr>
      <w:tblGrid>
        <w:gridCol w:w="2881"/>
        <w:gridCol w:w="326"/>
        <w:gridCol w:w="211"/>
        <w:gridCol w:w="586"/>
        <w:gridCol w:w="326"/>
        <w:gridCol w:w="285"/>
        <w:gridCol w:w="631"/>
        <w:gridCol w:w="326"/>
        <w:gridCol w:w="288"/>
        <w:gridCol w:w="493"/>
        <w:gridCol w:w="326"/>
        <w:gridCol w:w="211"/>
        <w:gridCol w:w="481"/>
        <w:gridCol w:w="326"/>
        <w:gridCol w:w="404"/>
        <w:gridCol w:w="812"/>
        <w:gridCol w:w="19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829435" cy="175260"/>
                      <wp:effectExtent l="0" t="0" r="0" b="0"/>
                      <wp:wrapNone/>
                      <wp:docPr id="218" name="Frame218"/>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33985" cy="175260"/>
                      <wp:effectExtent l="0" t="0" r="0" b="0"/>
                      <wp:wrapNone/>
                      <wp:docPr id="220" name="Frame2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72110" cy="175260"/>
                      <wp:effectExtent l="0" t="0" r="0" b="0"/>
                      <wp:wrapNone/>
                      <wp:docPr id="221" name="Frame22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80975" cy="175260"/>
                      <wp:effectExtent l="0" t="0" r="0" b="0"/>
                      <wp:wrapNone/>
                      <wp:docPr id="223" name="Frame22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00685" cy="175260"/>
                      <wp:effectExtent l="0" t="0" r="0" b="0"/>
                      <wp:wrapNone/>
                      <wp:docPr id="224" name="Frame22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82880" cy="175260"/>
                      <wp:effectExtent l="0" t="0" r="0" b="0"/>
                      <wp:wrapNone/>
                      <wp:docPr id="226" name="Frame226"/>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13055" cy="175260"/>
                      <wp:effectExtent l="0" t="0" r="0" b="0"/>
                      <wp:wrapNone/>
                      <wp:docPr id="227" name="Frame227"/>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7010" cy="175260"/>
                      <wp:effectExtent l="0" t="0" r="0" b="0"/>
                      <wp:wrapNone/>
                      <wp:docPr id="228"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3985" cy="175260"/>
                      <wp:effectExtent l="0" t="0" r="0" b="0"/>
                      <wp:wrapNone/>
                      <wp:docPr id="229" name="Frame2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05435" cy="175260"/>
                      <wp:effectExtent l="0" t="0" r="0" b="0"/>
                      <wp:wrapNone/>
                      <wp:docPr id="230" name="Frame23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56540" cy="175260"/>
                      <wp:effectExtent l="0" t="0" r="0" b="0"/>
                      <wp:wrapNone/>
                      <wp:docPr id="232" name="Frame232"/>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515620" cy="175260"/>
                      <wp:effectExtent l="0" t="0" r="0" b="0"/>
                      <wp:wrapNone/>
                      <wp:docPr id="233" name="Frame233"/>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21285" cy="175260"/>
                      <wp:effectExtent l="0" t="0" r="0" b="0"/>
                      <wp:wrapNone/>
                      <wp:docPr id="234" name="Frame23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w:t>
            </w:r>
          </w:p>
        </w:tc>
        <w:tc>
          <w:tcPr>
            <w:tcW w:w="32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Retirement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Qualified</w:t>
            </w:r>
          </w:p>
        </w:tc>
        <w:tc>
          <w:tcPr>
            <w:tcW w:w="326" w:type="dxa"/>
            <w:tcBorders/>
            <w:vAlign w:val="center"/>
          </w:tcPr>
          <w:p>
            <w:pPr>
              <w:pStyle w:val="TableContents"/>
              <w:bidi w:val="0"/>
              <w:spacing w:before="0" w:after="0"/>
              <w:ind w:left="0" w:right="0" w:hanging="0"/>
              <w:jc w:val="left"/>
              <w:rPr/>
            </w:pPr>
            <w:r>
              <w:rPr/>
              <w:t>​</w:t>
            </w:r>
          </w:p>
        </w:tc>
        <w:tc>
          <w:tcPr>
            <w:tcW w:w="692"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0" w:after="0"/>
              <w:ind w:left="0" w:right="0" w:hanging="0"/>
              <w:jc w:val="left"/>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Benefits</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Plans</w:t>
            </w:r>
          </w:p>
        </w:tc>
        <w:tc>
          <w:tcPr>
            <w:tcW w:w="326" w:type="dxa"/>
            <w:tcBorders/>
            <w:vAlign w:val="center"/>
          </w:tcPr>
          <w:p>
            <w:pPr>
              <w:pStyle w:val="TableContents"/>
              <w:bidi w:val="0"/>
              <w:spacing w:before="0" w:after="0"/>
              <w:ind w:left="0" w:right="0" w:hanging="0"/>
              <w:jc w:val="left"/>
              <w:rPr/>
            </w:pPr>
            <w:r>
              <w:rPr/>
              <w:t>    </w:t>
            </w:r>
          </w:p>
        </w:tc>
        <w:tc>
          <w:tcPr>
            <w:tcW w:w="6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191" w:type="dxa"/>
            <w:tcBorders/>
            <w:vAlign w:val="center"/>
          </w:tcPr>
          <w:p>
            <w:pPr>
              <w:pStyle w:val="TableContents"/>
              <w:bidi w:val="0"/>
              <w:spacing w:before="0" w:after="0"/>
              <w:ind w:left="0" w:right="0" w:hanging="0"/>
              <w:jc w:val="left"/>
              <w:rPr/>
            </w:pPr>
            <w:r>
              <w:rPr/>
              <w:t> </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March 31, 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prior service cost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shd w:fill="CCEEFF" w:val="clear"/>
            <w:vAlign w:val="center"/>
          </w:tcPr>
          <w:p>
            <w:pPr>
              <w:pStyle w:val="TableContents"/>
              <w:bidi w:val="0"/>
              <w:spacing w:before="0" w:after="0"/>
              <w:ind w:left="0" w:right="0" w:hanging="0"/>
              <w:jc w:val="left"/>
              <w:rPr/>
            </w:pPr>
            <w:r>
              <w:rPr/>
              <w:t>​</w:t>
            </w:r>
          </w:p>
        </w:tc>
        <w:tc>
          <w:tcPr>
            <w:tcW w:w="49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gain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vAlign w:val="center"/>
          </w:tcPr>
          <w:p>
            <w:pPr>
              <w:pStyle w:val="TableContents"/>
              <w:bidi w:val="0"/>
              <w:spacing w:before="0" w:after="0"/>
              <w:ind w:left="0" w:right="0" w:hanging="0"/>
              <w:jc w:val="left"/>
              <w:rPr/>
            </w:pPr>
            <w:r>
              <w:rPr/>
              <w:t>​</w:t>
            </w:r>
          </w:p>
        </w:tc>
        <w:tc>
          <w:tcPr>
            <w:tcW w:w="288" w:type="dxa"/>
            <w:tcBorders/>
            <w:vAlign w:val="center"/>
          </w:tcPr>
          <w:p>
            <w:pPr>
              <w:pStyle w:val="TableContents"/>
              <w:bidi w:val="0"/>
              <w:spacing w:before="0" w:after="0"/>
              <w:ind w:left="0" w:right="0" w:hanging="0"/>
              <w:jc w:val="left"/>
              <w:rPr/>
            </w:pPr>
            <w:r>
              <w:rPr/>
              <w:t>​</w:t>
            </w:r>
          </w:p>
        </w:tc>
        <w:tc>
          <w:tcPr>
            <w:tcW w:w="4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04"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191" w:type="dxa"/>
            <w:tcBorders/>
            <w:vAlign w:val="center"/>
          </w:tcPr>
          <w:p>
            <w:pPr>
              <w:pStyle w:val="TableContents"/>
              <w:bidi w:val="0"/>
              <w:spacing w:before="0" w:after="0"/>
              <w:ind w:left="0" w:right="0" w:hanging="0"/>
              <w:jc w:val="left"/>
              <w:rPr/>
            </w:pPr>
            <w:r>
              <w:rPr/>
              <w:t>​</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vAlign w:val="center"/>
          </w:tcPr>
          <w:p>
            <w:pPr>
              <w:pStyle w:val="TableContents"/>
              <w:bidi w:val="0"/>
              <w:spacing w:before="0" w:after="0"/>
              <w:ind w:left="0" w:right="0" w:hanging="0"/>
              <w:jc w:val="left"/>
              <w:rPr/>
            </w:pPr>
            <w:r>
              <w:rPr/>
              <w:t>​</w:t>
            </w:r>
          </w:p>
        </w:tc>
        <w:tc>
          <w:tcPr>
            <w:tcW w:w="28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vAlign w:val="center"/>
          </w:tcPr>
          <w:p>
            <w:pPr>
              <w:pStyle w:val="TableContents"/>
              <w:bidi w:val="0"/>
              <w:spacing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180" w:name="Tc_hWkAtFmm7E6Aq4Noyp7K9g_15_15"/>
      <w:bookmarkStart w:id="1181" w:name="Tc_Q8SqjvD0rUuikYuNL9bObg_15_14"/>
      <w:bookmarkStart w:id="1182" w:name="Tc_0FQS3LA930aKhS0zAqj-lg_15_11"/>
      <w:bookmarkStart w:id="1183" w:name="Tc_qkVyOSQi-0GyKgxK13gTuw_15_9"/>
      <w:bookmarkStart w:id="1184" w:name="Tc_4yXTMxCPo0O9pN9Kg7Aegw_15_8"/>
      <w:bookmarkStart w:id="1185" w:name="Tc_yVmGzKD_iEO-N_jXVYoUvQ_15_5"/>
      <w:bookmarkStart w:id="1186" w:name="Tc_HflQIZbTnEKkY3Q_seJYZw_15_2"/>
      <w:bookmarkStart w:id="1187" w:name="Tc_uhdIHfY-ikCJbmI5vX6A1g_15_0"/>
      <w:bookmarkStart w:id="1188" w:name="Tc_1rrvp_ox90GgJmaOIlzYQA_14_15"/>
      <w:bookmarkStart w:id="1189" w:name="Tc_1BFS5qzN10m6CvT5OAOhEA_14_14"/>
      <w:bookmarkStart w:id="1190" w:name="Tc_JKujW6xnB0WfasxkqX4Nvg_14_12"/>
      <w:bookmarkStart w:id="1191" w:name="Tc_E6qyqn9q3kOwusM0v9ysaQ_14_11"/>
      <w:bookmarkStart w:id="1192" w:name="Tc_vwgYZXiJK0imF2seu6CFvQ_14_8"/>
      <w:bookmarkStart w:id="1193" w:name="Tc_3iO0mv_p6katy-6x9kTUnw_14_5"/>
      <w:bookmarkStart w:id="1194" w:name="Tc_mmoanyzaak2UYAEVUgNKUQ_14_2"/>
      <w:bookmarkStart w:id="1195" w:name="Tc_-kS-i6R810aDQFTQ9YPa3Q_14_0"/>
      <w:bookmarkStart w:id="1196" w:name="Tc__I8JFHzgTkyTaFSCQf_4JA_13_15"/>
      <w:bookmarkStart w:id="1197" w:name="Tc_7UVNkQIb7EC5Pr5S2OYP8w_13_14"/>
      <w:bookmarkStart w:id="1198" w:name="Tc_yOBUhBi4z0WeVMvJmgfLyw_13_12"/>
      <w:bookmarkStart w:id="1199" w:name="Tc_WVGAOrAPEk2CdAMPd8r0EA_13_11"/>
      <w:bookmarkStart w:id="1200" w:name="Tc_ucUG--_Jb0GYZOvFkIm_KA_13_8"/>
      <w:bookmarkStart w:id="1201" w:name="Tc_BKHzxV-s8kq9uEVwciD2Gg_13_5"/>
      <w:bookmarkStart w:id="1202" w:name="Tc_WcabwvZCYECcuFg2wr37lw_13_2"/>
      <w:bookmarkStart w:id="1203" w:name="Tc__z1eywwDAEWJ4lGNZTXRog_13_0"/>
      <w:bookmarkStart w:id="1204" w:name="Tc_3Z-H7QIlq0Cz1ucABsvG-Q_12_15"/>
      <w:bookmarkStart w:id="1205" w:name="Tc_Yh-NwUmshk6l5M2KruMy5g_12_14"/>
      <w:bookmarkStart w:id="1206" w:name="Tc_KdVhh2QXA0WMZY_nPIdVEQ_12_12"/>
      <w:bookmarkStart w:id="1207" w:name="Tc_I17W-hRlkEWmonCnUGpOwg_12_11"/>
      <w:bookmarkStart w:id="1208" w:name="Tc_YaZhbBZuTEGHBxiV757XHQ_12_8"/>
      <w:bookmarkStart w:id="1209" w:name="Tc_lysRkA3s90CUBMCuMt6Gzg_12_5"/>
      <w:bookmarkStart w:id="1210" w:name="Tc_IfxhN4L46E-LwZu-kAfEyQ_12_2"/>
      <w:bookmarkStart w:id="1211" w:name="Tc_6HxAiQVlPkyDeFxrhEaM_Q_12_0"/>
      <w:bookmarkStart w:id="1212" w:name="Tc_VtXUJi1G90CCIOb1EPo2kQ_11_5"/>
      <w:bookmarkStart w:id="1213" w:name="Tc_QKcuWc7sXECylFt2A1yzvg_11_2"/>
      <w:bookmarkStart w:id="1214" w:name="Tc_eb8jmM0tBkCTtru1c_NhBQ_11_0"/>
      <w:bookmarkStart w:id="1215" w:name="Tc_iYzR5mW0I0CKGNJ_qJIPBw_9_15"/>
      <w:bookmarkStart w:id="1216" w:name="Tc_BO_Yhaye10ObNYCg6-r7Rw_9_14"/>
      <w:bookmarkStart w:id="1217" w:name="Tc_KVNVJHTWZECQH4PsATZk-Q_9_11"/>
      <w:bookmarkStart w:id="1218" w:name="Tc_9EQRloyeLESUIA-csUIaWQ_9_9"/>
      <w:bookmarkStart w:id="1219" w:name="Tc_X8_hmQlo0kOWmQeuZUO3fw_9_8"/>
      <w:bookmarkStart w:id="1220" w:name="Tc_88Ol1X4ickWlhjcf2BEFgA_9_5"/>
      <w:bookmarkStart w:id="1221" w:name="Tc_I--t0IhCLUWRXURjFcWpuQ_9_2"/>
      <w:bookmarkStart w:id="1222" w:name="Tc_mAZRcXsywUuK7RMtBBY6ig_9_0"/>
      <w:bookmarkStart w:id="1223" w:name="Tc_h6Ip9V1s4U6cfmVoGprVuQ_8_15"/>
      <w:bookmarkStart w:id="1224" w:name="Tc_pJZsyPyAc0W77GLJJlxo_A_8_14"/>
      <w:bookmarkStart w:id="1225" w:name="Tc_2JU0YTrII0KKas9q0ZeG-A_8_12"/>
      <w:bookmarkStart w:id="1226" w:name="Tc_OEI_QWAi5U6_9pYacHzYNA_8_11"/>
      <w:bookmarkStart w:id="1227" w:name="Tc_EiNkcqRaekqxGHrrm8BnbA_8_8"/>
      <w:bookmarkStart w:id="1228" w:name="Tc_EUIy0hPSPEq13rb1XuACvw_8_5"/>
      <w:bookmarkStart w:id="1229" w:name="Tc_cQL2ukcKqEOmXYGpoMyp7A_8_2"/>
      <w:bookmarkStart w:id="1230" w:name="Tc_Ec0ShdpyMkCEeV6NAufHlw_8_0"/>
      <w:bookmarkStart w:id="1231" w:name="Tc_Iqrgh-SRdkyNhIqyMHRWtQ_7_15"/>
      <w:bookmarkStart w:id="1232" w:name="Tc_C0GjAwocWkScxnZSrcqTkg_7_14"/>
      <w:bookmarkStart w:id="1233" w:name="Tc_MjGsiCNT7kqGj5F1d4iGQg_7_12"/>
      <w:bookmarkStart w:id="1234" w:name="Tc_QAN6oFhRc0SC3wzadNPE6g_7_11"/>
      <w:bookmarkStart w:id="1235" w:name="Tc_bF5_zf7ZFUKQ1i6rL4WkSA_7_8"/>
      <w:bookmarkStart w:id="1236" w:name="Tc_G90zzhVJpkKG69sYZ4j31A_7_5"/>
      <w:bookmarkStart w:id="1237" w:name="Tc_QORTKDE8mECI-S1PVPgQ4Q_7_2"/>
      <w:bookmarkStart w:id="1238" w:name="Tc_HPl4M4LCq02hP9HCMIE7aw_7_0"/>
      <w:bookmarkStart w:id="1239" w:name="Tc_u0haZe0g6kmJdIaagmmftA_6_15"/>
      <w:bookmarkStart w:id="1240" w:name="Tc_y6Btu8dv7EiMQk7nJKtrUw_6_14"/>
      <w:bookmarkStart w:id="1241" w:name="Tc_n4My_1EHCk-JiW1DB_80kQ_6_12"/>
      <w:bookmarkStart w:id="1242" w:name="Tc_WMc0XDMGwkOC_zp_eLt7zA_6_11"/>
      <w:bookmarkStart w:id="1243" w:name="Tc_yA2XJm78sE2GihrO1jN5WQ_6_8"/>
      <w:bookmarkStart w:id="1244" w:name="Tc_aEO2pbeQBk63qJdeiROvog_6_5"/>
      <w:bookmarkStart w:id="1245" w:name="Tc_WGUz_nVZ3UK7eJxbOcp3kw_6_2"/>
      <w:bookmarkStart w:id="1246" w:name="Tc_BvGaIpDTUE61AOM2AXVY0w_6_0"/>
      <w:bookmarkStart w:id="1247" w:name="Tc_3D8emDxQzkCqm5T0Wku6eg_5_15"/>
      <w:bookmarkStart w:id="1248" w:name="Tc__64W59KNCEG5w6UZoJpzEA_5_14"/>
      <w:bookmarkStart w:id="1249" w:name="Tc_SYZ0_kHI00CWNrMCnx4OAw_5_12"/>
      <w:bookmarkStart w:id="1250" w:name="Tc__W3pArf9dU2w5tI1Fk87Yw_5_11"/>
      <w:bookmarkStart w:id="1251" w:name="Tc_8M9QCH3-KEaTAoh5OtXLNg_5_8"/>
      <w:bookmarkStart w:id="1252" w:name="Tc_Bx_kZECDBUysePF1mswHDw_5_5"/>
      <w:bookmarkStart w:id="1253" w:name="Tc_G1nOw3WafkuKULJalQIMkw_5_2"/>
      <w:bookmarkStart w:id="1254" w:name="Tc_KQNx1171BUWzWo3NPvw3gQ_5_0"/>
      <w:bookmarkStart w:id="1255" w:name="Tc_GlEapW09r0i9cE_6KlPRGQ_4_5"/>
      <w:bookmarkStart w:id="1256" w:name="Tc_GykOK8Vyq0ifbOrAbcjyKA_4_2"/>
      <w:bookmarkStart w:id="1257" w:name="Tc_ydPZ5AEV1EC8aZLzWqOqew_4_0"/>
      <w:bookmarkStart w:id="1258" w:name="Tc_aQu0sWjJp0aenrVk16LNOA_3_14"/>
      <w:bookmarkStart w:id="1259" w:name="Tc_IuWbY04s9kOYgOGPJNPedw_3_11"/>
      <w:bookmarkStart w:id="1260" w:name="Tc_XZcofQUL2EeBTzfYgt9How_3_8"/>
      <w:bookmarkStart w:id="1261" w:name="Tc_Eopo-avtIEKNqDND7tHW9Q_3_5"/>
      <w:bookmarkStart w:id="1262" w:name="Tc_hKyDoK4BmUKQ6StlZkzxkg_3_2"/>
      <w:bookmarkStart w:id="1263" w:name="Tc_prcAMbFlTE6Ht5DP5JnMfw_2_14"/>
      <w:bookmarkStart w:id="1264" w:name="Tc_KMP3bEaC402HkvhS1ujDrQ_2_11"/>
      <w:bookmarkStart w:id="1265" w:name="Tc_LCRy8L1HdUuKgROq3zvKog_2_8"/>
      <w:bookmarkStart w:id="1266" w:name="Tc_tuCpX4_4qUuHdnk_ZBozjQ_2_2"/>
      <w:bookmarkStart w:id="1267" w:name="Tc_McUXmeuV8EWG6X2-rOByAQ_1_14"/>
      <w:bookmarkStart w:id="1268" w:name="Tc_yEJcHJZrh0WpEJ4s1zcvLg_1_11"/>
      <w:bookmarkStart w:id="1269" w:name="Tc_arwpyBSz-k63LCThWcwSeQ_1_8"/>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r>
        <w:rPr>
          <w:rFonts w:ascii="Times New Roman;Times;serif" w:hAnsi="Times New Roman;Times;serif"/>
          <w:b/>
          <w:sz w:val="20"/>
        </w:rPr>
        <w:t>11.</w:t>
      </w:r>
      <w:r>
        <w:rPr>
          <w:rFonts w:ascii="Times New Roman;Times;serif" w:hAnsi="Times New Roman;Times;serif"/>
          <w:sz w:val="20"/>
        </w:rPr>
        <w:t>          </w:t>
      </w:r>
      <w:r>
        <w:rPr>
          <w:rFonts w:ascii="Times New Roman;Times;serif" w:hAnsi="Times New Roman;Times;serif"/>
          <w:b/>
          <w:sz w:val="20"/>
        </w:rPr>
        <w:t>FAIR VALUE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values its financial instruments based on the fair value hierarchy of 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carrying value and fair value of the Company’s financial instruments as of June 30, 2024 and December 31, 2023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802"/>
        <w:gridCol w:w="326"/>
        <w:gridCol w:w="449"/>
        <w:gridCol w:w="1217"/>
        <w:gridCol w:w="326"/>
        <w:gridCol w:w="372"/>
        <w:gridCol w:w="1009"/>
        <w:gridCol w:w="326"/>
        <w:gridCol w:w="352"/>
        <w:gridCol w:w="954"/>
        <w:gridCol w:w="326"/>
        <w:gridCol w:w="291"/>
        <w:gridCol w:w="791"/>
        <w:gridCol w:w="326"/>
        <w:gridCol w:w="446"/>
        <w:gridCol w:w="735"/>
        <w:gridCol w:w="157"/>
      </w:tblGrid>
      <w:tr>
        <w:trPr/>
        <w:tc>
          <w:tcPr>
            <w:tcW w:w="1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144270" cy="175260"/>
                      <wp:effectExtent l="0" t="0" r="0" b="0"/>
                      <wp:wrapNone/>
                      <wp:docPr id="235" name="Frame235"/>
                      <a:graphic xmlns:a="http://schemas.openxmlformats.org/drawingml/2006/main">
                        <a:graphicData uri="http://schemas.microsoft.com/office/word/2010/wordprocessingShape">
                          <wps:wsp>
                            <wps:cNvSpPr txBox="1"/>
                            <wps:spPr>
                              <a:xfrm>
                                <a:off x="0" y="0"/>
                                <a:ext cx="1144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85115" cy="175260"/>
                      <wp:effectExtent l="0" t="0" r="0" b="0"/>
                      <wp:wrapNone/>
                      <wp:docPr id="237" name="Frame237"/>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772795" cy="175260"/>
                      <wp:effectExtent l="0" t="0" r="0" b="0"/>
                      <wp:wrapNone/>
                      <wp:docPr id="238" name="Frame238"/>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36220" cy="175260"/>
                      <wp:effectExtent l="0" t="0" r="0" b="0"/>
                      <wp:wrapNone/>
                      <wp:docPr id="240" name="Frame240"/>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0715" cy="175260"/>
                      <wp:effectExtent l="0" t="0" r="0" b="0"/>
                      <wp:wrapNone/>
                      <wp:docPr id="241" name="Frame241"/>
                      <a:graphic xmlns:a="http://schemas.openxmlformats.org/drawingml/2006/main">
                        <a:graphicData uri="http://schemas.microsoft.com/office/word/2010/wordprocessingShape">
                          <wps:wsp>
                            <wps:cNvSpPr txBox="1"/>
                            <wps:spPr>
                              <a:xfrm>
                                <a:off x="0" y="0"/>
                                <a:ext cx="640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42" name="Frame2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3520" cy="175260"/>
                      <wp:effectExtent l="0" t="0" r="0" b="0"/>
                      <wp:wrapNone/>
                      <wp:docPr id="243" name="Frame243"/>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05790" cy="175260"/>
                      <wp:effectExtent l="0" t="0" r="0" b="0"/>
                      <wp:wrapNone/>
                      <wp:docPr id="244" name="Frame244"/>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84785" cy="175260"/>
                      <wp:effectExtent l="0" t="0" r="0" b="0"/>
                      <wp:wrapNone/>
                      <wp:docPr id="246" name="Frame246"/>
                      <a:graphic xmlns:a="http://schemas.openxmlformats.org/drawingml/2006/main">
                        <a:graphicData uri="http://schemas.microsoft.com/office/word/2010/wordprocessingShape">
                          <wps:wsp>
                            <wps:cNvSpPr txBox="1"/>
                            <wps:spPr>
                              <a:xfrm>
                                <a:off x="0" y="0"/>
                                <a:ext cx="184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02285" cy="175260"/>
                      <wp:effectExtent l="0" t="0" r="0" b="0"/>
                      <wp:wrapNone/>
                      <wp:docPr id="247" name="Frame24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83210" cy="175260"/>
                      <wp:effectExtent l="0" t="0" r="0" b="0"/>
                      <wp:wrapNone/>
                      <wp:docPr id="249" name="Frame249"/>
                      <a:graphic xmlns:a="http://schemas.openxmlformats.org/drawingml/2006/main">
                        <a:graphicData uri="http://schemas.microsoft.com/office/word/2010/wordprocessingShape">
                          <wps:wsp>
                            <wps:cNvSpPr txBox="1"/>
                            <wps:spPr>
                              <a:xfrm>
                                <a:off x="0" y="0"/>
                                <a:ext cx="28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66725" cy="175260"/>
                      <wp:effectExtent l="0" t="0" r="0" b="0"/>
                      <wp:wrapNone/>
                      <wp:docPr id="250" name="Frame250"/>
                      <a:graphic xmlns:a="http://schemas.openxmlformats.org/drawingml/2006/main">
                        <a:graphicData uri="http://schemas.microsoft.com/office/word/2010/wordprocessingShape">
                          <wps:wsp>
                            <wps:cNvSpPr txBox="1"/>
                            <wps:spPr>
                              <a:xfrm>
                                <a:off x="0" y="0"/>
                                <a:ext cx="466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99695" cy="175260"/>
                      <wp:effectExtent l="0" t="0" r="0" b="0"/>
                      <wp:wrapNone/>
                      <wp:docPr id="251" name="Frame251"/>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138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w:t>
            </w:r>
          </w:p>
        </w:tc>
        <w:tc>
          <w:tcPr>
            <w:tcW w:w="326" w:type="dxa"/>
            <w:tcBorders/>
            <w:vAlign w:val="center"/>
          </w:tcPr>
          <w:p>
            <w:pPr>
              <w:pStyle w:val="TableContents"/>
              <w:bidi w:val="0"/>
              <w:spacing w:before="0" w:after="0"/>
              <w:ind w:left="0" w:right="0" w:hanging="0"/>
              <w:jc w:val="left"/>
              <w:rPr/>
            </w:pPr>
            <w:r>
              <w:rPr/>
              <w:t>​</w:t>
            </w:r>
          </w:p>
        </w:tc>
        <w:tc>
          <w:tcPr>
            <w:tcW w:w="10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 </w:t>
            </w:r>
          </w:p>
        </w:tc>
        <w:tc>
          <w:tcPr>
            <w:tcW w:w="326" w:type="dxa"/>
            <w:tcBorders/>
            <w:vAlign w:val="center"/>
          </w:tcPr>
          <w:p>
            <w:pPr>
              <w:pStyle w:val="TableContents"/>
              <w:bidi w:val="0"/>
              <w:spacing w:before="0" w:after="0"/>
              <w:ind w:left="0" w:right="0" w:hanging="0"/>
              <w:jc w:val="left"/>
              <w:rPr/>
            </w:pPr>
            <w:r>
              <w:rPr/>
              <w:t>​</w:t>
            </w:r>
          </w:p>
        </w:tc>
        <w:tc>
          <w:tcPr>
            <w:tcW w:w="11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Carrying Value    </w:t>
            </w:r>
          </w:p>
        </w:tc>
        <w:tc>
          <w:tcPr>
            <w:tcW w:w="326" w:type="dxa"/>
            <w:tcBorders/>
            <w:vAlign w:val="center"/>
          </w:tcPr>
          <w:p>
            <w:pPr>
              <w:pStyle w:val="TableContents"/>
              <w:bidi w:val="0"/>
              <w:spacing w:before="0" w:after="0"/>
              <w:ind w:left="0" w:right="0" w:hanging="0"/>
              <w:jc w:val="left"/>
              <w:rPr/>
            </w:pPr>
            <w:r>
              <w:rPr/>
              <w:t>    </w:t>
            </w:r>
          </w:p>
        </w:tc>
        <w:tc>
          <w:tcPr>
            <w:tcW w:w="138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Total         </w:t>
            </w:r>
          </w:p>
        </w:tc>
        <w:tc>
          <w:tcPr>
            <w:tcW w:w="326" w:type="dxa"/>
            <w:tcBorders/>
            <w:vAlign w:val="center"/>
          </w:tcPr>
          <w:p>
            <w:pPr>
              <w:pStyle w:val="TableContents"/>
              <w:bidi w:val="0"/>
              <w:spacing w:before="0" w:after="0"/>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2)</w:t>
            </w:r>
          </w:p>
        </w:tc>
        <w:tc>
          <w:tcPr>
            <w:tcW w:w="326" w:type="dxa"/>
            <w:tcBorders/>
            <w:vAlign w:val="center"/>
          </w:tcPr>
          <w:p>
            <w:pPr>
              <w:pStyle w:val="TableContents"/>
              <w:bidi w:val="0"/>
              <w:spacing w:before="0" w:after="0"/>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 (Level 3)</w:t>
            </w:r>
          </w:p>
        </w:tc>
        <w:tc>
          <w:tcPr>
            <w:tcW w:w="157" w:type="dxa"/>
            <w:tcBorders/>
            <w:vAlign w:val="center"/>
          </w:tcPr>
          <w:p>
            <w:pPr>
              <w:pStyle w:val="TableContents"/>
              <w:bidi w:val="0"/>
              <w:spacing w:before="0" w:after="0"/>
              <w:ind w:left="0" w:right="0" w:hanging="0"/>
              <w:jc w:val="left"/>
              <w:rPr/>
            </w:pPr>
            <w:r>
              <w:rPr/>
              <w:t>​</w:t>
            </w:r>
          </w:p>
        </w:tc>
      </w:tr>
      <w:tr>
        <w:trPr/>
        <w:tc>
          <w:tcPr>
            <w:tcW w:w="10205" w:type="dxa"/>
            <w:gridSpan w:val="17"/>
            <w:tcBorders/>
            <w:vAlign w:val="center"/>
          </w:tcPr>
          <w:p>
            <w:pPr>
              <w:pStyle w:val="TableContents"/>
              <w:bidi w:val="0"/>
              <w:spacing w:before="0" w:after="283"/>
              <w:ind w:left="0" w:right="0" w:hanging="0"/>
              <w:jc w:val="left"/>
              <w:rPr>
                <w:sz w:val="4"/>
                <w:szCs w:val="4"/>
              </w:rPr>
            </w:pPr>
            <w:r>
              <w:rPr>
                <w:sz w:val="4"/>
                <w:szCs w:val="4"/>
              </w:rPr>
            </w:r>
          </w:p>
        </w:tc>
      </w:tr>
      <w:tr>
        <w:trPr/>
        <w:tc>
          <w:tcPr>
            <w:tcW w:w="1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w:t>
            </w:r>
          </w:p>
        </w:tc>
        <w:tc>
          <w:tcPr>
            <w:tcW w:w="592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at June 30, 2024</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Investments</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450.6</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450.6</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335.2</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pPr>
            <w:r>
              <w:rPr/>
              <w:t>​</w:t>
            </w:r>
          </w:p>
        </w:tc>
        <w:tc>
          <w:tcPr>
            <w:tcW w:w="12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100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pPr>
            <w:r>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16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left"/>
              <w:rPr/>
            </w:pPr>
            <w:r>
              <w:rPr/>
              <w:t>​</w:t>
            </w:r>
          </w:p>
        </w:tc>
        <w:tc>
          <w:tcPr>
            <w:tcW w:w="5928" w:type="dxa"/>
            <w:gridSpan w:val="11"/>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Fair Value Measurements at December 31, 2023           </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26" w:type="dxa"/>
            <w:tcBorders/>
            <w:shd w:fill="CCEEFF" w:val="clear"/>
            <w:vAlign w:val="center"/>
          </w:tcPr>
          <w:p>
            <w:pPr>
              <w:pStyle w:val="TableContents"/>
              <w:bidi w:val="0"/>
              <w:spacing w:before="0" w:after="0"/>
              <w:ind w:left="0" w:right="0" w:hanging="0"/>
              <w:jc w:val="left"/>
              <w:rPr/>
            </w:pPr>
            <w:r>
              <w:rPr/>
              <w:t>  </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r>
        <w:trPr/>
        <w:tc>
          <w:tcPr>
            <w:tcW w:w="18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w:t>
            </w:r>
          </w:p>
        </w:tc>
        <w:tc>
          <w:tcPr>
            <w:tcW w:w="326" w:type="dxa"/>
            <w:tcBorders/>
            <w:shd w:fill="CCEEFF" w:val="clear"/>
            <w:vAlign w:val="center"/>
          </w:tcPr>
          <w:p>
            <w:pPr>
              <w:pStyle w:val="TableContents"/>
              <w:bidi w:val="0"/>
              <w:spacing w:before="0" w:after="0"/>
              <w:ind w:left="0" w:right="0" w:hanging="0"/>
              <w:jc w:val="left"/>
              <w:rPr/>
            </w:pPr>
            <w:r>
              <w:rPr/>
              <w:t>​</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shd w:fill="CCEEFF" w:val="clear"/>
            <w:vAlign w:val="center"/>
          </w:tcPr>
          <w:p>
            <w:pPr>
              <w:pStyle w:val="TableContents"/>
              <w:bidi w:val="0"/>
              <w:spacing w:before="0" w:after="0"/>
              <w:ind w:left="0" w:right="0" w:hanging="0"/>
              <w:jc w:val="left"/>
              <w:rPr/>
            </w:pPr>
            <w:r>
              <w:rPr/>
              <w:t>​</w:t>
            </w:r>
          </w:p>
        </w:tc>
        <w:tc>
          <w:tcPr>
            <w:tcW w:w="3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shd w:fill="CCEEFF" w:val="clear"/>
            <w:vAlign w:val="center"/>
          </w:tcPr>
          <w:p>
            <w:pPr>
              <w:pStyle w:val="TableContents"/>
              <w:bidi w:val="0"/>
              <w:spacing w:before="0" w:after="0"/>
              <w:ind w:left="0" w:right="0" w:hanging="0"/>
              <w:jc w:val="left"/>
              <w:rPr/>
            </w:pPr>
            <w:r>
              <w:rPr/>
              <w:t>​</w:t>
            </w:r>
          </w:p>
        </w:tc>
        <w:tc>
          <w:tcPr>
            <w:tcW w:w="3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shd w:fill="CCEEFF" w:val="clear"/>
            <w:vAlign w:val="center"/>
          </w:tcPr>
          <w:p>
            <w:pPr>
              <w:pStyle w:val="TableContents"/>
              <w:bidi w:val="0"/>
              <w:spacing w:before="0" w:after="0"/>
              <w:ind w:left="0" w:right="0" w:hanging="0"/>
              <w:jc w:val="left"/>
              <w:rPr/>
            </w:pPr>
            <w:r>
              <w:rPr/>
              <w:t>​</w:t>
            </w:r>
          </w:p>
        </w:tc>
        <w:tc>
          <w:tcPr>
            <w:tcW w:w="2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0"/>
              <w:ind w:left="0" w:right="0" w:hanging="0"/>
              <w:jc w:val="right"/>
              <w:rPr/>
            </w:pPr>
            <w:r>
              <w:rPr/>
              <w:t>—</w:t>
            </w:r>
          </w:p>
        </w:tc>
        <w:tc>
          <w:tcPr>
            <w:tcW w:w="157" w:type="dxa"/>
            <w:tcBorders/>
            <w:shd w:fill="CCEEFF" w:val="clear"/>
            <w:vAlign w:val="center"/>
          </w:tcPr>
          <w:p>
            <w:pPr>
              <w:pStyle w:val="TableContents"/>
              <w:bidi w:val="0"/>
              <w:spacing w:before="0" w:after="0"/>
              <w:ind w:left="0" w:right="0" w:hanging="0"/>
              <w:jc w:val="left"/>
              <w:rPr/>
            </w:pPr>
            <w:r>
              <w:rPr/>
              <w:t>​</w:t>
            </w:r>
          </w:p>
        </w:tc>
      </w:tr>
      <w:tr>
        <w:trPr/>
        <w:tc>
          <w:tcPr>
            <w:tcW w:w="18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rate debt</w:t>
            </w:r>
          </w:p>
        </w:tc>
        <w:tc>
          <w:tcPr>
            <w:tcW w:w="326" w:type="dxa"/>
            <w:tcBorders/>
            <w:vAlign w:val="center"/>
          </w:tcPr>
          <w:p>
            <w:pPr>
              <w:pStyle w:val="TableContents"/>
              <w:bidi w:val="0"/>
              <w:spacing w:before="0" w:after="0"/>
              <w:ind w:left="0" w:right="0" w:hanging="0"/>
              <w:jc w:val="left"/>
              <w:rPr/>
            </w:pPr>
            <w:r>
              <w:rPr/>
              <w:t>​</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c>
          <w:tcPr>
            <w:tcW w:w="326" w:type="dxa"/>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359.9</w:t>
            </w:r>
          </w:p>
        </w:tc>
        <w:tc>
          <w:tcPr>
            <w:tcW w:w="326"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359.9</w:t>
            </w:r>
          </w:p>
        </w:tc>
        <w:tc>
          <w:tcPr>
            <w:tcW w:w="326" w:type="dxa"/>
            <w:tcBorders/>
            <w:vAlign w:val="center"/>
          </w:tcPr>
          <w:p>
            <w:pPr>
              <w:pStyle w:val="TableContents"/>
              <w:bidi w:val="0"/>
              <w:spacing w:before="0" w:after="0"/>
              <w:ind w:left="0" w:right="0" w:hanging="0"/>
              <w:jc w:val="left"/>
              <w:rPr/>
            </w:pPr>
            <w:r>
              <w:rPr/>
              <w:t>​</w:t>
            </w:r>
          </w:p>
        </w:tc>
        <w:tc>
          <w:tcPr>
            <w:tcW w:w="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vAlign w:val="center"/>
          </w:tcPr>
          <w:p>
            <w:pPr>
              <w:pStyle w:val="TableContents"/>
              <w:bidi w:val="0"/>
              <w:spacing w:before="0" w:after="0"/>
              <w:ind w:left="0" w:right="0" w:hanging="0"/>
              <w:jc w:val="right"/>
              <w:rPr/>
            </w:pPr>
            <w:r>
              <w:rPr/>
              <w:t>—</w:t>
            </w:r>
          </w:p>
        </w:tc>
        <w:tc>
          <w:tcPr>
            <w:tcW w:w="157"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uses Level 1 inputs for the fair values of its cash and cash equivalents, restricted cash, and CCF cash and cash equivalents and investments, and Level 2 inputs for fixed rate debt. The fair values of cash and cash equivalents, restricted cash, and cash and cash equivalents in the CCF approximate their carrying values due to the nature of the instruments. The fair value of investments in the CCF is calculated based upon quoted prices available in active market. The fair value of fixed rate debt is calculated based upon interest rates available for debt with terms and maturities similar to the Company’s existing debt arrangements.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270" w:name="Tc_JYUpNtDEckKgXeALK1cgow_8_15"/>
      <w:bookmarkStart w:id="1271" w:name="Tc_gIHwsyHbwU628Xp6qPM3ww_8_10"/>
      <w:bookmarkStart w:id="1272" w:name="Tc_Ziq05BGue0ad0XtzLOmY6A_8_7"/>
      <w:bookmarkStart w:id="1273" w:name="Tc_A5oKGBgwsEaJQjcc5T2EnQ_8_2"/>
      <w:bookmarkStart w:id="1274" w:name="Tc_TfH_w2FRlkeaT6oUiWuj1g_8_0"/>
      <w:bookmarkStart w:id="1275" w:name="Tc_5cZ3IyDuaEWYtrE_JKfXxg_7_0"/>
      <w:bookmarkStart w:id="1276" w:name="Tc_2AEm3FpMu0un24vvJJc4YA_6_15"/>
      <w:bookmarkStart w:id="1277" w:name="Tc_P8Y5_fWtFkKdqKs6wxXQ5g_6_10"/>
      <w:bookmarkStart w:id="1278" w:name="Tc_OZg6d7CpvUONVhjwA9bf3Q_6_7"/>
      <w:bookmarkStart w:id="1279" w:name="Tc_X_AwRIgkSUCEiTGjApKR7g_6_2"/>
      <w:bookmarkStart w:id="1280" w:name="Tc_yVd6XNAnoEecYsVNINvcpw_6_0"/>
      <w:bookmarkStart w:id="1281" w:name="Tc_YHCQBxicbkechXVw4DsYmw_5_15"/>
      <w:bookmarkStart w:id="1282" w:name="Tc_uCX1lnv1Kk-ymcSwN_oSkw_5_13"/>
      <w:bookmarkStart w:id="1283" w:name="Tc_PN-HcIIWVU-WxwbKEP1WCA_5_10"/>
      <w:bookmarkStart w:id="1284" w:name="Tc_4VWvl8Aph0uHfF8jJdi8cw_5_7"/>
      <w:bookmarkStart w:id="1285" w:name="Tc_u_9OFyVvzUeyo1jSxwoI2A_5_5"/>
      <w:bookmarkStart w:id="1286" w:name="Tc_4fTzwX9AOU6e-Dcv7aRhJw_5_2"/>
      <w:bookmarkStart w:id="1287" w:name="Tc_paEDgj_KYU6H78EYUemtHg_5_0"/>
      <w:bookmarkStart w:id="1288" w:name="Tc_oKgu_YuSl0iY_vedbybRvQ_4_15"/>
      <w:bookmarkStart w:id="1289" w:name="Tc_9Wd3fWeoRUGoSQ2tBAm-uQ_4_13"/>
      <w:bookmarkStart w:id="1290" w:name="Tc_w-6_PH3vDUOficiffFKXlw_4_10"/>
      <w:bookmarkStart w:id="1291" w:name="Tc_hW8UcLLN9UeCSofZgZ6-rA_4_7"/>
      <w:bookmarkStart w:id="1292" w:name="Tc_8ZNXHuM0J0Sb8F_2V9uUJg_4_5"/>
      <w:bookmarkStart w:id="1293" w:name="Tc_ZsAJLsgv2kGDEsREPxeOWA_4_2"/>
      <w:bookmarkStart w:id="1294" w:name="Tc_mBdGhB7htEKB5jwyoK3zEw_3_15"/>
      <w:bookmarkStart w:id="1295" w:name="Tc_TBHiqKowVkCUdkOjV8_lHg_3_13"/>
      <w:bookmarkStart w:id="1296" w:name="Tc_F0_WVxtnskKjtAJFhCptiA_3_7"/>
      <w:bookmarkStart w:id="1297" w:name="Tc_JIla7iCXMU2jp7kY11lQcw_3_5"/>
      <w:bookmarkStart w:id="1298" w:name="Tc_GyXF78nBa0OQm7U0mlBGfg_2_15"/>
      <w:bookmarkStart w:id="1299" w:name="Tc_gv3lPdwY7U6Znr-zNyFDBQ_2_13"/>
      <w:bookmarkStart w:id="1300" w:name="Tc_ZeqSr2vZhEqBrPpg6MlY8Q_2_7"/>
      <w:bookmarkStart w:id="1301" w:name="Tc_FvcPtiOoZEuASt8g0WKngQ_2_5"/>
      <w:bookmarkStart w:id="1302" w:name="Tc_gxCucbTycUievPLJO53_Yg_1_10"/>
      <w:bookmarkStart w:id="1303" w:name="Tc_pV_OIbiFx06AL4D1UCVhAA_1_2"/>
      <w:bookmarkStart w:id="1304" w:name="_b0fb733d_10c1_4144_8f92_3b29017d147b"/>
      <w:bookmarkStart w:id="1305" w:name="Tc_0erqZHvWdE219hAreiWEjg_8_15"/>
      <w:bookmarkStart w:id="1306" w:name="Tc_lD1QW2P3M0Cij0aDI7HLTw_8_10"/>
      <w:bookmarkStart w:id="1307" w:name="Tc_Ci6qJgbIDUaeskXFQvfRxQ_8_7"/>
      <w:bookmarkStart w:id="1308" w:name="Tc_-Ub84sIotUacIxGxuNE9Ig_8_2"/>
      <w:bookmarkStart w:id="1309" w:name="Tc_gt2lHYZV6EqI3JXWI1-J-w_8_0"/>
      <w:bookmarkStart w:id="1310" w:name="Tc_5mIpQ_l780W06H1_6iQc8g_7_0"/>
      <w:bookmarkStart w:id="1311" w:name="Tc_WIwCiDJrs06MW-XM3K_Blg_6_15"/>
      <w:bookmarkStart w:id="1312" w:name="Tc_-8u9_has-UKHpQdslUdsIQ_6_10"/>
      <w:bookmarkStart w:id="1313" w:name="Tc_VOsvuFgNDUWEv56DaX2Zug_6_7"/>
      <w:bookmarkStart w:id="1314" w:name="Tc_hgcVr74my0OKGijjRGfdZA_6_2"/>
      <w:bookmarkStart w:id="1315" w:name="Tc_d3Ae38dpMEaFK9w-KJiyVw_6_0"/>
      <w:bookmarkStart w:id="1316" w:name="Tc_BI8741ush06hHdiJOl5fJQ_5_15"/>
      <w:bookmarkStart w:id="1317" w:name="Tc_aUGgRYgz_UmwVUMpXzMFqQ_5_13"/>
      <w:bookmarkStart w:id="1318" w:name="Tc_I5NINq3i70i7NWArOMmF7w_5_10"/>
      <w:bookmarkStart w:id="1319" w:name="Tc_Rm3PejSjzEOHTaiYudoOeg_5_7"/>
      <w:bookmarkStart w:id="1320" w:name="Tc_x5yr_h3mK0GDsNWLlqeFvA_5_5"/>
      <w:bookmarkStart w:id="1321" w:name="Tc_ZBHFhte-zU6hWk12rXuTnw_5_2"/>
      <w:bookmarkStart w:id="1322" w:name="Tc_PgchMHg0vUCbacoSgPXqpg_5_0"/>
      <w:bookmarkStart w:id="1323" w:name="Tc_mAFpg79rTUOVTiABsoH8Ww_4_15"/>
      <w:bookmarkStart w:id="1324" w:name="Tc_LduBQJkegE-zS4G1qOKF5w_4_13"/>
      <w:bookmarkStart w:id="1325" w:name="Tc_Qn2tRY-iGEaUwpnEsrL9_w_4_10"/>
      <w:bookmarkStart w:id="1326" w:name="Tc_iWiAdjedcUmSj2bM7YLN-A_4_7"/>
      <w:bookmarkStart w:id="1327" w:name="Tc_25sDzmA-nkGccORGbW-Guw_4_5"/>
      <w:bookmarkStart w:id="1328" w:name="Tc_AH2g7aZy2kKCKlcrbIM6ag_4_2"/>
      <w:bookmarkStart w:id="1329" w:name="Tc_qe32clek7E6WWuaeU-t1lA_3_15"/>
      <w:bookmarkStart w:id="1330" w:name="Tc_dl__-8WLO0ajeOrS6aSBfA_3_13"/>
      <w:bookmarkStart w:id="1331" w:name="Tc_EeB65K8gu0uOiW045is12g_3_7"/>
      <w:bookmarkStart w:id="1332" w:name="Tc_j_fjHohHAkGhGrwuFVi-_A_3_5"/>
      <w:bookmarkStart w:id="1333" w:name="Tc_Wfv49a4UqUKDgLOg5PE0pQ_2_15"/>
      <w:bookmarkStart w:id="1334" w:name="Tc_-ZfSY5sxo0eBdH_WBJG3lg_2_13"/>
      <w:bookmarkStart w:id="1335" w:name="Tc_2fvpq0Eek0Ol4LLF9qjHlg_2_7"/>
      <w:bookmarkStart w:id="1336" w:name="Tc_l0irMX0yM0e9in6YcDwE7g_2_5"/>
      <w:bookmarkStart w:id="1337" w:name="Tc_5z7naFj7dEGr2JK96CO1Jg_1_10"/>
      <w:bookmarkStart w:id="1338" w:name="Tc__fYYX4qyKk6GVaFWsvbzLA_1_2"/>
      <w:bookmarkStart w:id="1339" w:name="_3e4136a1_0ba4_4076_85a7_d7cb18c5bcc3"/>
      <w:bookmarkStart w:id="1340" w:name="_Hlk17224861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r>
        <w:rPr>
          <w:rFonts w:ascii="Times New Roman;Times;serif" w:hAnsi="Times New Roman;Times;serif"/>
          <w:b/>
          <w:sz w:val="20"/>
        </w:rPr>
        <w:t>12.</w:t>
      </w:r>
      <w:r>
        <w:rPr>
          <w:rFonts w:ascii="Times New Roman;Times;serif" w:hAnsi="Times New Roman;Times;serif"/>
          <w:sz w:val="20"/>
        </w:rPr>
        <w:t>          </w:t>
      </w:r>
      <w:r>
        <w:rPr>
          <w:rFonts w:ascii="Times New Roman;Times;serif" w:hAnsi="Times New Roman;Times;serif"/>
          <w:b/>
          <w:sz w:val="20"/>
        </w:rPr>
        <w:t>EARNINGS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 is determined by dividing net income by the weighted average common shares outstanding during the period. The calculation of diluted earnings per share includes the dilutive effect of non-vested restricted stock units. The computation of weighted average common shares outstanding excluded a nominal amount of anti-dilutive restricted stock units for each period ended June 30, 2024 and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computations for basic and diluted earnings per share for the three and six months ended June 30, 2024 and 2023 are as follows:</w:t>
      </w:r>
    </w:p>
    <w:p>
      <w:pPr>
        <w:pStyle w:val="TextBody"/>
        <w:bidi w:val="0"/>
        <w:spacing w:before="0" w:after="0"/>
        <w:ind w:left="0" w:right="0" w:hanging="0"/>
        <w:jc w:val="left"/>
        <w:rPr/>
      </w:pPr>
      <w:r>
        <w:rPr/>
        <w:t>​</w:t>
      </w:r>
    </w:p>
    <w:tbl>
      <w:tblPr>
        <w:tblW w:w="8987" w:type="dxa"/>
        <w:jc w:val="left"/>
        <w:tblInd w:w="0" w:type="dxa"/>
        <w:tblLayout w:type="fixed"/>
        <w:tblCellMar>
          <w:top w:w="0" w:type="dxa"/>
          <w:left w:w="0" w:type="dxa"/>
          <w:bottom w:w="0" w:type="dxa"/>
          <w:right w:w="0" w:type="dxa"/>
        </w:tblCellMar>
      </w:tblPr>
      <w:tblGrid>
        <w:gridCol w:w="2656"/>
        <w:gridCol w:w="326"/>
        <w:gridCol w:w="196"/>
        <w:gridCol w:w="511"/>
        <w:gridCol w:w="326"/>
        <w:gridCol w:w="721"/>
        <w:gridCol w:w="326"/>
        <w:gridCol w:w="196"/>
        <w:gridCol w:w="541"/>
        <w:gridCol w:w="326"/>
        <w:gridCol w:w="196"/>
        <w:gridCol w:w="511"/>
        <w:gridCol w:w="326"/>
        <w:gridCol w:w="721"/>
        <w:gridCol w:w="326"/>
        <w:gridCol w:w="196"/>
        <w:gridCol w:w="5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86560" cy="175260"/>
                      <wp:effectExtent l="0" t="0" r="0" b="0"/>
                      <wp:wrapNone/>
                      <wp:docPr id="252" name="Frame252"/>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24460" cy="175260"/>
                      <wp:effectExtent l="0" t="0" r="0" b="0"/>
                      <wp:wrapNone/>
                      <wp:docPr id="254" name="Frame2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24485" cy="175260"/>
                      <wp:effectExtent l="0" t="0" r="0" b="0"/>
                      <wp:wrapNone/>
                      <wp:docPr id="255" name="Frame255"/>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57835" cy="175260"/>
                      <wp:effectExtent l="0" t="0" r="0" b="0"/>
                      <wp:wrapNone/>
                      <wp:docPr id="257" name="Frame25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24460" cy="175260"/>
                      <wp:effectExtent l="0" t="0" r="0" b="0"/>
                      <wp:wrapNone/>
                      <wp:docPr id="259" name="Frame2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43535" cy="175260"/>
                      <wp:effectExtent l="0" t="0" r="0" b="0"/>
                      <wp:wrapNone/>
                      <wp:docPr id="260" name="Frame26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24460" cy="175260"/>
                      <wp:effectExtent l="0" t="0" r="0" b="0"/>
                      <wp:wrapNone/>
                      <wp:docPr id="262" name="Frame2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324485" cy="175260"/>
                      <wp:effectExtent l="0" t="0" r="0" b="0"/>
                      <wp:wrapNone/>
                      <wp:docPr id="263" name="Frame26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57835" cy="175260"/>
                      <wp:effectExtent l="0" t="0" r="0" b="0"/>
                      <wp:wrapNone/>
                      <wp:docPr id="265" name="Frame26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24460" cy="175260"/>
                      <wp:effectExtent l="0" t="0" r="0" b="0"/>
                      <wp:wrapNone/>
                      <wp:docPr id="267" name="Frame2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72110" cy="175260"/>
                      <wp:effectExtent l="0" t="0" r="0" b="0"/>
                      <wp:wrapNone/>
                      <wp:docPr id="268" name="Frame26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1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2024</w:t>
            </w:r>
          </w:p>
        </w:tc>
        <w:tc>
          <w:tcPr>
            <w:tcW w:w="326" w:type="dxa"/>
            <w:tcBorders/>
            <w:vAlign w:val="center"/>
          </w:tcPr>
          <w:p>
            <w:pPr>
              <w:pStyle w:val="TableContents"/>
              <w:bidi w:val="0"/>
              <w:spacing w:before="0" w:after="0"/>
              <w:ind w:left="0" w:right="0" w:hanging="0"/>
              <w:jc w:val="left"/>
              <w:rPr/>
            </w:pPr>
            <w:r>
              <w:rPr/>
              <w:t>​</w:t>
            </w:r>
          </w:p>
        </w:tc>
        <w:tc>
          <w:tcPr>
            <w:tcW w:w="28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2024</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r>
      <w:tr>
        <w:trPr/>
        <w:tc>
          <w:tcPr>
            <w:tcW w:w="26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113.2</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4.38</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(0.05)</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4.33</w:t>
            </w:r>
          </w:p>
        </w:tc>
      </w:tr>
    </w:tbl>
    <w:p>
      <w:pPr>
        <w:pStyle w:val="TextBody"/>
        <w:bidi w:val="0"/>
        <w:spacing w:before="0" w:after="0"/>
        <w:ind w:left="0" w:right="0" w:hanging="0"/>
        <w:jc w:val="left"/>
        <w:rPr/>
      </w:pPr>
      <w:r>
        <w:rPr/>
        <w:t>​</w:t>
      </w:r>
    </w:p>
    <w:tbl>
      <w:tblPr>
        <w:tblW w:w="8837" w:type="dxa"/>
        <w:jc w:val="left"/>
        <w:tblInd w:w="0" w:type="dxa"/>
        <w:tblLayout w:type="fixed"/>
        <w:tblCellMar>
          <w:top w:w="0" w:type="dxa"/>
          <w:left w:w="0" w:type="dxa"/>
          <w:bottom w:w="0" w:type="dxa"/>
          <w:right w:w="0" w:type="dxa"/>
        </w:tblCellMar>
      </w:tblPr>
      <w:tblGrid>
        <w:gridCol w:w="2656"/>
        <w:gridCol w:w="266"/>
        <w:gridCol w:w="196"/>
        <w:gridCol w:w="421"/>
        <w:gridCol w:w="326"/>
        <w:gridCol w:w="721"/>
        <w:gridCol w:w="326"/>
        <w:gridCol w:w="196"/>
        <w:gridCol w:w="541"/>
        <w:gridCol w:w="326"/>
        <w:gridCol w:w="196"/>
        <w:gridCol w:w="511"/>
        <w:gridCol w:w="326"/>
        <w:gridCol w:w="721"/>
        <w:gridCol w:w="326"/>
        <w:gridCol w:w="196"/>
        <w:gridCol w:w="586"/>
      </w:tblGrid>
      <w:tr>
        <w:trPr/>
        <w:tc>
          <w:tcPr>
            <w:tcW w:w="2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686560" cy="175260"/>
                      <wp:effectExtent l="0" t="0" r="0" b="0"/>
                      <wp:wrapNone/>
                      <wp:docPr id="269" name="Frame269"/>
                      <a:graphic xmlns:a="http://schemas.openxmlformats.org/drawingml/2006/main">
                        <a:graphicData uri="http://schemas.microsoft.com/office/word/2010/wordprocessingShape">
                          <wps:wsp>
                            <wps:cNvSpPr txBox="1"/>
                            <wps:spPr>
                              <a:xfrm>
                                <a:off x="0" y="0"/>
                                <a:ext cx="1686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68910" cy="175260"/>
                      <wp:effectExtent l="0" t="0" r="0" b="0"/>
                      <wp:wrapNone/>
                      <wp:docPr id="270" name="Frame27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24460" cy="175260"/>
                      <wp:effectExtent l="0" t="0" r="0" b="0"/>
                      <wp:wrapNone/>
                      <wp:docPr id="271" name="Frame2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67335" cy="175260"/>
                      <wp:effectExtent l="0" t="0" r="0" b="0"/>
                      <wp:wrapNone/>
                      <wp:docPr id="272" name="Frame27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457835" cy="175260"/>
                      <wp:effectExtent l="0" t="0" r="0" b="0"/>
                      <wp:wrapNone/>
                      <wp:docPr id="274" name="Frame27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24460" cy="175260"/>
                      <wp:effectExtent l="0" t="0" r="0" b="0"/>
                      <wp:wrapNone/>
                      <wp:docPr id="276" name="Frame27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43535" cy="175260"/>
                      <wp:effectExtent l="0" t="0" r="0" b="0"/>
                      <wp:wrapNone/>
                      <wp:docPr id="277" name="Frame27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24460" cy="175260"/>
                      <wp:effectExtent l="0" t="0" r="0" b="0"/>
                      <wp:wrapNone/>
                      <wp:docPr id="279" name="Frame27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24485" cy="175260"/>
                      <wp:effectExtent l="0" t="0" r="0" b="0"/>
                      <wp:wrapNone/>
                      <wp:docPr id="280" name="Frame28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57835" cy="175260"/>
                      <wp:effectExtent l="0" t="0" r="0" b="0"/>
                      <wp:wrapNone/>
                      <wp:docPr id="282" name="Frame28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4460" cy="175260"/>
                      <wp:effectExtent l="0" t="0" r="0" b="0"/>
                      <wp:wrapNone/>
                      <wp:docPr id="284" name="Frame28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372110" cy="175260"/>
                      <wp:effectExtent l="0" t="0" r="0" b="0"/>
                      <wp:wrapNone/>
                      <wp:docPr id="285" name="Frame28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272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Three Months Ended June 30, 2023</w:t>
            </w:r>
          </w:p>
        </w:tc>
        <w:tc>
          <w:tcPr>
            <w:tcW w:w="326" w:type="dxa"/>
            <w:tcBorders/>
            <w:vAlign w:val="center"/>
          </w:tcPr>
          <w:p>
            <w:pPr>
              <w:pStyle w:val="TableContents"/>
              <w:bidi w:val="0"/>
              <w:spacing w:before="0" w:after="0"/>
              <w:ind w:left="0" w:right="0" w:hanging="0"/>
              <w:jc w:val="left"/>
              <w:rPr/>
            </w:pPr>
            <w:r>
              <w:rPr/>
              <w:t>​</w:t>
            </w:r>
          </w:p>
        </w:tc>
        <w:tc>
          <w:tcPr>
            <w:tcW w:w="28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Six Months Ended June 30, 2023</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c>
          <w:tcPr>
            <w:tcW w:w="32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Weighted</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Per</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Average</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r>
      <w:tr>
        <w:trPr/>
        <w:tc>
          <w:tcPr>
            <w:tcW w:w="265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61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Net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w:t>
            </w:r>
          </w:p>
        </w:tc>
      </w:tr>
      <w:tr>
        <w:trPr/>
        <w:tc>
          <w:tcPr>
            <w:tcW w:w="26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5"/>
              </w:rPr>
            </w:pPr>
            <w:r>
              <w:rPr>
                <w:rFonts w:ascii="Times New Roman;Times;serif" w:hAnsi="Times New Roman;Times;serif"/>
                <w:b/>
                <w:sz w:val="15"/>
              </w:rPr>
              <w:t>(In millions, except per share amounts)</w:t>
            </w:r>
          </w:p>
        </w:tc>
        <w:tc>
          <w:tcPr>
            <w:tcW w:w="266" w:type="dxa"/>
            <w:tcBorders/>
            <w:vAlign w:val="center"/>
          </w:tcPr>
          <w:p>
            <w:pPr>
              <w:pStyle w:val="TableContents"/>
              <w:bidi w:val="0"/>
              <w:spacing w:before="0" w:after="0"/>
              <w:ind w:left="0" w:right="0" w:hanging="0"/>
              <w:jc w:val="left"/>
              <w:rPr/>
            </w:pPr>
            <w:r>
              <w:rPr/>
              <w:t>​</w:t>
            </w:r>
          </w:p>
        </w:tc>
        <w:tc>
          <w:tcPr>
            <w:tcW w:w="6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r>
      <w:tr>
        <w:trPr/>
        <w:tc>
          <w:tcPr>
            <w:tcW w:w="26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Effect of Dilutive Securities</w:t>
            </w:r>
          </w:p>
        </w:tc>
        <w:tc>
          <w:tcPr>
            <w:tcW w:w="26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(0.02)</w:t>
            </w:r>
          </w:p>
        </w:tc>
      </w:tr>
      <w:tr>
        <w:trPr/>
        <w:tc>
          <w:tcPr>
            <w:tcW w:w="265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26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3.19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41" w:name="_Hlk164155045"/>
      <w:bookmarkEnd w:id="1341"/>
      <w:r>
        <w:rPr>
          <w:rFonts w:ascii="Times New Roman;Times;serif" w:hAnsi="Times New Roman;Times;serif"/>
          <w:b/>
          <w:sz w:val="20"/>
        </w:rPr>
        <w:t>13.</w:t>
      </w:r>
      <w:r>
        <w:rPr>
          <w:rFonts w:ascii="Times New Roman;Times;serif" w:hAnsi="Times New Roman;Times;serif"/>
          <w:sz w:val="20"/>
        </w:rPr>
        <w:t>          </w:t>
      </w:r>
      <w:r>
        <w:rPr>
          <w:rFonts w:ascii="Times New Roman;Times;serif" w:hAnsi="Times New Roman;Times;serif"/>
          <w:b/>
          <w:sz w:val="20"/>
        </w:rPr>
        <w:t>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and six months ended June 30, 2024, the Company granted time-based restricted stock units and performance-based shares to certain of its employees totaling approximately 7,400 and 152,100 shares, respectively, with a combined weighted average grant date fair value of $109.64 and $122.15 per share,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share-based compensation cost recognized in the Condensed Consolidated Statements of Income and Comprehensive Income as a component of selling, general and administrative expenses was $6.3 million and $5.2 million for the three months ended June 30, 2024 and 2023 and $12.0 million and $9.8 million for the six months ended June 30, 2024 and 2023, respectively. Total unrecognized compensation cost related to unvested share-based compensation arrangements was $34.1 million at June 30, 2024, and is expected to be recognized over a weighted average period of approximately 2.0 years. Total unrecognized compensation cost may be adjusted for any unearned performance shares or forfeited shares.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342" w:name="Tc_smipjjp1dUGtlUT-Tu4FZQ_10_11"/>
      <w:bookmarkStart w:id="1343" w:name="Tc_sQqJ5kOszUGg2GaPfs-xYg_10_8"/>
      <w:bookmarkStart w:id="1344" w:name="Tc_UA4Cd2V6aUepnUiik73cOQ_10_5"/>
      <w:bookmarkStart w:id="1345" w:name="Tc_nt5YsE2ATkO0_eex1ILdgQ_10_2"/>
      <w:bookmarkStart w:id="1346" w:name="Tc_EtyueZRqy0mSoa750AqAUA_10_0"/>
      <w:bookmarkStart w:id="1347" w:name="Tc_GDjYRZtMlUC7aipxgHYxaw_9_6"/>
      <w:bookmarkStart w:id="1348" w:name="Tc_LxXqAUdX5EewO2re2bTcMA_9_3"/>
      <w:bookmarkStart w:id="1349" w:name="Tc_AJM2K2f9skO4n_CMDQAKFg_9_0"/>
      <w:bookmarkStart w:id="1350" w:name="Tc_OEBN7jO1o0-El-6QJtpjsQ_8_0"/>
      <w:bookmarkStart w:id="1351" w:name="Tc_xineF5xX7EmfHChmXNAZ8w_7_12"/>
      <w:bookmarkStart w:id="1352" w:name="Tc_qspcnilDmkSoKP_vxnY5Pw_7_9"/>
      <w:bookmarkStart w:id="1353" w:name="Tc_Sik098GHZkeHJ7J0D8-RgQ_7_0"/>
      <w:bookmarkStart w:id="1354" w:name="Tc_WvpFO2DD00m7v2nTubGouw_6_0"/>
      <w:bookmarkStart w:id="1355" w:name="Tc_KII4hhbvIE6ppF3rG2n8-A_5_11"/>
      <w:bookmarkStart w:id="1356" w:name="Tc_qX_xM5Vijkq6UQeJjI6S9Q_5_8"/>
      <w:bookmarkStart w:id="1357" w:name="Tc_LC7YujHRokGbKBw84u9lSw_5_5"/>
      <w:bookmarkStart w:id="1358" w:name="Tc_kkqovNc5ekCfPp6bY-eVlw_5_2"/>
      <w:bookmarkStart w:id="1359" w:name="Tc_VVEl4_kNek-yRbUqx3uQVQ_5_0"/>
      <w:bookmarkStart w:id="1360" w:name="Tc_8gEvq6o1NEmVyyZVpCZcfg_4_0"/>
      <w:bookmarkStart w:id="1361" w:name="Tc_s572XmLjvEeIlI93sDD1dQ_3_11"/>
      <w:bookmarkStart w:id="1362" w:name="Tc_4ALyjIuKEEuINATplOhpmQ_3_8"/>
      <w:bookmarkStart w:id="1363" w:name="Tc_R_u9hHY4tEmkYmwEDykO1w_3_5"/>
      <w:bookmarkStart w:id="1364" w:name="Tc_jb3ULFBiUkqsmsiGAK42Cw_3_2"/>
      <w:bookmarkStart w:id="1365" w:name="Tc_p8wCJLu6akGnZ1ntopCFUA_3_0"/>
      <w:bookmarkStart w:id="1366" w:name="Tc_ru1BD162fkOUOrg1bPgbJA_2_8"/>
      <w:bookmarkStart w:id="1367" w:name="Tc_rOIfmUiuPUKpV9HY58D9yQ_2_2"/>
      <w:bookmarkStart w:id="1368" w:name="Tc_0KW-6mKOq0SqDMOVk_og3w_1_8"/>
      <w:bookmarkStart w:id="1369" w:name="Tc_VQqhgYp4eECOtwRv9Wpb4g_1_2"/>
      <w:bookmarkStart w:id="1370" w:name="_6495f4b3_6512_43e9_8803_c7a3aa976fd1"/>
      <w:bookmarkStart w:id="1371" w:name="Tc_6CSplmo3dkij8omB5rRIRw_10_11"/>
      <w:bookmarkStart w:id="1372" w:name="Tc_Gu9mP5DiWUOde2zijsAaxQ_10_8"/>
      <w:bookmarkStart w:id="1373" w:name="Tc_yN-Jb1EJO0Ooy18aksmHhw_10_5"/>
      <w:bookmarkStart w:id="1374" w:name="Tc_HoZKjpXmME6ik7lVQtn2Sg_10_2"/>
      <w:bookmarkStart w:id="1375" w:name="Tc_emVt8R6x_kS4ueRVU7yQBA_10_0"/>
      <w:bookmarkStart w:id="1376" w:name="Tc_U88ShNYeNkCrSehUTZH6Jg_9_6"/>
      <w:bookmarkStart w:id="1377" w:name="Tc_yO61zWQ0vEqStMkzHsdFAQ_9_3"/>
      <w:bookmarkStart w:id="1378" w:name="Tc_mwATzd14BU2XmnzI3ZxgKA_9_0"/>
      <w:bookmarkStart w:id="1379" w:name="Tc_5zeDK-hR7UuCqXrOV3STSQ_8_0"/>
      <w:bookmarkStart w:id="1380" w:name="Tc_TYHa3qH0lEmm73Lgmz5S_w_7_12"/>
      <w:bookmarkStart w:id="1381" w:name="Tc_yr5j8mNSVUKz5DbncUxV5w_7_9"/>
      <w:bookmarkStart w:id="1382" w:name="Tc_0SK3slUQt0u2IsNmOc0Uww_7_0"/>
      <w:bookmarkStart w:id="1383" w:name="Tc_rAWcnOIh9UqcUpl58DUq8w_6_0"/>
      <w:bookmarkStart w:id="1384" w:name="Tc_CSYMPD0D0Eqq19jqsKCKbg_5_12"/>
      <w:bookmarkStart w:id="1385" w:name="Tc_P-_bSBgkbU-CnfSvea7NfQ_5_11"/>
      <w:bookmarkStart w:id="1386" w:name="Tc_FKq0i9e5rUa8JOFtuTwBdg_5_8"/>
      <w:bookmarkStart w:id="1387" w:name="Tc_j7gvRqAtWkyGMBoEW80s2A_5_5"/>
      <w:bookmarkStart w:id="1388" w:name="Tc_gv0ZitpxFEm_vtwy2IxMxg_5_2"/>
      <w:bookmarkStart w:id="1389" w:name="Tc_UvbgowHIbUup0OfjgFwSzg_5_0"/>
      <w:bookmarkStart w:id="1390" w:name="Tc_iB2poVs8YEu6Np6r7cXo8A_4_0"/>
      <w:bookmarkStart w:id="1391" w:name="Tc_B2ai4Uz1x069HMOiqpr91Q_3_11"/>
      <w:bookmarkStart w:id="1392" w:name="Tc_9V6RsQ3fgkyskUidDc8T5Q_3_8"/>
      <w:bookmarkStart w:id="1393" w:name="Tc_1GyZjC2AtEC3oUiIal_YfQ_3_5"/>
      <w:bookmarkStart w:id="1394" w:name="Tc_W2gAPy4qnE63pkYwqPwitg_3_2"/>
      <w:bookmarkStart w:id="1395" w:name="Tc_hjVFxE9-NU6qdZ-9e9XyxA_3_0"/>
      <w:bookmarkStart w:id="1396" w:name="Tc_NZWVQPXmnku1EGDldHe4EQ_2_8"/>
      <w:bookmarkStart w:id="1397" w:name="Tc_PMGH1KDKQkug3YTb0IZ4dA_2_2"/>
      <w:bookmarkStart w:id="1398" w:name="Tc_eJPls6QVcUaswYMQYV3_6g_1_8"/>
      <w:bookmarkStart w:id="1399" w:name="Tc_QrXVwwWqSkS5HZDFEu_IcA_1_2"/>
      <w:bookmarkStart w:id="1400" w:name="_becbae1c_cd12_46fe_abed_e1b2a29886e5"/>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r>
        <w:rPr>
          <w:rFonts w:ascii="Times New Roman;Times;serif" w:hAnsi="Times New Roman;Times;serif"/>
          <w:b/>
          <w:sz w:val="20"/>
        </w:rPr>
        <w:t>14.</w:t>
      </w:r>
      <w:r>
        <w:rPr>
          <w:rFonts w:ascii="Times New Roman;Times;serif" w:hAnsi="Times New Roman;Times;serif"/>
          <w:sz w:val="20"/>
        </w:rPr>
        <w:t>          </w:t>
      </w:r>
      <w:r>
        <w:rPr>
          <w:rFonts w:ascii="Times New Roman;Times;serif" w:hAnsi="Times New Roman;Times;serif"/>
          <w:b/>
          <w:sz w:val="20"/>
        </w:rPr>
        <w:t>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pension and post-retirement plans are described in Note 11 to the Consolidated Financial Statements included in Part II, Item 8 of the Company’s Annual Report on Form 10-K for the year ended December 31, 2023. Components of net periodic benefit cost and other amounts recognized in Other Comprehensive Income (Loss) for the qualified pension plans and the post-retirement benefit plans for the three and six months ended June 30, 2024 and 2023 consisted of the following:</w:t>
      </w:r>
    </w:p>
    <w:p>
      <w:pPr>
        <w:pStyle w:val="TextBody"/>
        <w:bidi w:val="0"/>
        <w:spacing w:before="0" w:after="0"/>
        <w:ind w:left="0" w:right="0" w:hanging="0"/>
        <w:jc w:val="left"/>
        <w:rPr/>
      </w:pPr>
      <w:r>
        <w:rPr/>
        <w:t>​</w:t>
      </w:r>
    </w:p>
    <w:tbl>
      <w:tblPr>
        <w:tblW w:w="9380" w:type="dxa"/>
        <w:jc w:val="left"/>
        <w:tblInd w:w="0" w:type="dxa"/>
        <w:tblLayout w:type="fixed"/>
        <w:tblCellMar>
          <w:top w:w="0" w:type="dxa"/>
          <w:left w:w="0" w:type="dxa"/>
          <w:bottom w:w="0" w:type="dxa"/>
          <w:right w:w="0" w:type="dxa"/>
        </w:tblCellMar>
      </w:tblPr>
      <w:tblGrid>
        <w:gridCol w:w="4066"/>
        <w:gridCol w:w="326"/>
        <w:gridCol w:w="285"/>
        <w:gridCol w:w="650"/>
        <w:gridCol w:w="440"/>
        <w:gridCol w:w="285"/>
        <w:gridCol w:w="650"/>
        <w:gridCol w:w="326"/>
        <w:gridCol w:w="302"/>
        <w:gridCol w:w="605"/>
        <w:gridCol w:w="469"/>
        <w:gridCol w:w="302"/>
        <w:gridCol w:w="674"/>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581910" cy="175260"/>
                      <wp:effectExtent l="0" t="0" r="0" b="0"/>
                      <wp:wrapNone/>
                      <wp:docPr id="286" name="Frame286"/>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80975" cy="175260"/>
                      <wp:effectExtent l="0" t="0" r="0" b="0"/>
                      <wp:wrapNone/>
                      <wp:docPr id="288" name="Frame288"/>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12750" cy="175260"/>
                      <wp:effectExtent l="0" t="0" r="0" b="0"/>
                      <wp:wrapNone/>
                      <wp:docPr id="289" name="Frame289"/>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79400" cy="175260"/>
                      <wp:effectExtent l="0" t="0" r="0" b="0"/>
                      <wp:wrapNone/>
                      <wp:docPr id="290" name="Frame290"/>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80975" cy="175260"/>
                      <wp:effectExtent l="0" t="0" r="0" b="0"/>
                      <wp:wrapNone/>
                      <wp:docPr id="291" name="Frame291"/>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12750" cy="175260"/>
                      <wp:effectExtent l="0" t="0" r="0" b="0"/>
                      <wp:wrapNone/>
                      <wp:docPr id="292" name="Frame292"/>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91770" cy="175260"/>
                      <wp:effectExtent l="0" t="0" r="0" b="0"/>
                      <wp:wrapNone/>
                      <wp:docPr id="294" name="Frame294"/>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384175" cy="175260"/>
                      <wp:effectExtent l="0" t="0" r="0" b="0"/>
                      <wp:wrapNone/>
                      <wp:docPr id="295" name="Frame295"/>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97815" cy="175260"/>
                      <wp:effectExtent l="0" t="0" r="0" b="0"/>
                      <wp:wrapNone/>
                      <wp:docPr id="296" name="Frame296"/>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91770" cy="175260"/>
                      <wp:effectExtent l="0" t="0" r="0" b="0"/>
                      <wp:wrapNone/>
                      <wp:docPr id="297" name="Frame297"/>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27990" cy="175260"/>
                      <wp:effectExtent l="0" t="0" r="0" b="0"/>
                      <wp:wrapNone/>
                      <wp:docPr id="298" name="Frame298"/>
                      <a:graphic xmlns:a="http://schemas.openxmlformats.org/drawingml/2006/main">
                        <a:graphicData uri="http://schemas.microsoft.com/office/word/2010/wordprocessingShape">
                          <wps:wsp>
                            <wps:cNvSpPr txBox="1"/>
                            <wps:spPr>
                              <a:xfrm>
                                <a:off x="0" y="0"/>
                                <a:ext cx="427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26" w:type="dxa"/>
            <w:tcBorders/>
            <w:vAlign w:val="center"/>
          </w:tcPr>
          <w:p>
            <w:pPr>
              <w:pStyle w:val="TableContents"/>
              <w:bidi w:val="0"/>
              <w:spacing w:before="0" w:after="0"/>
              <w:ind w:left="0" w:right="0" w:hanging="0"/>
              <w:jc w:val="left"/>
              <w:rPr/>
            </w:pPr>
            <w:r>
              <w:rPr/>
              <w:t>​</w:t>
            </w:r>
          </w:p>
        </w:tc>
        <w:tc>
          <w:tcPr>
            <w:tcW w:w="235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5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40" w:type="dxa"/>
            <w:tcBorders/>
            <w:vAlign w:val="center"/>
          </w:tcPr>
          <w:p>
            <w:pPr>
              <w:pStyle w:val="TableContents"/>
              <w:bidi w:val="0"/>
              <w:spacing w:before="0" w:after="0"/>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69" w:type="dxa"/>
            <w:tcBorders/>
            <w:vAlign w:val="center"/>
          </w:tcPr>
          <w:p>
            <w:pPr>
              <w:pStyle w:val="TableContents"/>
              <w:bidi w:val="0"/>
              <w:spacing w:before="0" w:after="0"/>
              <w:ind w:left="0" w:right="0" w:hanging="0"/>
              <w:jc w:val="left"/>
              <w:rPr/>
            </w:pPr>
            <w:r>
              <w:rPr/>
              <w:t>    </w:t>
            </w:r>
          </w:p>
        </w:tc>
        <w:tc>
          <w:tcPr>
            <w:tcW w:w="9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650" w:type="dxa"/>
            <w:tcBorders/>
            <w:shd w:fill="CCEEFF" w:val="clear"/>
            <w:vAlign w:val="center"/>
          </w:tcPr>
          <w:p>
            <w:pPr>
              <w:pStyle w:val="TableContents"/>
              <w:bidi w:val="0"/>
              <w:spacing w:before="0" w:after="0"/>
              <w:ind w:left="0" w:right="0" w:hanging="0"/>
              <w:jc w:val="center"/>
              <w:rPr/>
            </w:pPr>
            <w:r>
              <w:rPr/>
              <w:t>​</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center"/>
              <w:rPr/>
            </w:pPr>
            <w:r>
              <w:rPr/>
              <w:t>​</w:t>
            </w:r>
          </w:p>
        </w:tc>
        <w:tc>
          <w:tcPr>
            <w:tcW w:w="65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center"/>
              <w:rPr/>
            </w:pPr>
            <w:r>
              <w:rPr/>
              <w:t>​</w:t>
            </w:r>
          </w:p>
        </w:tc>
        <w:tc>
          <w:tcPr>
            <w:tcW w:w="605" w:type="dxa"/>
            <w:tcBorders/>
            <w:shd w:fill="CCEEFF" w:val="clear"/>
            <w:vAlign w:val="center"/>
          </w:tcPr>
          <w:p>
            <w:pPr>
              <w:pStyle w:val="TableContents"/>
              <w:bidi w:val="0"/>
              <w:spacing w:before="0" w:after="0"/>
              <w:ind w:left="0" w:right="0" w:hanging="0"/>
              <w:jc w:val="center"/>
              <w:rPr/>
            </w:pPr>
            <w:r>
              <w:rPr/>
              <w:t>​</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center"/>
              <w:rPr/>
            </w:pPr>
            <w:r>
              <w:rPr/>
              <w:t>​</w:t>
            </w:r>
          </w:p>
        </w:tc>
        <w:tc>
          <w:tcPr>
            <w:tcW w:w="674" w:type="dxa"/>
            <w:tcBorders/>
            <w:shd w:fill="CCEEFF" w:val="clear"/>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6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40"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605" w:type="dxa"/>
            <w:tcBorders/>
            <w:vAlign w:val="center"/>
          </w:tcPr>
          <w:p>
            <w:pPr>
              <w:pStyle w:val="TableContents"/>
              <w:bidi w:val="0"/>
              <w:spacing w:before="0" w:after="0"/>
              <w:ind w:left="0" w:right="0" w:hanging="0"/>
              <w:jc w:val="right"/>
              <w:rPr/>
            </w:pPr>
            <w:r>
              <w:rPr/>
              <w:t>—</w:t>
            </w:r>
          </w:p>
        </w:tc>
        <w:tc>
          <w:tcPr>
            <w:tcW w:w="469" w:type="dxa"/>
            <w:tcBorders/>
            <w:vAlign w:val="center"/>
          </w:tcPr>
          <w:p>
            <w:pPr>
              <w:pStyle w:val="TableContents"/>
              <w:bidi w:val="0"/>
              <w:spacing w:before="0" w:after="0"/>
              <w:ind w:left="0" w:right="0" w:hanging="0"/>
              <w:jc w:val="left"/>
              <w:rPr/>
            </w:pPr>
            <w:r>
              <w:rPr/>
              <w:t>​</w:t>
            </w:r>
          </w:p>
        </w:tc>
        <w:tc>
          <w:tcPr>
            <w:tcW w:w="302" w:type="dxa"/>
            <w:tcBorders/>
            <w:vAlign w:val="center"/>
          </w:tcPr>
          <w:p>
            <w:pPr>
              <w:pStyle w:val="TableContents"/>
              <w:bidi w:val="0"/>
              <w:spacing w:before="0" w:after="0"/>
              <w:ind w:left="0" w:right="0" w:hanging="0"/>
              <w:jc w:val="left"/>
              <w:rPr/>
            </w:pPr>
            <w:r>
              <w:rPr/>
              <w:t> </w:t>
            </w:r>
          </w:p>
        </w:tc>
        <w:tc>
          <w:tcPr>
            <w:tcW w:w="674"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shd w:fill="CCEEFF" w:val="clear"/>
            <w:vAlign w:val="center"/>
          </w:tcPr>
          <w:p>
            <w:pPr>
              <w:pStyle w:val="TableContents"/>
              <w:bidi w:val="0"/>
              <w:spacing w:before="0" w:after="0"/>
              <w:ind w:left="0" w:right="0" w:hanging="0"/>
              <w:jc w:val="left"/>
              <w:rPr/>
            </w:pPr>
            <w:r>
              <w:rPr/>
              <w:t> </w:t>
            </w:r>
          </w:p>
        </w:tc>
        <w:tc>
          <w:tcPr>
            <w:tcW w:w="6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40" w:type="dxa"/>
            <w:tcBorders/>
            <w:vAlign w:val="center"/>
          </w:tcPr>
          <w:p>
            <w:pPr>
              <w:pStyle w:val="TableContents"/>
              <w:bidi w:val="0"/>
              <w:spacing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469" w:type="dxa"/>
            <w:tcBorders/>
            <w:vAlign w:val="center"/>
          </w:tcPr>
          <w:p>
            <w:pPr>
              <w:pStyle w:val="TableContents"/>
              <w:bidi w:val="0"/>
              <w:spacing w:before="0" w:after="0"/>
              <w:ind w:left="0" w:right="0" w:hanging="0"/>
              <w:jc w:val="left"/>
              <w:rPr/>
            </w:pPr>
            <w:r>
              <w:rPr/>
              <w:t>​</w:t>
            </w:r>
          </w:p>
        </w:tc>
        <w:tc>
          <w:tcPr>
            <w:tcW w:w="30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40" w:type="dxa"/>
            <w:tcBorders/>
            <w:shd w:fill="CCEEFF" w:val="clear"/>
            <w:vAlign w:val="center"/>
          </w:tcPr>
          <w:p>
            <w:pPr>
              <w:pStyle w:val="TableContents"/>
              <w:bidi w:val="0"/>
              <w:spacing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26"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69" w:type="dxa"/>
            <w:tcBorders/>
            <w:shd w:fill="CCEEFF" w:val="clear"/>
            <w:vAlign w:val="center"/>
          </w:tcPr>
          <w:p>
            <w:pPr>
              <w:pStyle w:val="TableContents"/>
              <w:bidi w:val="0"/>
              <w:spacing w:before="0" w:after="0"/>
              <w:ind w:left="0" w:right="0" w:hanging="0"/>
              <w:jc w:val="left"/>
              <w:rPr/>
            </w:pPr>
            <w:r>
              <w:rPr/>
              <w:t>​</w:t>
            </w:r>
          </w:p>
        </w:tc>
        <w:tc>
          <w:tcPr>
            <w:tcW w:w="3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91" w:type="dxa"/>
        <w:jc w:val="left"/>
        <w:tblInd w:w="0" w:type="dxa"/>
        <w:tblLayout w:type="fixed"/>
        <w:tblCellMar>
          <w:top w:w="0" w:type="dxa"/>
          <w:left w:w="0" w:type="dxa"/>
          <w:bottom w:w="0" w:type="dxa"/>
          <w:right w:w="0" w:type="dxa"/>
        </w:tblCellMar>
      </w:tblPr>
      <w:tblGrid>
        <w:gridCol w:w="4066"/>
        <w:gridCol w:w="326"/>
        <w:gridCol w:w="261"/>
        <w:gridCol w:w="595"/>
        <w:gridCol w:w="403"/>
        <w:gridCol w:w="261"/>
        <w:gridCol w:w="595"/>
        <w:gridCol w:w="326"/>
        <w:gridCol w:w="277"/>
        <w:gridCol w:w="555"/>
        <w:gridCol w:w="430"/>
        <w:gridCol w:w="277"/>
        <w:gridCol w:w="619"/>
      </w:tblGrid>
      <w:tr>
        <w:trPr/>
        <w:tc>
          <w:tcPr>
            <w:tcW w:w="4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581910" cy="175260"/>
                      <wp:effectExtent l="0" t="0" r="0" b="0"/>
                      <wp:wrapNone/>
                      <wp:docPr id="299" name="Frame299"/>
                      <a:graphic xmlns:a="http://schemas.openxmlformats.org/drawingml/2006/main">
                        <a:graphicData uri="http://schemas.microsoft.com/office/word/2010/wordprocessingShape">
                          <wps:wsp>
                            <wps:cNvSpPr txBox="1"/>
                            <wps:spPr>
                              <a:xfrm>
                                <a:off x="0" y="0"/>
                                <a:ext cx="2581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300"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65735" cy="175260"/>
                      <wp:effectExtent l="0" t="0" r="0" b="0"/>
                      <wp:wrapNone/>
                      <wp:docPr id="301" name="Frame301"/>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377825" cy="175260"/>
                      <wp:effectExtent l="0" t="0" r="0" b="0"/>
                      <wp:wrapNone/>
                      <wp:docPr id="302" name="Frame302"/>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55905" cy="175260"/>
                      <wp:effectExtent l="0" t="0" r="0" b="0"/>
                      <wp:wrapNone/>
                      <wp:docPr id="303" name="Frame303"/>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65735" cy="175260"/>
                      <wp:effectExtent l="0" t="0" r="0" b="0"/>
                      <wp:wrapNone/>
                      <wp:docPr id="304" name="Frame30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77825" cy="175260"/>
                      <wp:effectExtent l="0" t="0" r="0" b="0"/>
                      <wp:wrapNone/>
                      <wp:docPr id="305" name="Frame305"/>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75895" cy="175260"/>
                      <wp:effectExtent l="0" t="0" r="0" b="0"/>
                      <wp:wrapNone/>
                      <wp:docPr id="307" name="Frame30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52425" cy="175260"/>
                      <wp:effectExtent l="0" t="0" r="0" b="0"/>
                      <wp:wrapNone/>
                      <wp:docPr id="308" name="Frame308"/>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73050" cy="175260"/>
                      <wp:effectExtent l="0" t="0" r="0" b="0"/>
                      <wp:wrapNone/>
                      <wp:docPr id="309" name="Frame30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75895" cy="175260"/>
                      <wp:effectExtent l="0" t="0" r="0" b="0"/>
                      <wp:wrapNone/>
                      <wp:docPr id="310" name="Frame310"/>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393065" cy="175260"/>
                      <wp:effectExtent l="0" t="0" r="0" b="0"/>
                      <wp:wrapNone/>
                      <wp:docPr id="311" name="Frame311"/>
                      <a:graphic xmlns:a="http://schemas.openxmlformats.org/drawingml/2006/main">
                        <a:graphicData uri="http://schemas.microsoft.com/office/word/2010/wordprocessingShape">
                          <wps:wsp>
                            <wps:cNvSpPr txBox="1"/>
                            <wps:spPr>
                              <a:xfrm>
                                <a:off x="0" y="0"/>
                                <a:ext cx="393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Pension Benefits</w:t>
            </w:r>
          </w:p>
        </w:tc>
        <w:tc>
          <w:tcPr>
            <w:tcW w:w="326" w:type="dxa"/>
            <w:tcBorders/>
            <w:vAlign w:val="center"/>
          </w:tcPr>
          <w:p>
            <w:pPr>
              <w:pStyle w:val="TableContents"/>
              <w:bidi w:val="0"/>
              <w:spacing w:before="0" w:after="0"/>
              <w:ind w:left="0" w:right="0" w:hanging="0"/>
              <w:jc w:val="left"/>
              <w:rPr/>
            </w:pPr>
            <w:r>
              <w:rPr/>
              <w:t>​</w:t>
            </w:r>
          </w:p>
        </w:tc>
        <w:tc>
          <w:tcPr>
            <w:tcW w:w="215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Post-retirement Benefits</w:t>
            </w:r>
          </w:p>
        </w:tc>
      </w:tr>
      <w:tr>
        <w:trPr/>
        <w:tc>
          <w:tcPr>
            <w:tcW w:w="40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0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3" w:type="dxa"/>
            <w:tcBorders/>
            <w:vAlign w:val="center"/>
          </w:tcPr>
          <w:p>
            <w:pPr>
              <w:pStyle w:val="TableContents"/>
              <w:bidi w:val="0"/>
              <w:spacing w:before="0" w:after="0"/>
              <w:ind w:left="0" w:right="0" w:hanging="0"/>
              <w:jc w:val="left"/>
              <w:rPr/>
            </w:pPr>
            <w:r>
              <w:rPr/>
              <w:t>    </w:t>
            </w:r>
          </w:p>
        </w:tc>
        <w:tc>
          <w:tcPr>
            <w:tcW w:w="8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0" w:type="dxa"/>
            <w:tcBorders/>
            <w:vAlign w:val="center"/>
          </w:tcPr>
          <w:p>
            <w:pPr>
              <w:pStyle w:val="TableContents"/>
              <w:bidi w:val="0"/>
              <w:spacing w:before="0" w:after="0"/>
              <w:ind w:left="0" w:right="0" w:hanging="0"/>
              <w:jc w:val="left"/>
              <w:rPr/>
            </w:pPr>
            <w:r>
              <w:rPr/>
              <w:t>    </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center"/>
              <w:rPr/>
            </w:pPr>
            <w:r>
              <w:rPr/>
              <w:t>​</w:t>
            </w:r>
          </w:p>
        </w:tc>
        <w:tc>
          <w:tcPr>
            <w:tcW w:w="595" w:type="dxa"/>
            <w:tcBorders/>
            <w:shd w:fill="CCEEFF" w:val="clear"/>
            <w:vAlign w:val="center"/>
          </w:tcPr>
          <w:p>
            <w:pPr>
              <w:pStyle w:val="TableContents"/>
              <w:bidi w:val="0"/>
              <w:spacing w:before="0" w:after="0"/>
              <w:ind w:left="0" w:right="0" w:hanging="0"/>
              <w:jc w:val="center"/>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center"/>
              <w:rPr/>
            </w:pPr>
            <w:r>
              <w:rPr/>
              <w:t>​</w:t>
            </w:r>
          </w:p>
        </w:tc>
        <w:tc>
          <w:tcPr>
            <w:tcW w:w="59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555" w:type="dxa"/>
            <w:tcBorders/>
            <w:shd w:fill="CCEEFF" w:val="clear"/>
            <w:vAlign w:val="center"/>
          </w:tcPr>
          <w:p>
            <w:pPr>
              <w:pStyle w:val="TableContents"/>
              <w:bidi w:val="0"/>
              <w:spacing w:before="0" w:after="0"/>
              <w:ind w:left="0" w:right="0" w:hanging="0"/>
              <w:jc w:val="center"/>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center"/>
              <w:rPr/>
            </w:pPr>
            <w:r>
              <w:rPr/>
              <w:t>​</w:t>
            </w:r>
          </w:p>
        </w:tc>
        <w:tc>
          <w:tcPr>
            <w:tcW w:w="619" w:type="dxa"/>
            <w:tcBorders/>
            <w:shd w:fill="CCEEFF" w:val="clear"/>
            <w:vAlign w:val="center"/>
          </w:tcPr>
          <w:p>
            <w:pPr>
              <w:pStyle w:val="TableContents"/>
              <w:bidi w:val="0"/>
              <w:spacing w:before="0" w:after="0"/>
              <w:ind w:left="0" w:right="0" w:hanging="0"/>
              <w:jc w:val="center"/>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03"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30"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403"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 </w:t>
            </w:r>
          </w:p>
        </w:tc>
        <w:tc>
          <w:tcPr>
            <w:tcW w:w="5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555" w:type="dxa"/>
            <w:tcBorders/>
            <w:vAlign w:val="center"/>
          </w:tcPr>
          <w:p>
            <w:pPr>
              <w:pStyle w:val="TableContents"/>
              <w:bidi w:val="0"/>
              <w:spacing w:before="0" w:after="0"/>
              <w:ind w:left="0" w:right="0" w:hanging="0"/>
              <w:jc w:val="right"/>
              <w:rPr/>
            </w:pPr>
            <w:r>
              <w:rPr/>
              <w:t>—</w:t>
            </w:r>
          </w:p>
        </w:tc>
        <w:tc>
          <w:tcPr>
            <w:tcW w:w="430"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net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pPr>
            <w:r>
              <w:rPr/>
              <w:t> </w:t>
            </w:r>
          </w:p>
        </w:tc>
        <w:tc>
          <w:tcPr>
            <w:tcW w:w="5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5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 </w:t>
            </w:r>
          </w:p>
        </w:tc>
        <w:tc>
          <w:tcPr>
            <w:tcW w:w="6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credit</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3" w:type="dxa"/>
            <w:tcBorders/>
            <w:vAlign w:val="center"/>
          </w:tcPr>
          <w:p>
            <w:pPr>
              <w:pStyle w:val="TableContents"/>
              <w:bidi w:val="0"/>
              <w:spacing w:before="0" w:after="0"/>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430" w:type="dxa"/>
            <w:tcBorders/>
            <w:vAlign w:val="center"/>
          </w:tcPr>
          <w:p>
            <w:pPr>
              <w:pStyle w:val="TableContents"/>
              <w:bidi w:val="0"/>
              <w:spacing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 (credit)</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403" w:type="dxa"/>
            <w:tcBorders/>
            <w:shd w:fill="CCEEFF" w:val="clear"/>
            <w:vAlign w:val="center"/>
          </w:tcPr>
          <w:p>
            <w:pPr>
              <w:pStyle w:val="TableContents"/>
              <w:bidi w:val="0"/>
              <w:spacing w:before="0" w:after="0"/>
              <w:ind w:left="0" w:right="0" w:hanging="0"/>
              <w:jc w:val="left"/>
              <w:rPr/>
            </w:pPr>
            <w:r>
              <w:rPr/>
              <w:t>​</w:t>
            </w:r>
          </w:p>
        </w:tc>
        <w:tc>
          <w:tcPr>
            <w:tcW w:w="26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30"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15.</w:t>
      </w:r>
      <w:r>
        <w:rPr>
          <w:rFonts w:ascii="Times New Roman;Times;serif" w:hAnsi="Times New Roman;Times;serif"/>
          <w:sz w:val="20"/>
        </w:rPr>
        <w:t>          </w:t>
      </w:r>
      <w:r>
        <w:rPr>
          <w:rFonts w:ascii="Times New Roman;Times;serif" w:hAnsi="Times New Roman;Times;serif"/>
          <w:b/>
          <w:sz w:val="20"/>
        </w:rPr>
        <w:t>COMMITMENTS AND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Environmental Matters:</w:t>
      </w:r>
      <w:r>
        <w:rPr>
          <w:rFonts w:ascii="Times New Roman;Times;serif" w:hAnsi="Times New Roman;Times;serif"/>
          <w:sz w:val="20"/>
        </w:rPr>
        <w:t xml:space="preserve"> 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01" w:name="ITEM_2_MDA"/>
      <w:bookmarkStart w:id="1402" w:name="_275b04a4_79d6_4690_9d22_02d1b8b126d1"/>
      <w:bookmarkEnd w:id="1401"/>
      <w:bookmarkEnd w:id="1402"/>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discussion and analysis should be read in conjunction with the Condensed Consolidated Financial Statements and related notes, and other financial information appearing elsewhere in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 Company, from time to time, may make or may have made certain forward-looking statements, whether orally or in writing, such as, among others, forecasts or projections of the Company’s future performance or statements of management’s plans and objectives. These statements are considered “forward-looking” statements as that term is defined in the Private Securities Litigation Reform Act of 1995. Such forward-looking statements may be contained in, among other things, SEC filings such as Forms 10-K, 10-Q and 8-K, the Company’s Annual Report to Shareholders, the Company’s Sustainability Report, press releases made by the Company, the Company’s Internet websites (including websites of its subsidiaries), and oral statements made by officers of the Company. Except for historical information contained in these written or oral communications, all other statements are forward-looking statements. These include, for example, all references to 2024 or future years, including such references included under “First Quarter 2024 Discussion and Outlook for 2024,” as well as statements generally identified through the inclusion of words such as “anticipate,” “believe,” “can,” “commit,” “estimate,” “expect,” “goal,” “intend,” “may,” “plan,” “target,” “seek,” “should,” and “will,” or similar statements or variations of such terms and other similar expressions. New risks or uncertainties may emerge from time to time, risks that the Company currently does not consider to be material could become material, and it is not possible for the Company to predict all such risks, nor can it assess the impact of all such risks on the Company’s business or the extent to which any factor, or combination of factors, may cause actual results or outcomes, or the timing of results or outcomes, to differ materially from those contained in any forward-looking statements. Accordingly, forward-looking statements cannot be relied upon as a guarantee of future results or outcomes and involve a number of risks and uncertainties that could cause actual results or outcomes to differ materially from those projected in the statements, including but not limited to the factors that are described in Part I, Item 1A under the caption “Risk Factors” of the Company’s </w:t>
      </w:r>
      <w:hyperlink r:id="rId2">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 Except as required by law, the Company undertakes no obligation to revise or update publicly forward-looking statements or any factors that may affect actual results, whether as a result of new information, future events, circumstances occurring after the date of this report, or otherwise.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Condensed Consolidated Financial Statements from period to period, the primary factors that accounted for those changes, and how certain accounting principles, policies and estimates affected the Company’s Condensed Consolidated Financial Statements. The MD&amp;A is provided as a supplement to the Condensed Consolidated Financial Statements and notes herein, and should be read in conjunction with the Company’s </w:t>
      </w:r>
      <w:hyperlink r:id="rId3">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 the Company’s reports on Forms 10-Q and 8-K, and other publicly available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SECOND QUARTER 2024 DISCUSSION AND OUTLOOK FOR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Ocean Transportation:</w:t>
      </w:r>
      <w:r>
        <w:rPr>
          <w:rFonts w:ascii="Times New Roman;Times;serif" w:hAnsi="Times New Roman;Times;serif"/>
          <w:sz w:val="20"/>
        </w:rPr>
        <w:t xml:space="preserve"> The Company’s container volume in the Hawaii service in the second quarter 2024 was 3.6 percent lower year-over-year. The decrease was primarily due to lower general demand. Tourist arrivals decreased year-over-year primarily due to significantly lower visitor traffic to Maui as a result of the wildfires last year. The Company expects volume in 2024 to be modestly lower than the level achieved in 2023, primarily due to continued challenges in population growth and lower discretionary income as a result of higher inflation and interest rates.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China, the Company achieved significantly higher freight rates in the second quarter 2024 compared to the year ago period. The Company’s container volume in the second quarter 2024 also increased 3.0 percent year-over-year. The elevated freight rates were primarily due to a supportive economic and consumer demand environment in the U.S. coupled with tighter supply chain conditions, and were not consistent with a normalized operating environment.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Company expects its China service to continue to see elevated rates during the traditional peak season in the third and early fourth quarters, but the freight rate trajectory after the peak season is uncertain. In the near term, the Company expects freight rates to remain elevated as long as the underlying economic, supply chain, and geopolitical conditions persist. The timing of when rates will eventually normalize likely depends on the duration and timing of several factors that influence supply and demand dynamics in the tradelane. Regardless of this uncertainty, the Company expects the shift from air freight to expedited ocean and the continued growth of e-commerce goods to drive long-term demand for its China service.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Guam, the Company’s container volume in the second quarter 2024 decreased 6.1 percent year-over-year. The decrease was primarily due to one less sailing. In the near term, the Company expects continued improvement in the Guam economy underpinned by a low unemployment rate. For 2024, the Company expects volume to approach the level achieved last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Alaska, the Company’s container volume for the second quarter 2024 increased 4.9 percent year-over-year primarily due to two additional northbound sailings. In the near term, the Company expects continued economic growth in Alaska supported by a low unemployment rate, jobs growth and lower levels of inflation. For 2024, the Company expects volume to approximate the level achieved last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contribution in the second quarter 2024 from the Company’s SSAT joint venture investment was $1.2 million, or $2.6 million higher than the second quarter 2023. The increase was primarily due to higher lift volume. For 2024, the Company expects the contribution from SSAT to be modestly higher than the levels achieved in 2023 due to an expected increase in lift volumes.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result of the outlook trends noted above, the Company expects third quarter 2024 operating income for Ocean Transportation to be meaningfully higher than the $118.2 million achieved last year, and in the fourth quarter 2024, the Company expects Ocean Transportation operating income to be moderately higher than the $66.4 million achieved in the fourth quarter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Logistics:</w:t>
      </w:r>
      <w:r>
        <w:rPr>
          <w:rFonts w:ascii="Times New Roman;Times;serif" w:hAnsi="Times New Roman;Times;serif"/>
          <w:sz w:val="20"/>
        </w:rPr>
        <w:t xml:space="preserve"> In the second quarter 2024, operating income for the Company’s Logistics segment was $15.6 million, or $1.3 million higher compared to the level achieved in the second quarter 2023. The increase was primarily due to the strength of supply chain management. The Company expects operating income in both the third and fourth quarters of 2024 to approximate the levels achieved last year.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Consolidated Operating Income:</w:t>
      </w:r>
      <w:r>
        <w:rPr>
          <w:rFonts w:ascii="Times New Roman;Times;serif" w:hAnsi="Times New Roman;Times;serif"/>
          <w:sz w:val="20"/>
        </w:rPr>
        <w:t xml:space="preserve"> The Company expects Matson’s third quarter 2024 consolidated operating income to be meaningfully higher than the $132.1 million achieved in the third quarter 2023, and fourth quarter 2024 consolidated operating income to be moderately higher than the $75.3 million achieved in the fourth quarter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Depreciation and Amortization:</w:t>
      </w:r>
      <w:r>
        <w:rPr>
          <w:rFonts w:ascii="Times New Roman;Times;serif" w:hAnsi="Times New Roman;Times;serif"/>
          <w:sz w:val="20"/>
        </w:rPr>
        <w:t xml:space="preserve"> For full year 2024, the Company expects depreciation and amortization expense to be approximately $180 million, inclusive of dry-docking amortization of approximately $27 million.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Interest Income: </w:t>
      </w:r>
      <w:r>
        <w:rPr>
          <w:rFonts w:ascii="Times New Roman;Times;serif" w:hAnsi="Times New Roman;Times;serif"/>
          <w:sz w:val="20"/>
        </w:rPr>
        <w:t>The Company expects interest income for the full year 2024 to be approximately $45 million. This includes the receipt on April 19, 2024 of $10.2 million in interest income earned on the federal tax refund related to the Company’s 2021 federal tax return.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Interest Expense:</w:t>
      </w:r>
      <w:r>
        <w:rPr>
          <w:rFonts w:ascii="Times New Roman;Times;serif" w:hAnsi="Times New Roman;Times;serif"/>
          <w:sz w:val="20"/>
        </w:rPr>
        <w:t xml:space="preserve"> The Company expects interest expense for the full year 2024 to be approximately $8 million.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Other Income (Expense): </w:t>
      </w:r>
      <w:r>
        <w:rPr>
          <w:rFonts w:ascii="Times New Roman;Times;serif" w:hAnsi="Times New Roman;Times;serif"/>
          <w:sz w:val="20"/>
        </w:rPr>
        <w:t>The Company expects full year 2024 other income (expense) to be approximately $7 million in income, which is attributable to the amortization of certain components of net periodic benefit costs or gains related to the Company’s pension and post-retirement plans.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Income Taxes:</w:t>
      </w:r>
      <w:r>
        <w:rPr>
          <w:rFonts w:ascii="Times New Roman;Times;serif" w:hAnsi="Times New Roman;Times;serif"/>
          <w:sz w:val="20"/>
        </w:rPr>
        <w:t xml:space="preserve"> In the second quarter 2024, the Company’s effective tax rate was 20.9 percent. For the full year 2024, the Company expects its effective tax rate to be approximately 22.0 percent.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Capital and Vessel Dry-docking Expenditures:</w:t>
      </w:r>
      <w:r>
        <w:rPr>
          <w:rFonts w:ascii="Times New Roman;Times;serif" w:hAnsi="Times New Roman;Times;serif"/>
          <w:sz w:val="20"/>
        </w:rPr>
        <w:t xml:space="preserve"> In the second quarter 2024, the Company made capital expenditure payments excluding vessel construction expenditures of $32.7 million, capitalized vessel construction expenditures of $37.1 million, and dry-docking payments of $12.1 million. For the full year 2024, the Company expects to make other capital expenditure payments, including maintenance capital expenditures, of approximately $110 to $120 million, new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vessel construction expenditures (including capitalized interest and owner’s items) of approximately $75 million, expenditures for LNG installations and reengining on existing vessels of approximately $85 to $95 million, and dry-docking payments of approximately $35 million.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Three months ended June 30, 2024 compared with 2023:</w:t>
      </w:r>
    </w:p>
    <w:p>
      <w:pPr>
        <w:pStyle w:val="TextBody"/>
        <w:bidi w:val="0"/>
        <w:spacing w:before="0" w:after="0"/>
        <w:ind w:left="0" w:right="0" w:hanging="0"/>
        <w:jc w:val="left"/>
        <w:rPr/>
      </w:pPr>
      <w:r>
        <w:rPr/>
        <w:t>​</w:t>
      </w:r>
    </w:p>
    <w:tbl>
      <w:tblPr>
        <w:tblW w:w="8318" w:type="dxa"/>
        <w:jc w:val="left"/>
        <w:tblInd w:w="0" w:type="dxa"/>
        <w:tblLayout w:type="fixed"/>
        <w:tblCellMar>
          <w:top w:w="0" w:type="dxa"/>
          <w:left w:w="0" w:type="dxa"/>
          <w:bottom w:w="0" w:type="dxa"/>
          <w:right w:w="0" w:type="dxa"/>
        </w:tblCellMar>
      </w:tblPr>
      <w:tblGrid>
        <w:gridCol w:w="3481"/>
        <w:gridCol w:w="326"/>
        <w:gridCol w:w="211"/>
        <w:gridCol w:w="691"/>
        <w:gridCol w:w="326"/>
        <w:gridCol w:w="211"/>
        <w:gridCol w:w="691"/>
        <w:gridCol w:w="326"/>
        <w:gridCol w:w="211"/>
        <w:gridCol w:w="586"/>
        <w:gridCol w:w="326"/>
        <w:gridCol w:w="61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210435" cy="175260"/>
                      <wp:effectExtent l="0" t="0" r="0" b="0"/>
                      <wp:wrapNone/>
                      <wp:docPr id="312" name="Frame312"/>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38785" cy="175260"/>
                      <wp:effectExtent l="0" t="0" r="0" b="0"/>
                      <wp:wrapNone/>
                      <wp:docPr id="315" name="Frame3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38785" cy="175260"/>
                      <wp:effectExtent l="0" t="0" r="0" b="0"/>
                      <wp:wrapNone/>
                      <wp:docPr id="318" name="Frame3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72110" cy="175260"/>
                      <wp:effectExtent l="0" t="0" r="0" b="0"/>
                      <wp:wrapNone/>
                      <wp:docPr id="321" name="Frame32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391160" cy="175260"/>
                      <wp:effectExtent l="0" t="0" r="0" b="0"/>
                      <wp:wrapNone/>
                      <wp:docPr id="323" name="Frame32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00660" cy="175260"/>
                      <wp:effectExtent l="0" t="0" r="0" b="0"/>
                      <wp:wrapNone/>
                      <wp:docPr id="324" name="Frame3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9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7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847.4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(676.7)</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6.8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28.9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116.1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26" w:type="dxa"/>
            <w:tcBorders/>
            <w:vAlign w:val="center"/>
          </w:tcPr>
          <w:p>
            <w:pPr>
              <w:pStyle w:val="TableContents"/>
              <w:bidi w:val="0"/>
              <w:spacing w:before="0" w:after="0"/>
              <w:ind w:left="0" w:right="0" w:hanging="0"/>
              <w:jc w:val="left"/>
              <w:rPr/>
            </w:pPr>
            <w:r>
              <w:rPr/>
              <w:t> </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and operating costs and expenses are further described below in the Analysis of Operating Revenue and Income by Segment.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interest income for the three months ended June 30, 2024, compared to the three months ended June 30, 2023, was due to interest of $10.2 million related to a federal income tax refund received during the three months ended June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expense for the three months ended June 30, 2024, compared to the three months ended June 30, 2023, was due to lower outstanding debt during the period, and a higher offset of capitalized interest related to the construction of new vessels.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relates to the amortization of certain components of net periodic benefit costs or gains related to the Company’s 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was $29.9 million or 20.9 percent of income before taxes for the three months ended June 30, 2024, compared to $23.5 million or 22.5 percent of income before taxes for the three months ended June 30, 2023. The effective tax rate for the three months ended June 30, 2024 benefited from a 2.5 percent deduction related to foreign-derived intangible income (“FDII”) under Section 250 of the Internal Revenue Code that lowered the effective tax rate for the current period, compared to a 1.7 percent FDII deduction for the three months ended June 30, 2023. The FDII deduction for the three months ended June 30, 2024 was higher primarily due to higher projected income generated from the Company’s China service. The effective tax rate for the three months ended June 30, 2024 also benefited from certain discrete tax adjustments that lowered the effective tax rate in the current period.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Consolidated Results – Six months ended June 30, 2024 compared with 2023:</w:t>
      </w:r>
    </w:p>
    <w:p>
      <w:pPr>
        <w:pStyle w:val="TextBody"/>
        <w:bidi w:val="0"/>
        <w:spacing w:before="0" w:after="0"/>
        <w:ind w:left="0" w:right="0" w:hanging="0"/>
        <w:jc w:val="left"/>
        <w:rPr/>
      </w:pPr>
      <w:r>
        <w:rPr/>
        <w:t>​</w:t>
      </w:r>
    </w:p>
    <w:tbl>
      <w:tblPr>
        <w:tblW w:w="8588" w:type="dxa"/>
        <w:jc w:val="left"/>
        <w:tblInd w:w="0" w:type="dxa"/>
        <w:tblLayout w:type="fixed"/>
        <w:tblCellMar>
          <w:top w:w="0" w:type="dxa"/>
          <w:left w:w="0" w:type="dxa"/>
          <w:bottom w:w="0" w:type="dxa"/>
          <w:right w:w="0" w:type="dxa"/>
        </w:tblCellMar>
      </w:tblPr>
      <w:tblGrid>
        <w:gridCol w:w="3481"/>
        <w:gridCol w:w="326"/>
        <w:gridCol w:w="211"/>
        <w:gridCol w:w="841"/>
        <w:gridCol w:w="326"/>
        <w:gridCol w:w="211"/>
        <w:gridCol w:w="841"/>
        <w:gridCol w:w="326"/>
        <w:gridCol w:w="211"/>
        <w:gridCol w:w="586"/>
        <w:gridCol w:w="326"/>
        <w:gridCol w:w="586"/>
        <w:gridCol w:w="316"/>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210435" cy="175260"/>
                      <wp:effectExtent l="0" t="0" r="0" b="0"/>
                      <wp:wrapNone/>
                      <wp:docPr id="325" name="Frame325"/>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34035" cy="175260"/>
                      <wp:effectExtent l="0" t="0" r="0" b="0"/>
                      <wp:wrapNone/>
                      <wp:docPr id="328" name="Frame32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34035" cy="175260"/>
                      <wp:effectExtent l="0" t="0" r="0" b="0"/>
                      <wp:wrapNone/>
                      <wp:docPr id="331" name="Frame33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3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372110" cy="175260"/>
                      <wp:effectExtent l="0" t="0" r="0" b="0"/>
                      <wp:wrapNone/>
                      <wp:docPr id="334" name="Frame3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72110" cy="175260"/>
                      <wp:effectExtent l="0" t="0" r="0" b="0"/>
                      <wp:wrapNone/>
                      <wp:docPr id="336" name="Frame33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0660" cy="175260"/>
                      <wp:effectExtent l="0" t="0" r="0" b="0"/>
                      <wp:wrapNone/>
                      <wp:docPr id="337" name="Frame33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 except per share amounts)</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70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6.2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(1,342.8)</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19.3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63.3 </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revenue, and operating costs and expenses are further described below in the Analysis of Operating Revenue and Income by Segment.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increase in interest income for the six months ended June 30, 2024, compared to the six months ended June 30, 2023, was due to interest of $10.2 million related to a federal income tax refund received during the six months ended June 30, 2024. The increase in interest income was also due to increased amounts of cash and cash equivalent, and CCF funds that are invested in interest bearing accounts during the six months ended June 30, 2024, compared to the same prior year period.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decrease in interest expense for the six months ended June 30, 2024, compared to the six months ended June 30, 2023, was due to lower outstanding debt during the period, and a higher offset of capitalized interest related to the construction of new vessels.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relates to the amortization of certain components of net periodic benefit costs or gains related to the Company’s pension and post-retirement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expense was $39.1 million or 20.8 percent of income before taxes for the six months ended June 30, 2024, compared to $33.7 million or 22.7 percent of income before taxes for the six months ended June 30, 2023. The effective tax rate for the six months ended June 30, 2024 benefited from a 2.4 percent deduction related to FDII under Section 250 of the Internal Revenue Code that lowered the effective tax rate for the current period, compared to a 1.8 percent FDII deduction for the six months ended June 30, 2023. The FDII deduction for the six months ended June 30, 2024 was higher primarily due to higher projected income generated from the Company’s China service. The effective tax rate for the six months ended June 30, 2024 also benefited from certain discrete tax adjustments that lowered the effective tax rate in the current period. </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ANALYSIS OF OPERATING REVENUE AND INCOME BY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Three months ended June 30, 2024 compared with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521"/>
        <w:gridCol w:w="326"/>
        <w:gridCol w:w="211"/>
        <w:gridCol w:w="689"/>
        <w:gridCol w:w="326"/>
        <w:gridCol w:w="211"/>
        <w:gridCol w:w="689"/>
        <w:gridCol w:w="326"/>
        <w:gridCol w:w="211"/>
        <w:gridCol w:w="686"/>
        <w:gridCol w:w="109"/>
        <w:gridCol w:w="581"/>
        <w:gridCol w:w="319"/>
      </w:tblGrid>
      <w:tr>
        <w:trPr/>
        <w:tc>
          <w:tcPr>
            <w:tcW w:w="5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505835" cy="175260"/>
                      <wp:effectExtent l="0" t="0" r="0" b="0"/>
                      <wp:wrapNone/>
                      <wp:docPr id="338" name="Frame338"/>
                      <a:graphic xmlns:a="http://schemas.openxmlformats.org/drawingml/2006/main">
                        <a:graphicData uri="http://schemas.microsoft.com/office/word/2010/wordprocessingShape">
                          <wps:wsp>
                            <wps:cNvSpPr txBox="1"/>
                            <wps:spPr>
                              <a:xfrm>
                                <a:off x="0" y="0"/>
                                <a:ext cx="3505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37515" cy="175260"/>
                      <wp:effectExtent l="0" t="0" r="0" b="0"/>
                      <wp:wrapNone/>
                      <wp:docPr id="341" name="Frame341"/>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37515" cy="175260"/>
                      <wp:effectExtent l="0" t="0" r="0" b="0"/>
                      <wp:wrapNone/>
                      <wp:docPr id="344" name="Frame344"/>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35610" cy="175260"/>
                      <wp:effectExtent l="0" t="0" r="0" b="0"/>
                      <wp:wrapNone/>
                      <wp:docPr id="347" name="Frame34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68935" cy="175260"/>
                      <wp:effectExtent l="0" t="0" r="0" b="0"/>
                      <wp:wrapNone/>
                      <wp:docPr id="349" name="Frame349"/>
                      <a:graphic xmlns:a="http://schemas.openxmlformats.org/drawingml/2006/main">
                        <a:graphicData uri="http://schemas.microsoft.com/office/word/2010/wordprocessingShape">
                          <wps:wsp>
                            <wps:cNvSpPr txBox="1"/>
                            <wps:spPr>
                              <a:xfrm>
                                <a:off x="0" y="0"/>
                                <a:ext cx="36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02565" cy="175260"/>
                      <wp:effectExtent l="0" t="0" r="0" b="0"/>
                      <wp:wrapNone/>
                      <wp:docPr id="350" name="Frame35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3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9" w:type="dxa"/>
            <w:tcBorders/>
            <w:vAlign w:val="center"/>
          </w:tcPr>
          <w:p>
            <w:pPr>
              <w:pStyle w:val="TableContents"/>
              <w:bidi w:val="0"/>
              <w:spacing w:before="0" w:after="0"/>
              <w:ind w:left="0" w:right="0" w:hanging="0"/>
              <w:jc w:val="left"/>
              <w:rPr/>
            </w:pPr>
            <w:r>
              <w:rPr/>
              <w:t> </w:t>
            </w:r>
          </w:p>
        </w:tc>
      </w:tr>
      <w:tr>
        <w:trPr/>
        <w:tc>
          <w:tcPr>
            <w:tcW w:w="5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58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9" w:type="dxa"/>
            <w:tcBorders/>
            <w:vAlign w:val="center"/>
          </w:tcPr>
          <w:p>
            <w:pPr>
              <w:pStyle w:val="TableContents"/>
              <w:bidi w:val="0"/>
              <w:spacing w:before="0" w:after="0"/>
              <w:ind w:left="0" w:right="0" w:hanging="0"/>
              <w:jc w:val="left"/>
              <w:rPr/>
            </w:pPr>
            <w:r>
              <w:rPr/>
              <w:t> </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11.8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109" w:type="dxa"/>
            <w:tcBorders/>
            <w:vAlign w:val="center"/>
          </w:tcPr>
          <w:p>
            <w:pPr>
              <w:pStyle w:val="TableContents"/>
              <w:bidi w:val="0"/>
              <w:spacing w:before="0" w:after="0"/>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8.7 </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81" w:type="dxa"/>
            <w:tcBorders/>
            <w:shd w:fill="CCEEFF" w:val="clear"/>
            <w:vAlign w:val="center"/>
          </w:tcPr>
          <w:p>
            <w:pPr>
              <w:pStyle w:val="TableContents"/>
              <w:bidi w:val="0"/>
              <w:spacing w:before="0" w:after="0"/>
              <w:ind w:left="0" w:right="0" w:hanging="0"/>
              <w:jc w:val="right"/>
              <w:rPr/>
            </w:pPr>
            <w:r>
              <w:rPr/>
              <w:t>​</w:t>
            </w:r>
          </w:p>
        </w:tc>
        <w:tc>
          <w:tcPr>
            <w:tcW w:w="319" w:type="dxa"/>
            <w:tcBorders/>
            <w:shd w:fill="CCEEFF" w:val="clear"/>
            <w:vAlign w:val="center"/>
          </w:tcPr>
          <w:p>
            <w:pPr>
              <w:pStyle w:val="TableContents"/>
              <w:bidi w:val="0"/>
              <w:spacing w:before="0" w:after="0"/>
              <w:ind w:left="0" w:right="0" w:hanging="0"/>
              <w:jc w:val="left"/>
              <w:rPr/>
            </w:pPr>
            <w:r>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(Forty-foot equivalent units (FEU), except for automobiles)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pPr>
            <w:r>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109"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automobiles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109" w:type="dxa"/>
            <w:tcBorders/>
            <w:vAlign w:val="center"/>
          </w:tcPr>
          <w:p>
            <w:pPr>
              <w:pStyle w:val="TableContents"/>
              <w:bidi w:val="0"/>
              <w:spacing w:before="0" w:after="0"/>
              <w:ind w:left="0" w:right="0" w:hanging="0"/>
              <w:jc w:val="righ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109"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4.9 </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109" w:type="dxa"/>
            <w:tcBorders/>
            <w:vAlign w:val="center"/>
          </w:tcPr>
          <w:p>
            <w:pPr>
              <w:pStyle w:val="TableContents"/>
              <w:bidi w:val="0"/>
              <w:spacing w:before="0" w:after="0"/>
              <w:ind w:left="0" w:right="0" w:hanging="0"/>
              <w:jc w:val="right"/>
              <w:rPr/>
            </w:pPr>
            <w:r>
              <w:rPr/>
              <w:t>​</w:t>
            </w:r>
          </w:p>
        </w:tc>
        <w:tc>
          <w:tcPr>
            <w:tcW w:w="5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3.0 </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109" w:type="dxa"/>
            <w:tcBorders/>
            <w:shd w:fill="CCEEFF" w:val="clear"/>
            <w:vAlign w:val="center"/>
          </w:tcPr>
          <w:p>
            <w:pPr>
              <w:pStyle w:val="TableContents"/>
              <w:bidi w:val="0"/>
              <w:spacing w:before="0" w:after="0"/>
              <w:ind w:left="0" w:right="0" w:hanging="0"/>
              <w:jc w:val="right"/>
              <w:rPr/>
            </w:pPr>
            <w:r>
              <w:rPr/>
              <w:t>​</w:t>
            </w:r>
          </w:p>
        </w:tc>
        <w:tc>
          <w:tcPr>
            <w:tcW w:w="5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581" w:type="dxa"/>
            <w:tcBorders/>
            <w:vAlign w:val="center"/>
          </w:tcPr>
          <w:p>
            <w:pPr>
              <w:pStyle w:val="TableContents"/>
              <w:bidi w:val="0"/>
              <w:spacing w:before="0" w:after="0"/>
              <w:ind w:left="0" w:right="0" w:hanging="0"/>
              <w:jc w:val="righ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increased $73.0 million, or 11.8 percent, during the three months ended June 30, 2024, compared with the three months ended June 30, 2023. The increase was primarily due to significantly higher freight rates in China, higher freight rates in the domestic tradelanes and higher volume in China and Alaska, partially offset by lower volume in Hawaii.</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container volume decreased 3.6 percent primarily due to lower general demand; Alaska volume increased 4.9 percent primarily due to two additional northbound sailings; China volume was 3.0 percent higher; Guam volume decreased 6.1 percent primarily due to one less sailing; and Other containers volume was flat.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increased $26.6 million, or 32.3 percent, during the three months ended June 30, 2024, compared with the three months ended June 30, 2023. The increase was primarily due to significantly higher freight rates in China, partially offset by higher vessel operating costs (including fuel-related expenses) and higher selling, general and administrative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$1.2 million during the three months ended June 30, 2024, compared to a loss of $1.4 million during the three months ended June 30, 2023. The increase was primarily driven by higher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Ocean Transportation Operating Results – Six months ended June 30, 2024 compared with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095"/>
        <w:gridCol w:w="326"/>
        <w:gridCol w:w="211"/>
        <w:gridCol w:w="830"/>
        <w:gridCol w:w="326"/>
        <w:gridCol w:w="211"/>
        <w:gridCol w:w="830"/>
        <w:gridCol w:w="326"/>
        <w:gridCol w:w="211"/>
        <w:gridCol w:w="680"/>
        <w:gridCol w:w="266"/>
        <w:gridCol w:w="575"/>
        <w:gridCol w:w="318"/>
      </w:tblGrid>
      <w:tr>
        <w:trPr/>
        <w:tc>
          <w:tcPr>
            <w:tcW w:w="5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235325" cy="175260"/>
                      <wp:effectExtent l="0" t="0" r="0" b="0"/>
                      <wp:wrapNone/>
                      <wp:docPr id="351" name="Frame351"/>
                      <a:graphic xmlns:a="http://schemas.openxmlformats.org/drawingml/2006/main">
                        <a:graphicData uri="http://schemas.microsoft.com/office/word/2010/wordprocessingShape">
                          <wps:wsp>
                            <wps:cNvSpPr txBox="1"/>
                            <wps:spPr>
                              <a:xfrm>
                                <a:off x="0" y="0"/>
                                <a:ext cx="3235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27050" cy="175260"/>
                      <wp:effectExtent l="0" t="0" r="0" b="0"/>
                      <wp:wrapNone/>
                      <wp:docPr id="354" name="Frame354"/>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527050" cy="175260"/>
                      <wp:effectExtent l="0" t="0" r="0" b="0"/>
                      <wp:wrapNone/>
                      <wp:docPr id="357" name="Frame357"/>
                      <a:graphic xmlns:a="http://schemas.openxmlformats.org/drawingml/2006/main">
                        <a:graphicData uri="http://schemas.microsoft.com/office/word/2010/wordprocessingShape">
                          <wps:wsp>
                            <wps:cNvSpPr txBox="1"/>
                            <wps:spPr>
                              <a:xfrm>
                                <a:off x="0" y="0"/>
                                <a:ext cx="527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31800" cy="175260"/>
                      <wp:effectExtent l="0" t="0" r="0" b="0"/>
                      <wp:wrapNone/>
                      <wp:docPr id="360" name="Frame360"/>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68910" cy="175260"/>
                      <wp:effectExtent l="0" t="0" r="0" b="0"/>
                      <wp:wrapNone/>
                      <wp:docPr id="361" name="Frame36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65125" cy="175260"/>
                      <wp:effectExtent l="0" t="0" r="0" b="0"/>
                      <wp:wrapNone/>
                      <wp:docPr id="362" name="Frame362"/>
                      <a:graphic xmlns:a="http://schemas.openxmlformats.org/drawingml/2006/main">
                        <a:graphicData uri="http://schemas.microsoft.com/office/word/2010/wordprocessingShape">
                          <wps:wsp>
                            <wps:cNvSpPr txBox="1"/>
                            <wps:spPr>
                              <a:xfrm>
                                <a:off x="0" y="0"/>
                                <a:ext cx="365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01930" cy="175260"/>
                      <wp:effectExtent l="0" t="0" r="0" b="0"/>
                      <wp:wrapNone/>
                      <wp:docPr id="363" name="Frame36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6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8" w:type="dxa"/>
            <w:tcBorders/>
            <w:vAlign w:val="center"/>
          </w:tcPr>
          <w:p>
            <w:pPr>
              <w:pStyle w:val="TableContents"/>
              <w:bidi w:val="0"/>
              <w:spacing w:before="0" w:after="0"/>
              <w:ind w:left="0" w:right="0" w:hanging="0"/>
              <w:jc w:val="left"/>
              <w:rPr/>
            </w:pPr>
            <w:r>
              <w:rPr/>
              <w:t> </w:t>
            </w:r>
          </w:p>
        </w:tc>
      </w:tr>
      <w:tr>
        <w:trPr/>
        <w:tc>
          <w:tcPr>
            <w:tcW w:w="50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73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8" w:type="dxa"/>
            <w:tcBorders/>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w:t>
            </w:r>
          </w:p>
        </w:tc>
        <w:tc>
          <w:tcPr>
            <w:tcW w:w="266" w:type="dxa"/>
            <w:tcBorders/>
            <w:shd w:fill="CCEEFF" w:val="clear"/>
            <w:vAlign w:val="center"/>
          </w:tcPr>
          <w:p>
            <w:pPr>
              <w:pStyle w:val="TableContents"/>
              <w:bidi w:val="0"/>
              <w:spacing w:before="0" w:after="0"/>
              <w:ind w:left="0" w:right="0" w:hanging="0"/>
              <w:jc w:val="left"/>
              <w:rPr/>
            </w:pPr>
            <w:r>
              <w:rPr/>
              <w:t>   </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8.6 </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(74.6)</w:t>
            </w:r>
          </w:p>
        </w:tc>
        <w:tc>
          <w:tcPr>
            <w:tcW w:w="266" w:type="dxa"/>
            <w:tcBorders/>
            <w:vAlign w:val="center"/>
          </w:tcPr>
          <w:p>
            <w:pPr>
              <w:pStyle w:val="TableContents"/>
              <w:bidi w:val="0"/>
              <w:spacing w:before="0" w:after="0"/>
              <w:ind w:left="0" w:right="0" w:hanging="0"/>
              <w:jc w:val="left"/>
              <w:rPr/>
            </w:pPr>
            <w:r>
              <w:rPr/>
              <w:t>​</w:t>
            </w:r>
          </w:p>
        </w:tc>
        <w:tc>
          <w:tcPr>
            <w:tcW w:w="5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7.1 </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w:t>
            </w:r>
          </w:p>
        </w:tc>
        <w:tc>
          <w:tcPr>
            <w:tcW w:w="266"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24.0 </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509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575" w:type="dxa"/>
            <w:tcBorders/>
            <w:shd w:fill="CCEEFF" w:val="cle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5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 (Forty-foot equivalent units (FEU), except for automobiles) (1)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75" w:type="dxa"/>
            <w:tcBorders/>
            <w:vAlign w:val="center"/>
          </w:tcPr>
          <w:p>
            <w:pPr>
              <w:pStyle w:val="TableContents"/>
              <w:bidi w:val="0"/>
              <w:spacing w:before="0" w:after="0"/>
              <w:ind w:left="0" w:right="0" w:hanging="0"/>
              <w:jc w:val="righ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50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c>
          <w:tcPr>
            <w:tcW w:w="266" w:type="dxa"/>
            <w:tcBorders/>
            <w:shd w:fill="CCEEFF" w:val="clear"/>
            <w:vAlign w:val="center"/>
          </w:tcPr>
          <w:p>
            <w:pPr>
              <w:pStyle w:val="TableContents"/>
              <w:bidi w:val="0"/>
              <w:spacing w:before="0" w:after="0"/>
              <w:ind w:left="0" w:right="0" w:hanging="0"/>
              <w:jc w:val="right"/>
              <w:rPr/>
            </w:pPr>
            <w:r>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Hawaii automobiles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w:t>
            </w:r>
          </w:p>
        </w:tc>
        <w:tc>
          <w:tcPr>
            <w:tcW w:w="266" w:type="dxa"/>
            <w:tcBorders/>
            <w:vAlign w:val="center"/>
          </w:tcPr>
          <w:p>
            <w:pPr>
              <w:pStyle w:val="TableContents"/>
              <w:bidi w:val="0"/>
              <w:spacing w:before="0" w:after="0"/>
              <w:ind w:left="0" w:right="0" w:hanging="0"/>
              <w:jc w:val="right"/>
              <w:rPr/>
            </w:pPr>
            <w:r>
              <w:rPr/>
              <w:t>​</w:t>
            </w:r>
          </w:p>
        </w:tc>
        <w:tc>
          <w:tcPr>
            <w:tcW w:w="5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Alaska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pPr>
            <w:r>
              <w:rPr/>
              <w:t>—</w:t>
            </w:r>
          </w:p>
        </w:tc>
        <w:tc>
          <w:tcPr>
            <w:tcW w:w="266" w:type="dxa"/>
            <w:tcBorders/>
            <w:shd w:fill="CCEEFF" w:val="clear"/>
            <w:vAlign w:val="center"/>
          </w:tcPr>
          <w:p>
            <w:pPr>
              <w:pStyle w:val="TableContents"/>
              <w:bidi w:val="0"/>
              <w:spacing w:before="0" w:after="0"/>
              <w:ind w:left="0" w:right="0" w:hanging="0"/>
              <w:jc w:val="right"/>
              <w:rPr/>
            </w:pPr>
            <w:r>
              <w:rPr/>
              <w:t>​</w:t>
            </w:r>
          </w:p>
        </w:tc>
        <w:tc>
          <w:tcPr>
            <w:tcW w:w="575" w:type="dxa"/>
            <w:tcBorders/>
            <w:shd w:fill="CCEEFF" w:val="cle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 containers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66" w:type="dxa"/>
            <w:tcBorders/>
            <w:vAlign w:val="center"/>
          </w:tcPr>
          <w:p>
            <w:pPr>
              <w:pStyle w:val="TableContents"/>
              <w:bidi w:val="0"/>
              <w:spacing w:before="0" w:after="0"/>
              <w:ind w:left="0" w:right="0" w:hanging="0"/>
              <w:jc w:val="right"/>
              <w:rPr/>
            </w:pPr>
            <w:r>
              <w:rPr/>
              <w:t>​</w:t>
            </w:r>
          </w:p>
        </w:tc>
        <w:tc>
          <w:tcPr>
            <w:tcW w:w="5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Guam containers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9,800</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266" w:type="dxa"/>
            <w:tcBorders/>
            <w:shd w:fill="CCEEFF" w:val="clear"/>
            <w:vAlign w:val="center"/>
          </w:tcPr>
          <w:p>
            <w:pPr>
              <w:pStyle w:val="TableContents"/>
              <w:bidi w:val="0"/>
              <w:spacing w:before="0" w:after="0"/>
              <w:ind w:left="0" w:right="0" w:hanging="0"/>
              <w:jc w:val="right"/>
              <w:rPr/>
            </w:pPr>
            <w:r>
              <w:rPr/>
              <w:t>​</w:t>
            </w:r>
          </w:p>
        </w:tc>
        <w:tc>
          <w:tcPr>
            <w:tcW w:w="5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0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containers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c>
          <w:tcPr>
            <w:tcW w:w="266" w:type="dxa"/>
            <w:tcBorders/>
            <w:vAlign w:val="center"/>
          </w:tcPr>
          <w:p>
            <w:pPr>
              <w:pStyle w:val="TableContents"/>
              <w:bidi w:val="0"/>
              <w:spacing w:before="0" w:after="0"/>
              <w:ind w:left="0" w:right="0" w:hanging="0"/>
              <w:jc w:val="right"/>
              <w:rPr/>
            </w:pPr>
            <w:r>
              <w:rPr/>
              <w:t>​</w:t>
            </w:r>
          </w:p>
        </w:tc>
        <w:tc>
          <w:tcPr>
            <w:tcW w:w="5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Approximate volumes included for the period are based on the voyage departure date, but revenue and operating income are adjusted to reflect the percentage of revenue and operating income earned during the reporting period for voyages in transit at the end of each reporting period.</w:t>
            </w:r>
          </w:p>
        </w:tc>
      </w:tr>
    </w:tbl>
    <w:tbl>
      <w:tblPr>
        <w:tblW w:w="8072" w:type="dxa"/>
        <w:jc w:val="left"/>
        <w:tblInd w:w="0" w:type="dxa"/>
        <w:tblLayout w:type="fixed"/>
        <w:tblCellMar>
          <w:top w:w="0" w:type="dxa"/>
          <w:left w:w="0" w:type="dxa"/>
          <w:bottom w:w="0" w:type="dxa"/>
          <w:right w:w="0" w:type="dxa"/>
        </w:tblCellMar>
      </w:tblPr>
      <w:tblGrid>
        <w:gridCol w:w="331"/>
        <w:gridCol w:w="7741"/>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77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containers from services in various islands in Micronesia and the South Pacific, and Okinawa, Japan.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revenue increased $101.0 million, or 8.6 percent, during the six months ended June 30, 2024, compared with the six months ended June 30, 2023. The increase was primarily due to significantly higher freight rates in China and higher freight rates in the domestic tradelanes, partially offset by lower volume in Hawaii and lower fuel-related surcharge revenue.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 year-over-year FEU basis, Hawaii container volume decreased 2.7 percent primarily due to lower general demand; Alaska volume was flat; China volume decreased 0.1 percent; Guam volume decreased 3.1 percent primarily due to one less sailing; and Other containers volume decreased 5.9 percent.</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Ocean Transportation operating income increased $26.4 million, or 24.0 percent, during the six months ended June 30, 2024, compared with the six months ended June 30, 2023. The increase was primarily due to significantly higher freight rates in China, primarily offset by higher vessel operating costs (including fuel-related expenses) and higher selling, general and administrative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SSAT terminal joint venture investment contributed $1.6 million during the six months ended June 30, 2024, compared to a loss of $3.2 million during the six months ended June 30, 2023. The increase was primarily driven by higher lift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 Three months ended June 30, 2024 compared with 2023:</w:t>
      </w:r>
    </w:p>
    <w:p>
      <w:pPr>
        <w:pStyle w:val="TextBody"/>
        <w:bidi w:val="0"/>
        <w:spacing w:before="0" w:after="0"/>
        <w:ind w:left="0" w:right="0" w:hanging="0"/>
        <w:jc w:val="left"/>
        <w:rPr/>
      </w:pPr>
      <w:r>
        <w:rPr/>
        <w:t>​</w:t>
      </w:r>
    </w:p>
    <w:tbl>
      <w:tblPr>
        <w:tblW w:w="6766" w:type="dxa"/>
        <w:jc w:val="left"/>
        <w:tblInd w:w="0" w:type="dxa"/>
        <w:tblLayout w:type="fixed"/>
        <w:tblCellMar>
          <w:top w:w="0" w:type="dxa"/>
          <w:left w:w="0" w:type="dxa"/>
          <w:bottom w:w="0" w:type="dxa"/>
          <w:right w:w="0" w:type="dxa"/>
        </w:tblCellMar>
      </w:tblPr>
      <w:tblGrid>
        <w:gridCol w:w="2506"/>
        <w:gridCol w:w="326"/>
        <w:gridCol w:w="211"/>
        <w:gridCol w:w="691"/>
        <w:gridCol w:w="326"/>
        <w:gridCol w:w="211"/>
        <w:gridCol w:w="691"/>
        <w:gridCol w:w="326"/>
        <w:gridCol w:w="211"/>
        <w:gridCol w:w="361"/>
        <w:gridCol w:w="109"/>
        <w:gridCol w:w="48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591310" cy="175260"/>
                      <wp:effectExtent l="0" t="0" r="0" b="0"/>
                      <wp:wrapNone/>
                      <wp:docPr id="364" name="Frame36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38785" cy="175260"/>
                      <wp:effectExtent l="0" t="0" r="0" b="0"/>
                      <wp:wrapNone/>
                      <wp:docPr id="367" name="Frame36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38785" cy="175260"/>
                      <wp:effectExtent l="0" t="0" r="0" b="0"/>
                      <wp:wrapNone/>
                      <wp:docPr id="370" name="Frame37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29235" cy="175260"/>
                      <wp:effectExtent l="0" t="0" r="0" b="0"/>
                      <wp:wrapNone/>
                      <wp:docPr id="373" name="Frame3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9215" cy="175260"/>
                      <wp:effectExtent l="0" t="0" r="0" b="0"/>
                      <wp:wrapNone/>
                      <wp:docPr id="374" name="Frame3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305435" cy="175260"/>
                      <wp:effectExtent l="0" t="0" r="0" b="0"/>
                      <wp:wrapNone/>
                      <wp:docPr id="375" name="Frame375"/>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0660" cy="175260"/>
                      <wp:effectExtent l="0" t="0" r="0" b="0"/>
                      <wp:wrapNone/>
                      <wp:docPr id="376" name="Frame3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1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6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0.6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109"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109"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9.1 </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increased $1.0 million, or 0.6 percent, during the three months ended June 30, 2024, compared with the three months ended June 30, 2023. The increase was primarily due to higher revenue in supply chain management.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increased $1.3 million, or 9.1 percent, during the three months ended June 30, 2024, compared with the three months ended June 30, 2023. The increase was primarily due to a higher contribution from supply chain management.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Logistics Operating Results – Six months ended June 30, 2024 compared with 2023:</w:t>
      </w:r>
    </w:p>
    <w:p>
      <w:pPr>
        <w:pStyle w:val="TextBody"/>
        <w:bidi w:val="0"/>
        <w:spacing w:before="0" w:after="0"/>
        <w:ind w:left="0" w:right="0" w:hanging="0"/>
        <w:jc w:val="left"/>
        <w:rPr/>
      </w:pPr>
      <w:r>
        <w:rPr/>
        <w:t>​</w:t>
      </w:r>
    </w:p>
    <w:tbl>
      <w:tblPr>
        <w:tblW w:w="7043" w:type="dxa"/>
        <w:jc w:val="left"/>
        <w:tblInd w:w="0" w:type="dxa"/>
        <w:tblLayout w:type="fixed"/>
        <w:tblCellMar>
          <w:top w:w="0" w:type="dxa"/>
          <w:left w:w="0" w:type="dxa"/>
          <w:bottom w:w="0" w:type="dxa"/>
          <w:right w:w="0" w:type="dxa"/>
        </w:tblCellMar>
      </w:tblPr>
      <w:tblGrid>
        <w:gridCol w:w="2506"/>
        <w:gridCol w:w="326"/>
        <w:gridCol w:w="211"/>
        <w:gridCol w:w="691"/>
        <w:gridCol w:w="326"/>
        <w:gridCol w:w="211"/>
        <w:gridCol w:w="691"/>
        <w:gridCol w:w="326"/>
        <w:gridCol w:w="211"/>
        <w:gridCol w:w="481"/>
        <w:gridCol w:w="266"/>
        <w:gridCol w:w="481"/>
        <w:gridCol w:w="31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591310" cy="175260"/>
                      <wp:effectExtent l="0" t="0" r="0" b="0"/>
                      <wp:wrapNone/>
                      <wp:docPr id="377" name="Frame377"/>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38785" cy="175260"/>
                      <wp:effectExtent l="0" t="0" r="0" b="0"/>
                      <wp:wrapNone/>
                      <wp:docPr id="380" name="Frame38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38785" cy="175260"/>
                      <wp:effectExtent l="0" t="0" r="0" b="0"/>
                      <wp:wrapNone/>
                      <wp:docPr id="383" name="Frame38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305435" cy="175260"/>
                      <wp:effectExtent l="0" t="0" r="0" b="0"/>
                      <wp:wrapNone/>
                      <wp:docPr id="386" name="Frame38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68910" cy="175260"/>
                      <wp:effectExtent l="0" t="0" r="0" b="0"/>
                      <wp:wrapNone/>
                      <wp:docPr id="387" name="Frame38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305435" cy="175260"/>
                      <wp:effectExtent l="0" t="0" r="0" b="0"/>
                      <wp:wrapNone/>
                      <wp:docPr id="388" name="Frame38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0660" cy="175260"/>
                      <wp:effectExtent l="0" t="0" r="0" b="0"/>
                      <wp:wrapNone/>
                      <wp:docPr id="389" name="Frame38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9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4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 </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266" w:type="dxa"/>
            <w:tcBorders/>
            <w:shd w:fill="CCEEFF" w:val="clear"/>
            <w:vAlign w:val="center"/>
          </w:tcPr>
          <w:p>
            <w:pPr>
              <w:pStyle w:val="TableContents"/>
              <w:bidi w:val="0"/>
              <w:spacing w:before="0" w:after="0"/>
              <w:ind w:left="0" w:right="0" w:hanging="0"/>
              <w:jc w:val="left"/>
              <w:rPr/>
            </w:pPr>
            <w:r>
              <w:rPr/>
              <w:t>   </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(285.1)</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26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26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revenue decreased $9.7 million, or 3.1 percent, during the six months ended June 30, 2024, compared with the six months ended June 30, 2023. The decrease was primarily due to lower revenue in transportation brokerage.</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Logistics operating income decreased $0.3 million, or 1.2 percent, during the six months ended June 30, 2024, compared with the six months ended June 30, 2023. The decrease was primarily due to a lower contribution from transportation brokerage, partially offset by a higher contribution from supply chain management.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Sources of liquidity available to the Company as of June 30, 2024, compared to December 31, 2023 were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Cash and Cash Equivalents, Restricted Cash, Accounts Receivable and CCF:</w:t>
      </w:r>
      <w:r>
        <w:rPr>
          <w:rFonts w:ascii="Times New Roman;Times;serif" w:hAnsi="Times New Roman;Times;serif"/>
          <w:sz w:val="20"/>
        </w:rPr>
        <w:t xml:space="preserve"> Cash and cash equivalents, restricted cash, accounts receivable and CCF as of June 30, 2024 compared to December 31, 2023 were as follows:</w:t>
      </w:r>
    </w:p>
    <w:p>
      <w:pPr>
        <w:pStyle w:val="TextBody"/>
        <w:bidi w:val="0"/>
        <w:spacing w:before="0" w:after="0"/>
        <w:ind w:left="0" w:right="0" w:hanging="0"/>
        <w:jc w:val="left"/>
        <w:rPr/>
      </w:pPr>
      <w:r>
        <w:rPr/>
        <w:t>​</w:t>
      </w:r>
    </w:p>
    <w:tbl>
      <w:tblPr>
        <w:tblW w:w="8614" w:type="dxa"/>
        <w:jc w:val="left"/>
        <w:tblInd w:w="0" w:type="dxa"/>
        <w:tblLayout w:type="fixed"/>
        <w:tblCellMar>
          <w:top w:w="0" w:type="dxa"/>
          <w:left w:w="0" w:type="dxa"/>
          <w:bottom w:w="0" w:type="dxa"/>
          <w:right w:w="0" w:type="dxa"/>
        </w:tblCellMar>
      </w:tblPr>
      <w:tblGrid>
        <w:gridCol w:w="4846"/>
        <w:gridCol w:w="326"/>
        <w:gridCol w:w="211"/>
        <w:gridCol w:w="571"/>
        <w:gridCol w:w="326"/>
        <w:gridCol w:w="307"/>
        <w:gridCol w:w="833"/>
        <w:gridCol w:w="326"/>
        <w:gridCol w:w="211"/>
        <w:gridCol w:w="466"/>
        <w:gridCol w:w="191"/>
      </w:tblGrid>
      <w:tr>
        <w:trPr/>
        <w:tc>
          <w:tcPr>
            <w:tcW w:w="4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077210" cy="175260"/>
                      <wp:effectExtent l="0" t="0" r="0" b="0"/>
                      <wp:wrapNone/>
                      <wp:docPr id="390" name="Frame390"/>
                      <a:graphic xmlns:a="http://schemas.openxmlformats.org/drawingml/2006/main">
                        <a:graphicData uri="http://schemas.microsoft.com/office/word/2010/wordprocessingShape">
                          <wps:wsp>
                            <wps:cNvSpPr txBox="1"/>
                            <wps:spPr>
                              <a:xfrm>
                                <a:off x="0" y="0"/>
                                <a:ext cx="307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362585" cy="175260"/>
                      <wp:effectExtent l="0" t="0" r="0" b="0"/>
                      <wp:wrapNone/>
                      <wp:docPr id="393" name="Frame3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94945" cy="175260"/>
                      <wp:effectExtent l="0" t="0" r="0" b="0"/>
                      <wp:wrapNone/>
                      <wp:docPr id="395" name="Frame39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28955" cy="175260"/>
                      <wp:effectExtent l="0" t="0" r="0" b="0"/>
                      <wp:wrapNone/>
                      <wp:docPr id="396" name="Frame396"/>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7010" cy="175260"/>
                      <wp:effectExtent l="0" t="0" r="0" b="0"/>
                      <wp:wrapNone/>
                      <wp:docPr id="397"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95910" cy="175260"/>
                      <wp:effectExtent l="0" t="0" r="0" b="0"/>
                      <wp:wrapNone/>
                      <wp:docPr id="399" name="Frame39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21285" cy="175260"/>
                      <wp:effectExtent l="0" t="0" r="0" b="0"/>
                      <wp:wrapNone/>
                      <wp:docPr id="400" name="Frame40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8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6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left"/>
              <w:rPr/>
            </w:pPr>
            <w:r>
              <w:rPr/>
              <w:t> </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191" w:type="dxa"/>
            <w:tcBorders/>
            <w:vAlign w:val="center"/>
          </w:tcPr>
          <w:p>
            <w:pPr>
              <w:pStyle w:val="TableContents"/>
              <w:bidi w:val="0"/>
              <w:spacing w:before="0" w:after="0"/>
              <w:ind w:left="0" w:right="0" w:hanging="0"/>
              <w:jc w:val="left"/>
              <w:rPr/>
            </w:pPr>
            <w:r>
              <w:rPr/>
              <w:t>​</w:t>
            </w:r>
          </w:p>
        </w:tc>
      </w:tr>
      <w:tr>
        <w:trPr/>
        <w:tc>
          <w:tcPr>
            <w:tcW w:w="4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308.0</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 cash and cash equivalents, and investments account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of June 30, 2024 and December 31, 2023, $185.9 million and $218.1 million of eligible accounts receivable were assigned to the CCF, respectively.</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the Company’s cash and cash equivalents, and restricted cash for the six months ended June 30, 2024, compared to the six months ended June 30, 2023 were as follows:</w:t>
      </w:r>
    </w:p>
    <w:p>
      <w:pPr>
        <w:pStyle w:val="TextBody"/>
        <w:bidi w:val="0"/>
        <w:spacing w:before="0" w:after="0"/>
        <w:ind w:left="0" w:right="0" w:hanging="0"/>
        <w:jc w:val="left"/>
        <w:rPr/>
      </w:pPr>
      <w:r>
        <w:rPr/>
        <w:t>​</w:t>
      </w:r>
    </w:p>
    <w:tbl>
      <w:tblPr>
        <w:tblW w:w="9595" w:type="dxa"/>
        <w:jc w:val="left"/>
        <w:tblInd w:w="0" w:type="dxa"/>
        <w:tblLayout w:type="fixed"/>
        <w:tblCellMar>
          <w:top w:w="0" w:type="dxa"/>
          <w:left w:w="0" w:type="dxa"/>
          <w:bottom w:w="0" w:type="dxa"/>
          <w:right w:w="0" w:type="dxa"/>
        </w:tblCellMar>
      </w:tblPr>
      <w:tblGrid>
        <w:gridCol w:w="5866"/>
        <w:gridCol w:w="326"/>
        <w:gridCol w:w="211"/>
        <w:gridCol w:w="691"/>
        <w:gridCol w:w="326"/>
        <w:gridCol w:w="211"/>
        <w:gridCol w:w="691"/>
        <w:gridCol w:w="326"/>
        <w:gridCol w:w="211"/>
        <w:gridCol w:w="736"/>
      </w:tblGrid>
      <w:tr>
        <w:trPr/>
        <w:tc>
          <w:tcPr>
            <w:tcW w:w="5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3724910" cy="175260"/>
                      <wp:effectExtent l="0" t="0" r="0" b="0"/>
                      <wp:wrapNone/>
                      <wp:docPr id="401" name="Frame401"/>
                      <a:graphic xmlns:a="http://schemas.openxmlformats.org/drawingml/2006/main">
                        <a:graphicData uri="http://schemas.microsoft.com/office/word/2010/wordprocessingShape">
                          <wps:wsp>
                            <wps:cNvSpPr txBox="1"/>
                            <wps:spPr>
                              <a:xfrm>
                                <a:off x="0" y="0"/>
                                <a:ext cx="3724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3985" cy="175260"/>
                      <wp:effectExtent l="0" t="0" r="0" b="0"/>
                      <wp:wrapNone/>
                      <wp:docPr id="403"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438785" cy="175260"/>
                      <wp:effectExtent l="0" t="0" r="0" b="0"/>
                      <wp:wrapNone/>
                      <wp:docPr id="404" name="Frame40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38785" cy="175260"/>
                      <wp:effectExtent l="0" t="0" r="0" b="0"/>
                      <wp:wrapNone/>
                      <wp:docPr id="407" name="Frame40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4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467360" cy="175260"/>
                      <wp:effectExtent l="0" t="0" r="0" b="0"/>
                      <wp:wrapNone/>
                      <wp:docPr id="410" name="Frame41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0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provided by operating activities (1)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246.5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98.0</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investing activities (2)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(201.8)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70.7</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cash used in financing activities (3)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(6.6)</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Net increase (decrease)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34.3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162.1</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and restricted cash, beginning of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253.7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(117.4)</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 and restricted cash, end of the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170.6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9"/>
              </w:rPr>
            </w:pPr>
            <w:r>
              <w:rPr>
                <w:rFonts w:ascii="Times New Roman;Times;serif" w:hAnsi="Times New Roman;Times;serif"/>
                <w:sz w:val="19"/>
              </w:rPr>
              <w:t>125.9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9"/>
              </w:rPr>
            </w:pPr>
            <w:r>
              <w:rPr>
                <w:rFonts w:ascii="Times New Roman;Times;serif" w:hAnsi="Times New Roman;Times;serif"/>
                <w:sz w:val="19"/>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19"/>
              </w:rPr>
            </w:pPr>
            <w:r>
              <w:rPr>
                <w:rFonts w:ascii="Times New Roman;Times;serif" w:hAnsi="Times New Roman;Times;serif"/>
                <w:sz w:val="19"/>
              </w:rPr>
              <w:t>44.7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(1) Changes in net cash provided by operating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provided by operating activities for the six months ended June 30, 2024, compared to the six months ended June 30, 2023, were due to the following:</w:t>
      </w:r>
    </w:p>
    <w:p>
      <w:pPr>
        <w:pStyle w:val="TextBody"/>
        <w:bidi w:val="0"/>
        <w:spacing w:before="0" w:after="0"/>
        <w:ind w:left="0" w:right="0" w:hanging="0"/>
        <w:jc w:val="left"/>
        <w:rPr/>
      </w:pPr>
      <w:r>
        <w:rPr/>
        <w:t>​</w:t>
      </w:r>
    </w:p>
    <w:tbl>
      <w:tblPr>
        <w:tblW w:w="6089" w:type="dxa"/>
        <w:jc w:val="left"/>
        <w:tblInd w:w="0" w:type="dxa"/>
        <w:tblLayout w:type="fixed"/>
        <w:tblCellMar>
          <w:top w:w="0" w:type="dxa"/>
          <w:left w:w="0" w:type="dxa"/>
          <w:bottom w:w="0" w:type="dxa"/>
          <w:right w:w="0" w:type="dxa"/>
        </w:tblCellMar>
      </w:tblPr>
      <w:tblGrid>
        <w:gridCol w:w="4921"/>
        <w:gridCol w:w="326"/>
        <w:gridCol w:w="211"/>
        <w:gridCol w:w="631"/>
      </w:tblGrid>
      <w:tr>
        <w:trPr/>
        <w:tc>
          <w:tcPr>
            <w:tcW w:w="4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124835" cy="175260"/>
                      <wp:effectExtent l="0" t="0" r="0" b="0"/>
                      <wp:wrapNone/>
                      <wp:docPr id="411" name="Frame411"/>
                      <a:graphic xmlns:a="http://schemas.openxmlformats.org/drawingml/2006/main">
                        <a:graphicData uri="http://schemas.microsoft.com/office/word/2010/wordprocessingShape">
                          <wps:wsp>
                            <wps:cNvSpPr txBox="1"/>
                            <wps:spPr>
                              <a:xfrm>
                                <a:off x="0" y="0"/>
                                <a:ext cx="312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133985" cy="175260"/>
                      <wp:effectExtent l="0" t="0" r="0" b="0"/>
                      <wp:wrapNone/>
                      <wp:docPr id="413" name="Frame4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400685" cy="175260"/>
                      <wp:effectExtent l="0" t="0" r="0" b="0"/>
                      <wp:wrapNone/>
                      <wp:docPr id="414" name="Frame414"/>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depreciation and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related changes,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and distribution from SSAT,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accruals and other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amortization of operating lease right of use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dry-docking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deferred dry-docking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4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98.0</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was $149.3 million for the six months ended June 30, 2024, compared to $114.8 million for the six months ended June 30, 2023. Income from SSAT was $1.6 million for the six months ended June 30, 2024, compared to a loss of $3.2 million for the six months ended June 30, 2023. The increase in income from SSAT was due to higher lift volume during the six months ended June 30, 2024, compared to the same prior year period. The Company received $14.0 million of cash distributions from SSAT during the six months ended June 30, 2024, compared to no cash distributions received from SSAT during the six months ended June 30, 2023. Cash distributions from SSAT are dependent on the level of cash available for distribution after SSAT’s operational and capital needs. Changes in accounts receivable were primarily due to higher accounts receivable outstanding as of June 30, 2024, compared to the same prior year period, and also due to the timing of collections associated with those receivables. Changes in prepaid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and other assets were primarily due to a decrease in prepaid income taxes as the Company received the 2021 federal income tax refund of $118.6 million during the six months ended June 30, 2024. Changes in accounts payable, accruals and other liabilities were due to the timing of payments associated with those liabilities. Changes in operating lease liabilities were primarily due to new operating lease additions and renewals, offset by operating lease payments and terminations during the six months ended June 30, 2024, compared to the same prior year period. Deferred dry-docking payments for the six months ended June 30, 2024 were $17.3 million, compared to $8.9 million for the six months ended June 30, 2023. Changes in deferred dry-docking is primarily due to the timing of when the dry-docking of vessels occurs.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(2) Changes in net cash used in investing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investing activities for the six months ended June 30, 2024, compared to the six months ended June 30, 2023, were due to the following:</w:t>
      </w:r>
    </w:p>
    <w:p>
      <w:pPr>
        <w:pStyle w:val="TextBody"/>
        <w:bidi w:val="0"/>
        <w:spacing w:before="0" w:after="0"/>
        <w:ind w:left="0" w:right="0" w:hanging="0"/>
        <w:jc w:val="left"/>
        <w:rPr/>
      </w:pPr>
      <w:r>
        <w:rPr/>
        <w:t>​</w:t>
      </w:r>
    </w:p>
    <w:tbl>
      <w:tblPr>
        <w:tblW w:w="6674" w:type="dxa"/>
        <w:jc w:val="left"/>
        <w:tblInd w:w="0" w:type="dxa"/>
        <w:tblLayout w:type="fixed"/>
        <w:tblCellMar>
          <w:top w:w="0" w:type="dxa"/>
          <w:left w:w="0" w:type="dxa"/>
          <w:bottom w:w="0" w:type="dxa"/>
          <w:right w:w="0" w:type="dxa"/>
        </w:tblCellMar>
      </w:tblPr>
      <w:tblGrid>
        <w:gridCol w:w="5506"/>
        <w:gridCol w:w="326"/>
        <w:gridCol w:w="211"/>
        <w:gridCol w:w="631"/>
      </w:tblGrid>
      <w:tr>
        <w:trPr/>
        <w:tc>
          <w:tcPr>
            <w:tcW w:w="5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3496310" cy="175260"/>
                      <wp:effectExtent l="0" t="0" r="0" b="0"/>
                      <wp:wrapNone/>
                      <wp:docPr id="415" name="Frame415"/>
                      <a:graphic xmlns:a="http://schemas.openxmlformats.org/drawingml/2006/main">
                        <a:graphicData uri="http://schemas.microsoft.com/office/word/2010/wordprocessingShape">
                          <wps:wsp>
                            <wps:cNvSpPr txBox="1"/>
                            <wps:spPr>
                              <a:xfrm>
                                <a:off x="0" y="0"/>
                                <a:ext cx="3496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7"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00685" cy="175260"/>
                      <wp:effectExtent l="0" t="0" r="0" b="0"/>
                      <wp:wrapNone/>
                      <wp:docPr id="418" name="Frame418"/>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center"/>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deposits and interest into the CCF</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Withdrawals from CCF</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for intangible asset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vessel construction expenditures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 (excluding vessel construction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5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disposal of property and equipment, net, and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5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70.7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1403" w:name="_Hlk140611037"/>
      <w:bookmarkEnd w:id="1403"/>
      <w:r>
        <w:rPr>
          <w:rFonts w:ascii="Times New Roman;Times;serif" w:hAnsi="Times New Roman;Times;serif"/>
          <w:sz w:val="20"/>
        </w:rPr>
        <w:t xml:space="preserve">The Company deposited $35.8 million into the CCF to repurchase assigned accounts receivable and made $35.8 million of qualifying withdrawal payments out of the CCF during the six months ended June 30, 2024. The Company deposited $100.0 million of cash deposits into the CCF and made $49.9 million of qualifying withdrawal payments out of the CCF during the six months ended June 30, 2023. The Company received $16.2 million of interest and accretion in the CCF during the six months ended June 30, 2024, compared to $13.1 million of interest received during the six months ended June 30, 2023. Cash and cash equivalents, and investments in the CCF are intended to fund milestone payments for the construction of three new Jones Act vessels. During the six months ended June 30, 2023, the Company paid $12.4 million related to an intangible asset acquisition. There were no acquisition related payments made during the six months ended June 30, 2024. Capitalized vessel construction expenditures (including capitalized interest) were $38.2 million for the six months ended June 30, 2024, compared to $50.8 million for the six months ended June 30, 2023. Capitalized vessel construction expenditures relate to milestone payments and capitalized interest for the construction of three new Jones Act vessels. Maintenance and other capital expenditures payments were $86.9 million for the six months ended June 30, 2024, compared to $75.5 million for the six months ended June 30, 2023. Maintenance and other capital expenditures primarily relate to vessel related expenditures, the acquisition of containers, chassis and other equipment, and expenditures on other capital related projects. The increase in maintenance and other capital expenditure for the six months ended June 30, 2024, compared to the same prior year period primarily related to the timing of when vessel maintenance activities are performed and when other capital related projects are incurred.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(3) Changes in net cash used in financing activities: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net cash used in financing activities for the six months ended June 30, 2024, compared to the six months ended June 30, 2023, were due to the following:</w:t>
      </w:r>
    </w:p>
    <w:p>
      <w:pPr>
        <w:pStyle w:val="TextBody"/>
        <w:bidi w:val="0"/>
        <w:spacing w:before="0" w:after="0"/>
        <w:ind w:left="0" w:right="0" w:hanging="0"/>
        <w:jc w:val="left"/>
        <w:rPr/>
      </w:pPr>
      <w:r>
        <w:rPr/>
        <w:t>​</w:t>
      </w:r>
    </w:p>
    <w:tbl>
      <w:tblPr>
        <w:tblW w:w="7109" w:type="dxa"/>
        <w:jc w:val="left"/>
        <w:tblInd w:w="0" w:type="dxa"/>
        <w:tblLayout w:type="fixed"/>
        <w:tblCellMar>
          <w:top w:w="0" w:type="dxa"/>
          <w:left w:w="0" w:type="dxa"/>
          <w:bottom w:w="0" w:type="dxa"/>
          <w:right w:w="0" w:type="dxa"/>
        </w:tblCellMar>
      </w:tblPr>
      <w:tblGrid>
        <w:gridCol w:w="5941"/>
        <w:gridCol w:w="326"/>
        <w:gridCol w:w="211"/>
        <w:gridCol w:w="631"/>
      </w:tblGrid>
      <w:tr>
        <w:trPr/>
        <w:tc>
          <w:tcPr>
            <w:tcW w:w="5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772535" cy="175260"/>
                      <wp:effectExtent l="0" t="0" r="0" b="0"/>
                      <wp:wrapNone/>
                      <wp:docPr id="419" name="Frame419"/>
                      <a:graphic xmlns:a="http://schemas.openxmlformats.org/drawingml/2006/main">
                        <a:graphicData uri="http://schemas.microsoft.com/office/word/2010/wordprocessingShape">
                          <wps:wsp>
                            <wps:cNvSpPr txBox="1"/>
                            <wps:spPr>
                              <a:xfrm>
                                <a:off x="0" y="0"/>
                                <a:ext cx="3772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33985" cy="175260"/>
                      <wp:effectExtent l="0" t="0" r="0" b="0"/>
                      <wp:wrapNone/>
                      <wp:docPr id="421" name="Frame4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400685" cy="175260"/>
                      <wp:effectExtent l="0" t="0" r="0" b="0"/>
                      <wp:wrapNone/>
                      <wp:docPr id="422" name="Frame422"/>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 of Matson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Repayments of fixed interest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Withholding tax related to net share settlements of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5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r>
      <w:tr>
        <w:trPr/>
        <w:tc>
          <w:tcPr>
            <w:tcW w:w="5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six months ended June 30, 2024, the Company paid $120.1 million to repurchase Matson common stock, compared to $82.5 million during the six months ended June 30, 2023. During the six months ended June 30, 2024, the Company paid $19.9 million in scheduled fixed interest debt payments, compared to $26.4 million of prepaid Title XI debt and $28.7 million in scheduled fixed interest debt payments during the six months ended June 30, 2023. During the six months ended June 30, 2024, the Company paid $17.0 million in withholding taxes related to vested restricted stock units, compared to $12.5 million during the six months ended June 30, 2023. The increase in withholding tax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primarily due to the increase of the Company’s stock price as of the vesting date of the restricted stock units. During the six months ended June 30, 2024, the Company paid $22.1 million in dividends, compared to $22.4 million during the six months ended June 30, 2023. The decrease in dividend payments was due to the reduction in common stock outstanding, offset by an increase in dividends declared per share of common stock by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Capital Construction Fund:</w:t>
      </w:r>
      <w:r>
        <w:rPr>
          <w:rFonts w:ascii="Times New Roman;Times;serif" w:hAnsi="Times New Roman;Times;serif"/>
          <w:sz w:val="20"/>
        </w:rPr>
        <w:t xml:space="preserve"> The Company’s CCF is described in Note 7 of Part I, Item 1 above. CCF cash and cash equivalents, investments and assigned accounts receivables as of June 30, 2024 and December 31, 2023 is as follows:</w:t>
      </w:r>
    </w:p>
    <w:p>
      <w:pPr>
        <w:pStyle w:val="TextBody"/>
        <w:bidi w:val="0"/>
        <w:spacing w:before="0" w:after="0"/>
        <w:ind w:left="0" w:right="0" w:hanging="0"/>
        <w:jc w:val="left"/>
        <w:rPr/>
      </w:pPr>
      <w:r>
        <w:rPr/>
        <w:t>​</w:t>
      </w:r>
    </w:p>
    <w:tbl>
      <w:tblPr>
        <w:tblW w:w="6985" w:type="dxa"/>
        <w:jc w:val="left"/>
        <w:tblInd w:w="0" w:type="dxa"/>
        <w:tblLayout w:type="fixed"/>
        <w:tblCellMar>
          <w:top w:w="0" w:type="dxa"/>
          <w:left w:w="0" w:type="dxa"/>
          <w:bottom w:w="0" w:type="dxa"/>
          <w:right w:w="0" w:type="dxa"/>
        </w:tblCellMar>
      </w:tblPr>
      <w:tblGrid>
        <w:gridCol w:w="4366"/>
        <w:gridCol w:w="326"/>
        <w:gridCol w:w="211"/>
        <w:gridCol w:w="571"/>
        <w:gridCol w:w="326"/>
        <w:gridCol w:w="281"/>
        <w:gridCol w:w="904"/>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772410" cy="175260"/>
                      <wp:effectExtent l="0" t="0" r="0" b="0"/>
                      <wp:wrapNone/>
                      <wp:docPr id="423" name="Frame423"/>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4" name="Frame4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33985" cy="175260"/>
                      <wp:effectExtent l="0" t="0" r="0" b="0"/>
                      <wp:wrapNone/>
                      <wp:docPr id="425" name="Frame4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62585" cy="175260"/>
                      <wp:effectExtent l="0" t="0" r="0" b="0"/>
                      <wp:wrapNone/>
                      <wp:docPr id="426" name="Frame4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7" name="Frame4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78435" cy="175260"/>
                      <wp:effectExtent l="0" t="0" r="0" b="0"/>
                      <wp:wrapNone/>
                      <wp:docPr id="428" name="Frame42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74040" cy="175260"/>
                      <wp:effectExtent l="0" t="0" r="0" b="0"/>
                      <wp:wrapNone/>
                      <wp:docPr id="429" name="Frame429"/>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3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Capital Construction Fund: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center"/>
              <w:rPr/>
            </w:pPr>
            <w:r>
              <w:rPr/>
              <w:t>​</w:t>
            </w:r>
          </w:p>
        </w:tc>
        <w:tc>
          <w:tcPr>
            <w:tcW w:w="904" w:type="dxa"/>
            <w:tcBorders/>
            <w:shd w:fill="CCEEFF" w:val="clear"/>
            <w:vAlign w:val="center"/>
          </w:tcPr>
          <w:p>
            <w:pPr>
              <w:pStyle w:val="TableContents"/>
              <w:bidi w:val="0"/>
              <w:spacing w:before="0" w:after="0"/>
              <w:ind w:left="0" w:right="0" w:hanging="0"/>
              <w:jc w:val="center"/>
              <w:rPr/>
            </w:pPr>
            <w:r>
              <w:rPr/>
              <w:t>​</w:t>
            </w:r>
          </w:p>
        </w:tc>
      </w:tr>
      <w:tr>
        <w:trPr/>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investments account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613.9</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w:t>
            </w:r>
          </w:p>
        </w:tc>
      </w:tr>
      <w:tr>
        <w:trPr/>
        <w:tc>
          <w:tcPr>
            <w:tcW w:w="43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Assigned accounts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185.9</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218.1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CCF cash and cash equivalents, and investments account are intended to fund milestone payments for the construction of three new Jones Act vessels.</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xml:space="preserve"> The Company’s debt is described in Note 8 of Part I, Item 1 above. The Company utilizes a mix of fixed and variable debt for liquidity and to fund the Company’s operations. Total Debt as of June 30, 2024 and December 31, 2023 is as follows:</w:t>
      </w:r>
    </w:p>
    <w:p>
      <w:pPr>
        <w:pStyle w:val="TextBody"/>
        <w:bidi w:val="0"/>
        <w:spacing w:before="0" w:after="0"/>
        <w:ind w:left="0" w:right="0" w:hanging="0"/>
        <w:jc w:val="left"/>
        <w:rPr/>
      </w:pPr>
      <w:r>
        <w:rPr/>
        <w:t>​</w:t>
      </w:r>
    </w:p>
    <w:tbl>
      <w:tblPr>
        <w:tblW w:w="4836" w:type="dxa"/>
        <w:jc w:val="left"/>
        <w:tblInd w:w="0" w:type="dxa"/>
        <w:tblLayout w:type="fixed"/>
        <w:tblCellMar>
          <w:top w:w="0" w:type="dxa"/>
          <w:left w:w="0" w:type="dxa"/>
          <w:bottom w:w="0" w:type="dxa"/>
          <w:right w:w="0" w:type="dxa"/>
        </w:tblCellMar>
      </w:tblPr>
      <w:tblGrid>
        <w:gridCol w:w="1636"/>
        <w:gridCol w:w="109"/>
        <w:gridCol w:w="211"/>
        <w:gridCol w:w="571"/>
        <w:gridCol w:w="109"/>
        <w:gridCol w:w="307"/>
        <w:gridCol w:w="833"/>
        <w:gridCol w:w="109"/>
        <w:gridCol w:w="211"/>
        <w:gridCol w:w="586"/>
        <w:gridCol w:w="154"/>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038860" cy="175260"/>
                      <wp:effectExtent l="0" t="0" r="0" b="0"/>
                      <wp:wrapNone/>
                      <wp:docPr id="430" name="Frame430"/>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9215" cy="175260"/>
                      <wp:effectExtent l="0" t="0" r="0" b="0"/>
                      <wp:wrapNone/>
                      <wp:docPr id="431" name="Frame4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62585" cy="175260"/>
                      <wp:effectExtent l="0" t="0" r="0" b="0"/>
                      <wp:wrapNone/>
                      <wp:docPr id="433" name="Frame4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9215" cy="175260"/>
                      <wp:effectExtent l="0" t="0" r="0" b="0"/>
                      <wp:wrapNone/>
                      <wp:docPr id="434" name="Frame43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94945" cy="175260"/>
                      <wp:effectExtent l="0" t="0" r="0" b="0"/>
                      <wp:wrapNone/>
                      <wp:docPr id="435" name="Frame43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528955" cy="175260"/>
                      <wp:effectExtent l="0" t="0" r="0" b="0"/>
                      <wp:wrapNone/>
                      <wp:docPr id="436" name="Frame436"/>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9215" cy="175260"/>
                      <wp:effectExtent l="0" t="0" r="0" b="0"/>
                      <wp:wrapNone/>
                      <wp:docPr id="437" name="Frame43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33985" cy="175260"/>
                      <wp:effectExtent l="0" t="0" r="0" b="0"/>
                      <wp:wrapNone/>
                      <wp:docPr id="438" name="Frame4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72110" cy="175260"/>
                      <wp:effectExtent l="0" t="0" r="0" b="0"/>
                      <wp:wrapNone/>
                      <wp:docPr id="439" name="Frame439"/>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97790" cy="175260"/>
                      <wp:effectExtent l="0" t="0" r="0" b="0"/>
                      <wp:wrapNone/>
                      <wp:docPr id="440" name="Frame44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09"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54" w:type="dxa"/>
            <w:tcBorders/>
            <w:vAlign w:val="center"/>
          </w:tcPr>
          <w:p>
            <w:pPr>
              <w:pStyle w:val="TableContents"/>
              <w:bidi w:val="0"/>
              <w:spacing w:before="0" w:after="0"/>
              <w:ind w:left="0" w:right="0" w:hanging="0"/>
              <w:jc w:val="left"/>
              <w:rPr/>
            </w:pPr>
            <w:r>
              <w:rPr/>
              <w:t>​</w:t>
            </w:r>
          </w:p>
        </w:tc>
      </w:tr>
      <w:tr>
        <w:trPr/>
        <w:tc>
          <w:tcPr>
            <w:tcW w:w="16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Fixed interest debt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w:t>
            </w:r>
          </w:p>
        </w:tc>
        <w:tc>
          <w:tcPr>
            <w:tcW w:w="109"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420.7</w:t>
            </w:r>
          </w:p>
        </w:tc>
        <w:tc>
          <w:tcPr>
            <w:tcW w:w="109"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Debt decreased by $19.9 million during the six months ended June 30, 2024, compared to December 31, 2023, primarily due to scheduled fixed interest debt repayments.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of June 30, 2024, the Company had $644.2 million of remaining borrowing availability under the revolving credit facility, with a maturity date of March 31, 2026.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bookmarkStart w:id="1404" w:name="_ebd7e7c6_8c50_455f_b2af_63336834b626"/>
      <w:bookmarkEnd w:id="1404"/>
      <w:r>
        <w:rPr>
          <w:rFonts w:ascii="Times New Roman;Times;serif" w:hAnsi="Times New Roman;Times;serif"/>
          <w:b/>
          <w:i/>
          <w:sz w:val="20"/>
        </w:rPr>
        <w:t>Working Capital:</w:t>
      </w:r>
      <w:r>
        <w:rPr>
          <w:rFonts w:ascii="Times New Roman;Times;serif" w:hAnsi="Times New Roman;Times;serif"/>
          <w:sz w:val="20"/>
        </w:rPr>
        <w:t xml:space="preserve"> The Company had a working capital deficit of $38.3 million at June 30, 2024, compared to a working capital surplus of $40.0 million at December 31, 2023. Working capital is primarily impacted by the amount of net cash provided by operating activities, the amount of capital expenditures, the timing of collections associated with accounts receivable, prepaid expenses and other assets, and by the amount and timing of payments associated with accounts payable, accruals, income taxes and other liabilities. The decrease in the Company’s working capital at June 30, 2024, compared to December 31, 2023 is primarily due to higher capitalized vessel construction expenditures and capital expenditures during the six months ended June 30,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b/>
          <w:i/>
          <w:sz w:val="20"/>
        </w:rPr>
        <w:t>Capital Expenditures:</w:t>
      </w:r>
      <w:r>
        <w:rPr>
          <w:rFonts w:ascii="Times New Roman;Times;serif" w:hAnsi="Times New Roman;Times;serif"/>
          <w:sz w:val="20"/>
        </w:rPr>
        <w:t xml:space="preserve"> Except as described below, during the quarter ended June 30, 2024, there were no material changes to the Company’s expected capital expenditures for the years ending December 31, 2024, 2025 and 2026 that are described in Part II, Item 7 of the Company’s </w:t>
      </w:r>
      <w:hyperlink r:id="rId4">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During the three and six months ended June 30, 2024, the Company paid $35.8 million in milestone payments under the vessel construction agreements. The following represents the estimated timing of future milestone payments under the vessel construction agreements as of June 30, 2024, as described in Part II, Item 7 of the Company’s </w:t>
      </w:r>
      <w:hyperlink r:id="rId5">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2"/>
        <w:gridCol w:w="326"/>
        <w:gridCol w:w="216"/>
        <w:gridCol w:w="565"/>
        <w:gridCol w:w="326"/>
        <w:gridCol w:w="286"/>
        <w:gridCol w:w="615"/>
        <w:gridCol w:w="326"/>
        <w:gridCol w:w="196"/>
        <w:gridCol w:w="511"/>
        <w:gridCol w:w="326"/>
        <w:gridCol w:w="196"/>
        <w:gridCol w:w="511"/>
        <w:gridCol w:w="326"/>
        <w:gridCol w:w="196"/>
        <w:gridCol w:w="511"/>
        <w:gridCol w:w="326"/>
        <w:gridCol w:w="196"/>
        <w:gridCol w:w="331"/>
        <w:gridCol w:w="326"/>
        <w:gridCol w:w="320"/>
        <w:gridCol w:w="566"/>
        <w:gridCol w:w="326"/>
        <w:gridCol w:w="196"/>
        <w:gridCol w:w="753"/>
      </w:tblGrid>
      <w:tr>
        <w:trPr/>
        <w:tc>
          <w:tcPr>
            <w:tcW w:w="1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909320" cy="175260"/>
                      <wp:effectExtent l="0" t="0" r="0" b="0"/>
                      <wp:wrapNone/>
                      <wp:docPr id="441" name="Frame441"/>
                      <a:graphic xmlns:a="http://schemas.openxmlformats.org/drawingml/2006/main">
                        <a:graphicData uri="http://schemas.microsoft.com/office/word/2010/wordprocessingShape">
                          <wps:wsp>
                            <wps:cNvSpPr txBox="1"/>
                            <wps:spPr>
                              <a:xfrm>
                                <a:off x="0" y="0"/>
                                <a:ext cx="909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7160" cy="175260"/>
                      <wp:effectExtent l="0" t="0" r="0" b="0"/>
                      <wp:wrapNone/>
                      <wp:docPr id="443" name="Frame44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58775" cy="175260"/>
                      <wp:effectExtent l="0" t="0" r="0" b="0"/>
                      <wp:wrapNone/>
                      <wp:docPr id="444" name="Frame444"/>
                      <a:graphic xmlns:a="http://schemas.openxmlformats.org/drawingml/2006/main">
                        <a:graphicData uri="http://schemas.microsoft.com/office/word/2010/wordprocessingShape">
                          <wps:wsp>
                            <wps:cNvSpPr txBox="1"/>
                            <wps:spPr>
                              <a:xfrm>
                                <a:off x="0" y="0"/>
                                <a:ext cx="358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81610" cy="175260"/>
                      <wp:effectExtent l="0" t="0" r="0" b="0"/>
                      <wp:wrapNone/>
                      <wp:docPr id="446" name="Frame44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90525" cy="175260"/>
                      <wp:effectExtent l="0" t="0" r="0" b="0"/>
                      <wp:wrapNone/>
                      <wp:docPr id="447" name="Frame447"/>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24460" cy="175260"/>
                      <wp:effectExtent l="0" t="0" r="0" b="0"/>
                      <wp:wrapNone/>
                      <wp:docPr id="449" name="Frame44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324485" cy="175260"/>
                      <wp:effectExtent l="0" t="0" r="0" b="0"/>
                      <wp:wrapNone/>
                      <wp:docPr id="450" name="Frame45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24460" cy="175260"/>
                      <wp:effectExtent l="0" t="0" r="0" b="0"/>
                      <wp:wrapNone/>
                      <wp:docPr id="452" name="Frame45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324485" cy="175260"/>
                      <wp:effectExtent l="0" t="0" r="0" b="0"/>
                      <wp:wrapNone/>
                      <wp:docPr id="453" name="Frame45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24460" cy="175260"/>
                      <wp:effectExtent l="0" t="0" r="0" b="0"/>
                      <wp:wrapNone/>
                      <wp:docPr id="455" name="Frame45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324485" cy="175260"/>
                      <wp:effectExtent l="0" t="0" r="0" b="0"/>
                      <wp:wrapNone/>
                      <wp:docPr id="456" name="Frame45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07010" cy="175260"/>
                      <wp:effectExtent l="0" t="0" r="0" b="0"/>
                      <wp:wrapNone/>
                      <wp:docPr id="457" name="Frame4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24460" cy="175260"/>
                      <wp:effectExtent l="0" t="0" r="0" b="0"/>
                      <wp:wrapNone/>
                      <wp:docPr id="458" name="Frame45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0185" cy="175260"/>
                      <wp:effectExtent l="0" t="0" r="0" b="0"/>
                      <wp:wrapNone/>
                      <wp:docPr id="459" name="Frame459"/>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60"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3200" cy="175260"/>
                      <wp:effectExtent l="0" t="0" r="0" b="0"/>
                      <wp:wrapNone/>
                      <wp:docPr id="461" name="Frame46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359410" cy="175260"/>
                      <wp:effectExtent l="0" t="0" r="0" b="0"/>
                      <wp:wrapNone/>
                      <wp:docPr id="462" name="Frame462"/>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24460" cy="175260"/>
                      <wp:effectExtent l="0" t="0" r="0" b="0"/>
                      <wp:wrapNone/>
                      <wp:docPr id="464" name="Frame4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78155" cy="175260"/>
                      <wp:effectExtent l="0" t="0" r="0" b="0"/>
                      <wp:wrapNone/>
                      <wp:docPr id="465" name="Frame465"/>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w:t>
            </w:r>
          </w:p>
        </w:tc>
        <w:tc>
          <w:tcPr>
            <w:tcW w:w="326" w:type="dxa"/>
            <w:tcBorders/>
            <w:vAlign w:val="center"/>
          </w:tcPr>
          <w:p>
            <w:pPr>
              <w:pStyle w:val="TableContents"/>
              <w:bidi w:val="0"/>
              <w:spacing w:before="0" w:after="0"/>
              <w:ind w:left="0" w:right="0" w:hanging="0"/>
              <w:jc w:val="left"/>
              <w:rPr/>
            </w:pPr>
            <w:r>
              <w:rPr/>
              <w:t>​</w:t>
            </w:r>
          </w:p>
        </w:tc>
        <w:tc>
          <w:tcPr>
            <w:tcW w:w="606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Future Milestone Payments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left"/>
              <w:rPr/>
            </w:pPr>
            <w:r>
              <w:rPr/>
              <w:t>​</w:t>
            </w:r>
          </w:p>
        </w:tc>
      </w:tr>
      <w:tr>
        <w:trPr/>
        <w:tc>
          <w:tcPr>
            <w:tcW w:w="143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Vessel Construction Obligations</w:t>
              <w:br/>
              <w:t>(in millions)</w:t>
            </w:r>
          </w:p>
        </w:tc>
        <w:tc>
          <w:tcPr>
            <w:tcW w:w="326" w:type="dxa"/>
            <w:tcBorders/>
            <w:vAlign w:val="center"/>
          </w:tcPr>
          <w:p>
            <w:pPr>
              <w:pStyle w:val="TableContents"/>
              <w:bidi w:val="0"/>
              <w:spacing w:before="0" w:after="0"/>
              <w:ind w:left="0" w:right="0" w:hanging="0"/>
              <w:jc w:val="left"/>
              <w:rPr/>
            </w:pPr>
            <w:r>
              <w:rPr/>
              <w:t>    </w:t>
            </w:r>
          </w:p>
        </w:tc>
        <w:tc>
          <w:tcPr>
            <w:tcW w:w="7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br/>
              <w:t>June 30, 2024</w:t>
            </w:r>
          </w:p>
        </w:tc>
        <w:tc>
          <w:tcPr>
            <w:tcW w:w="326" w:type="dxa"/>
            <w:tcBorders/>
            <w:vAlign w:val="center"/>
          </w:tcPr>
          <w:p>
            <w:pPr>
              <w:pStyle w:val="TableContents"/>
              <w:bidi w:val="0"/>
              <w:spacing w:before="0" w:after="0"/>
              <w:ind w:left="0" w:right="0" w:hanging="0"/>
              <w:jc w:val="left"/>
              <w:rPr/>
            </w:pPr>
            <w:r>
              <w:rPr/>
              <w:t>    </w:t>
            </w:r>
          </w:p>
        </w:tc>
        <w:tc>
          <w:tcPr>
            <w:tcW w:w="9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Remainder</w:t>
              <w:br/>
              <w:t>of 2024</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26" w:type="dxa"/>
            <w:tcBorders/>
            <w:vAlign w:val="center"/>
          </w:tcPr>
          <w:p>
            <w:pPr>
              <w:pStyle w:val="TableContents"/>
              <w:bidi w:val="0"/>
              <w:spacing w:before="0" w:after="0"/>
              <w:ind w:left="0" w:right="0" w:hanging="0"/>
              <w:jc w:val="left"/>
              <w:rPr/>
            </w:pPr>
            <w:r>
              <w:rPr/>
              <w:t>    </w:t>
            </w:r>
          </w:p>
        </w:tc>
        <w:tc>
          <w:tcPr>
            <w:tcW w:w="7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26" w:type="dxa"/>
            <w:tcBorders/>
            <w:vAlign w:val="center"/>
          </w:tcPr>
          <w:p>
            <w:pPr>
              <w:pStyle w:val="TableContents"/>
              <w:bidi w:val="0"/>
              <w:spacing w:before="0" w:after="0"/>
              <w:ind w:left="0" w:right="0" w:hanging="0"/>
              <w:jc w:val="left"/>
              <w:rPr/>
            </w:pPr>
            <w:r>
              <w:rPr/>
              <w:t>    </w:t>
            </w:r>
          </w:p>
        </w:tc>
        <w:tc>
          <w:tcPr>
            <w:tcW w:w="5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26" w:type="dxa"/>
            <w:tcBorders/>
            <w:vAlign w:val="center"/>
          </w:tcPr>
          <w:p>
            <w:pPr>
              <w:pStyle w:val="TableContents"/>
              <w:bidi w:val="0"/>
              <w:spacing w:before="0" w:after="0"/>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3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Three Aloha Class Containerships</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135.6</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368.3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33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56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t>
            </w:r>
          </w:p>
        </w:tc>
        <w:tc>
          <w:tcPr>
            <w:tcW w:w="753"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1,000.1</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intends to use the CCF cash and cash equivalents, and investments account to fund future milestone progress payments.</w:t>
      </w:r>
    </w:p>
    <w:p>
      <w:pPr>
        <w:pStyle w:val="TextBody"/>
        <w:bidi w:val="0"/>
        <w:spacing w:before="0" w:after="0"/>
        <w:ind w:left="0" w:right="0" w:hanging="0"/>
        <w:jc w:val="left"/>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year ending December 31, 2024, the Company expects to make other capital expenditure payments, including maintenance capital expenditures, of approximately $110 to $120 million, and expenditures for LNG installations and reengining on existing vessels of approximately $85 to $95 million, and dry-docking payments of approximately $35 million.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Repurchase of Shares:</w:t>
      </w:r>
      <w:r>
        <w:rPr>
          <w:rFonts w:ascii="Times New Roman;Times;serif" w:hAnsi="Times New Roman;Times;serif"/>
          <w:sz w:val="20"/>
        </w:rPr>
        <w:t xml:space="preserve"> During the three and six months ended June 30, 2024, the Company repurchased approximately 0.6 million and 1.0 million shares for a total cost of $72.2 million and $121.1 million, respectively. The maximum number of remaining shares that may be purchased under the Company’s share repurchase program was approximately 1.4 million shares at June 30, 2024. </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pPr>
      <w:r>
        <w:rPr>
          <w:rFonts w:ascii="Times New Roman;Times;serif" w:hAnsi="Times New Roman;Times;serif"/>
          <w:b/>
          <w:i/>
          <w:sz w:val="20"/>
        </w:rPr>
        <w:t>Other Material Cash Requirements:</w:t>
      </w:r>
      <w:r>
        <w:rPr>
          <w:rFonts w:ascii="Times New Roman;Times;serif" w:hAnsi="Times New Roman;Times;serif"/>
          <w:sz w:val="20"/>
        </w:rPr>
        <w:t xml:space="preserve"> There were no other material changes during the quarter ended June 30, 2024 to the Company’s other cash requirements that are described in Part II, Item 7 of the Company’s </w:t>
      </w:r>
      <w:hyperlink r:id="rId6">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changes during this quarter to the Company’s critical accounting policies and estimates as discussed in Part II, Item 7 of the Company’s </w:t>
      </w:r>
      <w:hyperlink r:id="rId7">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second quarter 2024 cash dividend of $0.32 per share was paid on June 6, 2024. On June 27, 2024, the Company’s Board of Directors declared a cash dividend of $0.34 per share payable on September 5, 2024 to shareholders of record on August 1,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05" w:name="ITEM3QUANTITATIVEANDQUALITATIVEDISCLOSUR"/>
      <w:bookmarkStart w:id="1406" w:name="_3b2ae4df_37bf_469d_b3c9_cbce2fefb3b9"/>
      <w:bookmarkEnd w:id="1405"/>
      <w:bookmarkEnd w:id="1406"/>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There have been no material changes to the Company’s market risk position from the information provided under Part II, Item 7A, “Quantitative and Qualitative Disclosures About Market Risk,” of its </w:t>
      </w:r>
      <w:hyperlink r:id="rId8">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07" w:name="ITEM4CONTROLSANDPROCEDURES_278454"/>
      <w:bookmarkStart w:id="1408" w:name="_9f2056ad_4f3a_4252_bc4d_95a1edbeefe9"/>
      <w:bookmarkEnd w:id="1407"/>
      <w:bookmarkEnd w:id="1408"/>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pBdr/>
        <w:bidi w:val="0"/>
        <w:spacing w:before="0" w:after="0"/>
        <w:ind w:left="0" w:right="0" w:hanging="54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management, with the participation of the Company’s Chief Executive Officer and Chief Financial Officer, has evaluated the effectiveness of the Company’s disclosure controls and procedures (as defined in Rules 13a-15(e) and 15d-15(e) under the Securities Exchange Act of 1934, as amended (the “Exchange Act”)) as of the end of the period covered by this report. Based on such evaluation, the Company’s Chief Executive Officer and Chief Financial Officer have concluded that, as of June 30, 2024, the Company’s disclosure controls and procedures are effective.</w:t>
      </w:r>
    </w:p>
    <w:p>
      <w:pPr>
        <w:pStyle w:val="TextBody"/>
        <w:bidi w:val="0"/>
        <w:spacing w:before="0" w:after="0"/>
        <w:ind w:left="0" w:right="0" w:hanging="0"/>
        <w:jc w:val="left"/>
        <w:rPr/>
      </w:pPr>
      <w:r>
        <w:rPr/>
        <w:t>​</w:t>
      </w:r>
    </w:p>
    <w:p>
      <w:pPr>
        <w:pStyle w:val="TextBody"/>
        <w:pBdr/>
        <w:bidi w:val="0"/>
        <w:spacing w:before="0" w:after="0"/>
        <w:ind w:left="0" w:right="0" w:hanging="54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changes in the Company’s internal control over financial reporting (as defined in Rules 13a-15(f) and 15d-15(f) under the Exchange Act) that occurred during the three months ended June 30, 2024, that have materially affected, or are reasonably likely to materially affect, the Company’s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409" w:name="PARTIIOTHERINFORMATION_744928"/>
      <w:bookmarkStart w:id="1410" w:name="_3f2b1623_3e3b_4cb4_9360_40839bbc7f0f"/>
      <w:bookmarkEnd w:id="1409"/>
      <w:bookmarkEnd w:id="1410"/>
      <w:r>
        <w:rPr>
          <w:rFonts w:ascii="Times New Roman;Times;serif" w:hAnsi="Times New Roman;Times;serif"/>
          <w:b/>
          <w:sz w:val="20"/>
        </w:rPr>
        <w:t>PART II. OTHER INFORMATION</w:t>
      </w:r>
    </w:p>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b/>
          <w:sz w:val="20"/>
        </w:rPr>
      </w:pPr>
      <w:bookmarkStart w:id="1411" w:name="ITEM1LEGALPROCEEDINGS_436162"/>
      <w:bookmarkEnd w:id="1411"/>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Environmental Matters:</w:t>
      </w:r>
      <w:r>
        <w:rPr>
          <w:rFonts w:ascii="Times New Roman;Times;serif" w:hAnsi="Times New Roman;Times;serif"/>
          <w:sz w:val="20"/>
        </w:rPr>
        <w:t xml:space="preserve"> The Company’s Ocean Transportation business has certain risks that could result in expenditures for environmental remediation. The Company believes that based on all information available to it, the Company is currently in compliance, in all material respects, with applicable environmental laws and regulations.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accordance with SEC rules, with respect to administrative or judicial proceedings involving the environment, the Company has determined it will disclose any such proceeding if it reasonably believes such proceeding will result in monetary sanctions, exclusive of interest and costs, at or in excess of $1 million. The Company believes that such threshold is reasonably designed to result in disclosure of environmental proceedings that are material to its business or financial condition.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Other Matters:</w:t>
      </w:r>
      <w:r>
        <w:rPr>
          <w:rFonts w:ascii="Times New Roman;Times;serif" w:hAnsi="Times New Roman;Times;serif"/>
          <w:sz w:val="20"/>
        </w:rPr>
        <w:t xml:space="preserve">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12" w:name="ITEM1ARISKFACTORS_897747"/>
      <w:bookmarkStart w:id="1413" w:name="_af333e69_60ff_4ffe_849c_e7db3d826dce"/>
      <w:bookmarkEnd w:id="1412"/>
      <w:bookmarkEnd w:id="1413"/>
      <w:r>
        <w:rPr>
          <w:rFonts w:ascii="Times New Roman;Times;serif" w:hAnsi="Times New Roman;Times;serif"/>
          <w:b/>
          <w:sz w:val="20"/>
        </w:rPr>
        <w:t>ITEM 1A. RISK FACTORS</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1414" w:name="_Hlk117024577"/>
      <w:bookmarkEnd w:id="1414"/>
      <w:r>
        <w:rPr>
          <w:rFonts w:ascii="Times New Roman;Times;serif" w:hAnsi="Times New Roman;Times;serif"/>
          <w:sz w:val="20"/>
        </w:rPr>
        <w:t xml:space="preserve">There were no material changes to the Company’s risk factors previously described in Part I, Item 1A, “Risk Factors” of the Company’s </w:t>
      </w:r>
      <w:hyperlink r:id="rId9">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15" w:name="ITEM2UNREGISTEREDSALESOFEQUITYSECURITIES"/>
      <w:bookmarkStart w:id="1416" w:name="_2bb035fd_58db_4ea3_be62_40fad7ba484b"/>
      <w:bookmarkEnd w:id="1415"/>
      <w:bookmarkEnd w:id="1416"/>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Purchases of Equity Securities by the Issuer and Affiliated Purchases.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the summary of Matson shares that were repurchased under the Company’s share repurchase program during the three months ended June 30, 2024:</w:t>
      </w:r>
    </w:p>
    <w:tbl>
      <w:tblPr>
        <w:tblW w:w="8357" w:type="dxa"/>
        <w:jc w:val="left"/>
        <w:tblInd w:w="0" w:type="dxa"/>
        <w:tblLayout w:type="fixed"/>
        <w:tblCellMar>
          <w:top w:w="0" w:type="dxa"/>
          <w:left w:w="0" w:type="dxa"/>
          <w:bottom w:w="0" w:type="dxa"/>
          <w:right w:w="0" w:type="dxa"/>
        </w:tblCellMar>
      </w:tblPr>
      <w:tblGrid>
        <w:gridCol w:w="1041"/>
        <w:gridCol w:w="564"/>
        <w:gridCol w:w="1321"/>
        <w:gridCol w:w="326"/>
        <w:gridCol w:w="285"/>
        <w:gridCol w:w="915"/>
        <w:gridCol w:w="326"/>
        <w:gridCol w:w="1561"/>
        <w:gridCol w:w="326"/>
        <w:gridCol w:w="1501"/>
        <w:gridCol w:w="191"/>
      </w:tblGrid>
      <w:tr>
        <w:trPr/>
        <w:tc>
          <w:tcPr>
            <w:tcW w:w="1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61035" cy="175260"/>
                      <wp:effectExtent l="0" t="0" r="0" b="0"/>
                      <wp:wrapNone/>
                      <wp:docPr id="466" name="Frame466"/>
                      <a:graphic xmlns:a="http://schemas.openxmlformats.org/drawingml/2006/main">
                        <a:graphicData uri="http://schemas.microsoft.com/office/word/2010/wordprocessingShape">
                          <wps:wsp>
                            <wps:cNvSpPr txBox="1"/>
                            <wps:spPr>
                              <a:xfrm>
                                <a:off x="0" y="0"/>
                                <a:ext cx="661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358140" cy="175260"/>
                      <wp:effectExtent l="0" t="0" r="0" b="0"/>
                      <wp:wrapNone/>
                      <wp:docPr id="467" name="Frame467"/>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838835" cy="175260"/>
                      <wp:effectExtent l="0" t="0" r="0" b="0"/>
                      <wp:wrapNone/>
                      <wp:docPr id="468" name="Frame468"/>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80975" cy="175260"/>
                      <wp:effectExtent l="0" t="0" r="0" b="0"/>
                      <wp:wrapNone/>
                      <wp:docPr id="470" name="Frame47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581025" cy="175260"/>
                      <wp:effectExtent l="0" t="0" r="0" b="0"/>
                      <wp:wrapNone/>
                      <wp:docPr id="471" name="Frame471"/>
                      <a:graphic xmlns:a="http://schemas.openxmlformats.org/drawingml/2006/main">
                        <a:graphicData uri="http://schemas.microsoft.com/office/word/2010/wordprocessingShape">
                          <wps:wsp>
                            <wps:cNvSpPr txBox="1"/>
                            <wps:spPr>
                              <a:xfrm>
                                <a:off x="0" y="0"/>
                                <a:ext cx="581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991235" cy="175260"/>
                      <wp:effectExtent l="0" t="0" r="0" b="0"/>
                      <wp:wrapNone/>
                      <wp:docPr id="473" name="Frame473"/>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4" name="Frame4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953135" cy="175260"/>
                      <wp:effectExtent l="0" t="0" r="0" b="0"/>
                      <wp:wrapNone/>
                      <wp:docPr id="475" name="Frame475"/>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21285" cy="175260"/>
                      <wp:effectExtent l="0" t="0" r="0" b="0"/>
                      <wp:wrapNone/>
                      <wp:docPr id="476" name="Frame47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4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    </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Maximum Number</w:t>
            </w:r>
          </w:p>
        </w:tc>
        <w:tc>
          <w:tcPr>
            <w:tcW w:w="191" w:type="dxa"/>
            <w:tcBorders/>
            <w:vAlign w:val="center"/>
          </w:tcPr>
          <w:p>
            <w:pPr>
              <w:pStyle w:val="TableContents"/>
              <w:bidi w:val="0"/>
              <w:spacing w:before="0" w:after="0"/>
              <w:ind w:left="0" w:right="0" w:hanging="0"/>
              <w:jc w:val="left"/>
              <w:rPr/>
            </w:pPr>
            <w:r>
              <w:rPr/>
              <w:t> </w:t>
            </w:r>
          </w:p>
        </w:tc>
      </w:tr>
      <w:tr>
        <w:trPr/>
        <w:tc>
          <w:tcPr>
            <w:tcW w:w="104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Purchased</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of Shares that May</w:t>
            </w:r>
          </w:p>
        </w:tc>
        <w:tc>
          <w:tcPr>
            <w:tcW w:w="191" w:type="dxa"/>
            <w:tcBorders/>
            <w:vAlign w:val="center"/>
          </w:tcPr>
          <w:p>
            <w:pPr>
              <w:pStyle w:val="TableContents"/>
              <w:bidi w:val="0"/>
              <w:spacing w:before="0" w:after="0"/>
              <w:ind w:left="0" w:right="0" w:hanging="0"/>
              <w:jc w:val="left"/>
              <w:rPr/>
            </w:pPr>
            <w:r>
              <w:rPr/>
              <w:t> </w:t>
            </w:r>
          </w:p>
        </w:tc>
      </w:tr>
      <w:tr>
        <w:trPr/>
        <w:tc>
          <w:tcPr>
            <w:tcW w:w="104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Number of</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9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Part of Publicly</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Be Purchased</w:t>
            </w:r>
          </w:p>
        </w:tc>
        <w:tc>
          <w:tcPr>
            <w:tcW w:w="191" w:type="dxa"/>
            <w:tcBorders/>
            <w:vAlign w:val="center"/>
          </w:tcPr>
          <w:p>
            <w:pPr>
              <w:pStyle w:val="TableContents"/>
              <w:bidi w:val="0"/>
              <w:spacing w:before="0" w:after="0"/>
              <w:ind w:left="0" w:right="0" w:hanging="0"/>
              <w:jc w:val="left"/>
              <w:rPr/>
            </w:pPr>
            <w:r>
              <w:rPr/>
              <w:t> </w:t>
            </w:r>
          </w:p>
        </w:tc>
      </w:tr>
      <w:tr>
        <w:trPr/>
        <w:tc>
          <w:tcPr>
            <w:tcW w:w="1041"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12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Price</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Announced Plans or</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 or</w:t>
            </w:r>
          </w:p>
        </w:tc>
        <w:tc>
          <w:tcPr>
            <w:tcW w:w="191" w:type="dxa"/>
            <w:tcBorders/>
            <w:vAlign w:val="center"/>
          </w:tcPr>
          <w:p>
            <w:pPr>
              <w:pStyle w:val="TableContents"/>
              <w:bidi w:val="0"/>
              <w:spacing w:before="0" w:after="0"/>
              <w:ind w:left="0" w:right="0" w:hanging="0"/>
              <w:jc w:val="left"/>
              <w:rPr/>
            </w:pPr>
            <w:r>
              <w:rPr/>
              <w:t> </w:t>
            </w:r>
          </w:p>
        </w:tc>
      </w:tr>
      <w:tr>
        <w:trPr/>
        <w:tc>
          <w:tcPr>
            <w:tcW w:w="10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Period</w:t>
            </w:r>
          </w:p>
        </w:tc>
        <w:tc>
          <w:tcPr>
            <w:tcW w:w="564"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w:t>
            </w:r>
          </w:p>
        </w:tc>
        <w:tc>
          <w:tcPr>
            <w:tcW w:w="326" w:type="dxa"/>
            <w:tcBorders/>
            <w:vAlign w:val="center"/>
          </w:tcPr>
          <w:p>
            <w:pPr>
              <w:pStyle w:val="TableContents"/>
              <w:bidi w:val="0"/>
              <w:spacing w:before="0" w:after="0"/>
              <w:ind w:left="0" w:right="0" w:hanging="0"/>
              <w:jc w:val="left"/>
              <w:rPr/>
            </w:pPr>
            <w:r>
              <w:rPr/>
              <w:t>​</w:t>
            </w:r>
          </w:p>
        </w:tc>
        <w:tc>
          <w:tcPr>
            <w:tcW w:w="12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Per Share</w:t>
            </w:r>
          </w:p>
        </w:tc>
        <w:tc>
          <w:tcPr>
            <w:tcW w:w="326" w:type="dxa"/>
            <w:tcBorders/>
            <w:vAlign w:val="center"/>
          </w:tcPr>
          <w:p>
            <w:pPr>
              <w:pStyle w:val="TableContents"/>
              <w:bidi w:val="0"/>
              <w:spacing w:before="0" w:after="0"/>
              <w:ind w:left="0" w:right="0" w:hanging="0"/>
              <w:jc w:val="left"/>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 (1)</w:t>
            </w:r>
          </w:p>
        </w:tc>
        <w:tc>
          <w:tcPr>
            <w:tcW w:w="326" w:type="dxa"/>
            <w:tcBorders/>
            <w:vAlign w:val="center"/>
          </w:tcPr>
          <w:p>
            <w:pPr>
              <w:pStyle w:val="TableContents"/>
              <w:bidi w:val="0"/>
              <w:spacing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Programs</w:t>
            </w:r>
          </w:p>
        </w:tc>
        <w:tc>
          <w:tcPr>
            <w:tcW w:w="191" w:type="dxa"/>
            <w:tcBorders/>
            <w:vAlign w:val="center"/>
          </w:tcPr>
          <w:p>
            <w:pPr>
              <w:pStyle w:val="TableContents"/>
              <w:bidi w:val="0"/>
              <w:spacing w:before="0" w:after="0"/>
              <w:ind w:left="0" w:right="0" w:hanging="0"/>
              <w:jc w:val="left"/>
              <w:rPr/>
            </w:pPr>
            <w:r>
              <w:rPr/>
              <w:t> </w:t>
            </w:r>
          </w:p>
        </w:tc>
      </w:tr>
      <w:tr>
        <w:trPr/>
        <w:tc>
          <w:tcPr>
            <w:tcW w:w="16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 30, 2024</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164,500</w:t>
            </w:r>
          </w:p>
        </w:tc>
        <w:tc>
          <w:tcPr>
            <w:tcW w:w="32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109.08</w:t>
            </w:r>
          </w:p>
        </w:tc>
        <w:tc>
          <w:tcPr>
            <w:tcW w:w="326"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164,500</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1,855,577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6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 – 31, 2024</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233,500</w:t>
            </w:r>
          </w:p>
        </w:tc>
        <w:tc>
          <w:tcPr>
            <w:tcW w:w="32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116.58</w:t>
            </w:r>
          </w:p>
        </w:tc>
        <w:tc>
          <w:tcPr>
            <w:tcW w:w="326" w:type="dxa"/>
            <w:tcBorders/>
            <w:vAlign w:val="center"/>
          </w:tcPr>
          <w:p>
            <w:pPr>
              <w:pStyle w:val="TableContents"/>
              <w:bidi w:val="0"/>
              <w:spacing w:before="0" w:after="0"/>
              <w:ind w:left="0" w:right="0" w:hanging="0"/>
              <w:jc w:val="left"/>
              <w:rPr/>
            </w:pPr>
            <w:r>
              <w:rPr/>
              <w:t> </w:t>
            </w:r>
          </w:p>
        </w:tc>
        <w:tc>
          <w:tcPr>
            <w:tcW w:w="15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233,500</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1,622,077</w:t>
            </w:r>
          </w:p>
        </w:tc>
        <w:tc>
          <w:tcPr>
            <w:tcW w:w="191" w:type="dxa"/>
            <w:tcBorders/>
            <w:vAlign w:val="center"/>
          </w:tcPr>
          <w:p>
            <w:pPr>
              <w:pStyle w:val="TableContents"/>
              <w:bidi w:val="0"/>
              <w:spacing w:before="0" w:after="0"/>
              <w:ind w:left="0" w:right="0" w:hanging="0"/>
              <w:jc w:val="left"/>
              <w:rPr/>
            </w:pPr>
            <w:r>
              <w:rPr/>
              <w:t>​</w:t>
            </w:r>
          </w:p>
        </w:tc>
      </w:tr>
      <w:tr>
        <w:trPr/>
        <w:tc>
          <w:tcPr>
            <w:tcW w:w="1605"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 – 30, 2024</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212,000</w:t>
            </w:r>
          </w:p>
        </w:tc>
        <w:tc>
          <w:tcPr>
            <w:tcW w:w="326" w:type="dxa"/>
            <w:tcBorders/>
            <w:shd w:fill="CCEEFF" w:val="clear"/>
            <w:vAlign w:val="center"/>
          </w:tcPr>
          <w:p>
            <w:pPr>
              <w:pStyle w:val="TableContents"/>
              <w:bidi w:val="0"/>
              <w:spacing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124.25</w:t>
            </w:r>
          </w:p>
        </w:tc>
        <w:tc>
          <w:tcPr>
            <w:tcW w:w="326" w:type="dxa"/>
            <w:tcBorders/>
            <w:shd w:fill="CCEEFF" w:val="clear"/>
            <w:vAlign w:val="center"/>
          </w:tcPr>
          <w:p>
            <w:pPr>
              <w:pStyle w:val="TableContents"/>
              <w:bidi w:val="0"/>
              <w:spacing w:before="0" w:after="0"/>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212,000</w:t>
            </w:r>
          </w:p>
        </w:tc>
        <w:tc>
          <w:tcPr>
            <w:tcW w:w="326" w:type="dxa"/>
            <w:tcBorders/>
            <w:shd w:fill="CCEEFF" w:val="clear"/>
            <w:vAlign w:val="center"/>
          </w:tcPr>
          <w:p>
            <w:pPr>
              <w:pStyle w:val="TableContents"/>
              <w:bidi w:val="0"/>
              <w:spacing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1,410,077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564" w:type="dxa"/>
            <w:tcBorders/>
            <w:vAlign w:val="center"/>
          </w:tcPr>
          <w:p>
            <w:pPr>
              <w:pStyle w:val="TableContents"/>
              <w:bidi w:val="0"/>
              <w:spacing w:before="0" w:after="0"/>
              <w:ind w:left="0" w:right="0" w:hanging="0"/>
              <w:jc w:val="left"/>
              <w:rPr/>
            </w:pPr>
            <w:r>
              <w:rPr/>
              <w:t> </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610,000</w:t>
            </w:r>
          </w:p>
        </w:tc>
        <w:tc>
          <w:tcPr>
            <w:tcW w:w="326" w:type="dxa"/>
            <w:tcBorders/>
            <w:vAlign w:val="center"/>
          </w:tcPr>
          <w:p>
            <w:pPr>
              <w:pStyle w:val="TableContents"/>
              <w:bidi w:val="0"/>
              <w:spacing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w:t>
            </w:r>
          </w:p>
        </w:tc>
        <w:tc>
          <w:tcPr>
            <w:tcW w:w="326" w:type="dxa"/>
            <w:tcBorders/>
            <w:vAlign w:val="center"/>
          </w:tcPr>
          <w:p>
            <w:pPr>
              <w:pStyle w:val="TableContents"/>
              <w:bidi w:val="0"/>
              <w:spacing w:before="0" w:after="0"/>
              <w:ind w:left="0" w:right="0" w:hanging="0"/>
              <w:jc w:val="left"/>
              <w:rPr/>
            </w:pPr>
            <w:r>
              <w:rPr/>
              <w:t> </w:t>
            </w:r>
          </w:p>
        </w:tc>
        <w:tc>
          <w:tcPr>
            <w:tcW w:w="15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610,000</w:t>
            </w:r>
          </w:p>
        </w:tc>
        <w:tc>
          <w:tcPr>
            <w:tcW w:w="326" w:type="dxa"/>
            <w:tcBorders/>
            <w:vAlign w:val="center"/>
          </w:tcPr>
          <w:p>
            <w:pPr>
              <w:pStyle w:val="TableContents"/>
              <w:bidi w:val="0"/>
              <w:spacing w:before="0" w:after="0"/>
              <w:ind w:left="0" w:right="0" w:hanging="0"/>
              <w:jc w:val="left"/>
              <w:rPr/>
            </w:pPr>
            <w:r>
              <w:rPr/>
              <w:t>​</w:t>
            </w:r>
          </w:p>
        </w:tc>
        <w:tc>
          <w:tcPr>
            <w:tcW w:w="150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On June 24, 2021, Matson’s Board of Directors approved a share repurchase program of up to 3.0 million shares of common stock, with subsequent approvals for the addition of 3.0 million shares on each of January 27, 2022, August 23, 2022 and April 27, 2023, for an aggregate total of 12.0 million shares of common stock. The share repurchase program expires on December 31, 2025. Shares will be repurchased in the open market from time to time, and may be made pursuant to a trading plan in accordance with Rule 10b5-1 of the Security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17" w:name="ITEM3DEFAULTSUPONSENIORSECURITIES_766025"/>
      <w:bookmarkStart w:id="1418" w:name="_5fd72028_776c_47c7_9a87_7be4ce75647e"/>
      <w:bookmarkEnd w:id="1417"/>
      <w:bookmarkEnd w:id="1418"/>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19" w:name="ITEM4MINESAFETYDISCLOSURES_922547"/>
      <w:bookmarkStart w:id="1420" w:name="_76e7d735_2b9a_42d3_850b_d4c86b05bd58"/>
      <w:bookmarkEnd w:id="1419"/>
      <w:bookmarkEnd w:id="1420"/>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421" w:name="ITEM5OTHERINFORMATION_110834"/>
      <w:bookmarkStart w:id="1422" w:name="_814924ad_790b_40c2_a64c_9662699d903a"/>
      <w:bookmarkEnd w:id="1421"/>
      <w:bookmarkEnd w:id="1422"/>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 Trading Plans</w:t>
      </w:r>
    </w:p>
    <w:p>
      <w:pPr>
        <w:pStyle w:val="TextBody"/>
        <w:bidi w:val="0"/>
        <w:spacing w:before="0" w:after="0"/>
        <w:ind w:left="0" w:right="0" w:hanging="0"/>
        <w:jc w:val="left"/>
        <w:rPr/>
      </w:pPr>
      <w:r>
        <w:rPr/>
        <w:t>​</w:t>
      </w:r>
    </w:p>
    <w:p>
      <w:pPr>
        <w:pStyle w:val="TextBody"/>
        <w:bidi w:val="0"/>
        <w:spacing w:before="0" w:after="0"/>
        <w:ind w:left="0" w:right="0" w:hanging="0"/>
        <w:jc w:val="left"/>
        <w:rPr/>
      </w:pPr>
      <w:r>
        <w:rPr>
          <w:rFonts w:ascii="Times New Roman;Times;serif" w:hAnsi="Times New Roman;Times;serif"/>
          <w:sz w:val="20"/>
        </w:rPr>
        <w:t xml:space="preserve">During the quarter ended June 30, 2024, no director or Section 16 officer adopted or terminated any Rule 10b5-1 trading arrangements or non-Rule 10b5-1 trading arrangements except as previously reported in Part II, Item 9B of the Company’s </w:t>
      </w:r>
      <w:hyperlink r:id="rId10">
        <w:r>
          <w:rPr>
            <w:rStyle w:val="InternetLink"/>
            <w:rFonts w:ascii="Times New Roman;Times;serif" w:hAnsi="Times New Roman;Times;serif"/>
            <w:b w:val="false"/>
            <w:i w:val="false"/>
            <w:caps w:val="false"/>
            <w:smallCaps w:val="false"/>
            <w:sz w:val="20"/>
          </w:rPr>
          <w:t>Annual Report on Form 10-K for the year ended December 31, 2023</w:t>
        </w:r>
      </w:hyperlink>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423" w:name="ITEM6EXHIBITS_599668"/>
      <w:bookmarkStart w:id="1424" w:name="_7dacdb0e_d014_4bfd_865c_9e92a9fdaaaf"/>
      <w:bookmarkEnd w:id="1423"/>
      <w:bookmarkEnd w:id="1424"/>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865"/>
        <w:gridCol w:w="9340"/>
      </w:tblGrid>
      <w:tr>
        <w:trPr/>
        <w:tc>
          <w:tcPr>
            <w:tcW w:w="865" w:type="dxa"/>
            <w:tcBorders/>
            <w:vAlign w:val="center"/>
          </w:tcPr>
          <w:p>
            <w:pPr>
              <w:pStyle w:val="TableContents"/>
              <w:pBdr/>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9340" w:type="dxa"/>
            <w:tcBorders/>
            <w:vAlign w:val="center"/>
          </w:tcPr>
          <w:p>
            <w:pPr>
              <w:pStyle w:val="TableContents"/>
              <w:bidi w:val="0"/>
              <w:spacing w:lineRule="auto" w:line="328" w:before="0" w:after="0"/>
              <w:ind w:left="0" w:right="0" w:hanging="0"/>
              <w:jc w:val="left"/>
              <w:rPr/>
            </w:pPr>
            <w:hyperlink w:anchor="matx-20240630xex31d1.htm">
              <w:r>
                <w:rPr>
                  <w:rStyle w:val="InternetLink"/>
                  <w:rFonts w:ascii="Times New Roman;Times;serif" w:hAnsi="Times New Roman;Times;serif"/>
                  <w:b w:val="false"/>
                  <w:i w:val="false"/>
                  <w:caps w:val="false"/>
                  <w:smallCaps w:val="false"/>
                  <w:sz w:val="20"/>
                </w:rPr>
                <w:t>Certification of Chief Executive Officer pursuant to Rule 13a-14(a) or 15d-14(a) of the Securities Exchange Act of 1934.</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9340" w:type="dxa"/>
            <w:tcBorders/>
            <w:vAlign w:val="center"/>
          </w:tcPr>
          <w:p>
            <w:pPr>
              <w:pStyle w:val="TableContents"/>
              <w:bidi w:val="0"/>
              <w:spacing w:lineRule="auto" w:line="328" w:before="0" w:after="0"/>
              <w:ind w:left="0" w:right="0" w:hanging="0"/>
              <w:jc w:val="left"/>
              <w:rPr/>
            </w:pPr>
            <w:hyperlink w:anchor="matx-20240630xex31d2.htm">
              <w:r>
                <w:rPr>
                  <w:rStyle w:val="InternetLink"/>
                  <w:rFonts w:ascii="Times New Roman;Times;serif" w:hAnsi="Times New Roman;Times;serif"/>
                  <w:b w:val="false"/>
                  <w:i w:val="false"/>
                  <w:caps w:val="false"/>
                  <w:smallCaps w:val="false"/>
                  <w:sz w:val="20"/>
                </w:rPr>
                <w:t>Certification of Chief Financial Officer pursuant to Rule 13a-14(a) or 15d-14(a) of the Securities Exchange Act of 1934.</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9340" w:type="dxa"/>
            <w:tcBorders/>
            <w:vAlign w:val="center"/>
          </w:tcPr>
          <w:p>
            <w:pPr>
              <w:pStyle w:val="TableContents"/>
              <w:bidi w:val="0"/>
              <w:spacing w:lineRule="auto" w:line="328" w:before="0" w:after="0"/>
              <w:ind w:left="0" w:right="0" w:hanging="0"/>
              <w:jc w:val="left"/>
              <w:rPr/>
            </w:pPr>
            <w:hyperlink w:anchor="matx-20240630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w:t>
              </w:r>
            </w:hyperlink>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65" w:type="dxa"/>
            <w:tcBorders/>
            <w:vAlign w:val="center"/>
          </w:tcPr>
          <w:p>
            <w:pPr>
              <w:pStyle w:val="TableContents"/>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65" w:type="dxa"/>
            <w:tcBorders/>
            <w:vAlign w:val="center"/>
          </w:tcPr>
          <w:p>
            <w:pPr>
              <w:pStyle w:val="TableContents"/>
              <w:pBdr/>
              <w:bidi w:val="0"/>
              <w:spacing w:lineRule="auto" w:line="328" w:before="0" w:after="0"/>
              <w:ind w:left="0" w:right="0" w:hanging="0"/>
              <w:jc w:val="left"/>
              <w:rPr/>
            </w:pPr>
            <w:r>
              <w:rPr/>
              <w:t>​</w:t>
            </w:r>
          </w:p>
        </w:tc>
        <w:tc>
          <w:tcPr>
            <w:tcW w:w="9340" w:type="dxa"/>
            <w:tcBorders/>
            <w:vAlign w:val="center"/>
          </w:tcPr>
          <w:p>
            <w:pPr>
              <w:pStyle w:val="TableContents"/>
              <w:bidi w:val="0"/>
              <w:spacing w:lineRule="auto" w:line="328" w:before="0" w:after="0"/>
              <w:ind w:left="0" w:right="0" w:hanging="0"/>
              <w:jc w:val="left"/>
              <w:rPr/>
            </w:pPr>
            <w:r>
              <w:rPr/>
              <w:t>​</w:t>
            </w:r>
          </w:p>
        </w:tc>
      </w:tr>
      <w:tr>
        <w:trPr/>
        <w:tc>
          <w:tcPr>
            <w:tcW w:w="865"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9340"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in Inline XBRL and included as Exhibit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25" w:name="SIGNATURES_841218"/>
      <w:bookmarkStart w:id="1426" w:name="_e323d931_4f71_4d1b_b977_c1601ffd4907"/>
      <w:bookmarkEnd w:id="1425"/>
      <w:bookmarkEnd w:id="1426"/>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397" w:type="dxa"/>
        <w:jc w:val="left"/>
        <w:tblInd w:w="0" w:type="dxa"/>
        <w:tblLayout w:type="fixed"/>
        <w:tblCellMar>
          <w:top w:w="0" w:type="dxa"/>
          <w:left w:w="0" w:type="dxa"/>
          <w:bottom w:w="0" w:type="dxa"/>
          <w:right w:w="0" w:type="dxa"/>
        </w:tblCellMar>
      </w:tblPr>
      <w:tblGrid>
        <w:gridCol w:w="1846"/>
        <w:gridCol w:w="2551"/>
      </w:tblGrid>
      <w:tr>
        <w:trPr/>
        <w:tc>
          <w:tcPr>
            <w:tcW w:w="184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MATSON, INC.</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2, 2024</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/s/Joel M. Wine</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Joel M. Wine</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Executive Vice President and</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pPr>
            <w:r>
              <w:rPr/>
              <w:t>​</w:t>
            </w:r>
          </w:p>
        </w:tc>
      </w:tr>
      <w:tr>
        <w:trPr/>
        <w:tc>
          <w:tcPr>
            <w:tcW w:w="1846" w:type="dxa"/>
            <w:tcBorders/>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August 2, 2024</w:t>
            </w:r>
          </w:p>
        </w:tc>
        <w:tc>
          <w:tcPr>
            <w:tcW w:w="2551" w:type="dxa"/>
            <w:tcBorders>
              <w:bottom w:val="single" w:sz="2" w:space="0" w:color="000000"/>
            </w:tcBorders>
            <w:tcMar>
              <w:bottom w:w="28"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/s/ Kevin L. Stuck</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Kevin L. Stuck</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Vice President and Controller</w:t>
            </w:r>
          </w:p>
        </w:tc>
      </w:tr>
      <w:tr>
        <w:trPr/>
        <w:tc>
          <w:tcPr>
            <w:tcW w:w="1846" w:type="dxa"/>
            <w:tcBorders/>
            <w:vAlign w:val="center"/>
          </w:tcPr>
          <w:p>
            <w:pPr>
              <w:pStyle w:val="TableContents"/>
              <w:bidi w:val="0"/>
              <w:spacing w:lineRule="auto" w:line="328" w:before="0" w:after="0"/>
              <w:ind w:left="0" w:right="0" w:hanging="0"/>
              <w:jc w:val="left"/>
              <w:rPr/>
            </w:pPr>
            <w:r>
              <w:rPr/>
              <w:t>​</w:t>
            </w:r>
          </w:p>
        </w:tc>
        <w:tc>
          <w:tcPr>
            <w:tcW w:w="2551" w:type="dxa"/>
            <w:tcBorders/>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0"/>
        <w:ind w:left="0" w:right="0" w:hanging="0"/>
        <w:jc w:val="right"/>
        <w:rPr>
          <w:rFonts w:ascii="Times New Roman;Times;serif" w:hAnsi="Times New Roman;Times;serif"/>
          <w:b/>
          <w:sz w:val="20"/>
        </w:rPr>
      </w:pPr>
      <w:bookmarkStart w:id="1427" w:name="matx-20240630xex31d1.htm"/>
      <w:bookmarkStart w:id="1428" w:name="ksmatx20240630xex31d1"/>
      <w:bookmarkEnd w:id="1427"/>
      <w:bookmarkEnd w:id="1428"/>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Matthew J. Cox,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4957" w:type="dxa"/>
        <w:jc w:val="left"/>
        <w:tblInd w:w="0" w:type="dxa"/>
        <w:tblLayout w:type="fixed"/>
        <w:tblCellMar>
          <w:top w:w="0" w:type="dxa"/>
          <w:left w:w="0" w:type="dxa"/>
          <w:bottom w:w="0" w:type="dxa"/>
          <w:right w:w="0" w:type="dxa"/>
        </w:tblCellMar>
      </w:tblPr>
      <w:tblGrid>
        <w:gridCol w:w="1846"/>
        <w:gridCol w:w="109"/>
        <w:gridCol w:w="346"/>
        <w:gridCol w:w="2656"/>
      </w:tblGrid>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 Chairman 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2, 2024</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29" w:name="matx-20240630xex31d2.htm"/>
      <w:bookmarkStart w:id="1430" w:name="ksmatx20240630xex31d2"/>
      <w:bookmarkEnd w:id="1429"/>
      <w:bookmarkEnd w:id="1430"/>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 or 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Joel M. Wine, certify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Matson, Inc.;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tbl>
      <w:tblPr>
        <w:tblW w:w="6007" w:type="dxa"/>
        <w:jc w:val="left"/>
        <w:tblInd w:w="0" w:type="dxa"/>
        <w:tblLayout w:type="fixed"/>
        <w:tblCellMar>
          <w:top w:w="0" w:type="dxa"/>
          <w:left w:w="0" w:type="dxa"/>
          <w:bottom w:w="0" w:type="dxa"/>
          <w:right w:w="0" w:type="dxa"/>
        </w:tblCellMar>
      </w:tblPr>
      <w:tblGrid>
        <w:gridCol w:w="1846"/>
        <w:gridCol w:w="109"/>
        <w:gridCol w:w="346"/>
        <w:gridCol w:w="3706"/>
      </w:tblGrid>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 Executive Vice President and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2, 2024</w:t>
            </w:r>
          </w:p>
        </w:tc>
        <w:tc>
          <w:tcPr>
            <w:tcW w:w="10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70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431" w:name="matx-20240630xex32.htm"/>
      <w:bookmarkStart w:id="1432" w:name="ksmatx20240630xex32"/>
      <w:bookmarkEnd w:id="1431"/>
      <w:bookmarkEnd w:id="1432"/>
      <w:r>
        <w:rPr>
          <w:rFonts w:ascii="Times New Roman;Times;serif" w:hAnsi="Times New Roman;Times;serif"/>
          <w:b/>
          <w:sz w:val="20"/>
        </w:rPr>
        <w:t>EXHIBIT 32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 pursuant to 18 U.S.C. Section 1350</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on Form 10-Q of Matson, Inc. (the “Company”) for the quarterly period ended June 30, 2024, as filed with the Securities and Exchange Commission on the date hereof (the “Report”), Matthew J. Cox, as Chairman and Chief Executive Officer of the Company, and Joel M. Wine, as Executive Vice President and Chief Financial Officer of the Company, each hereby certifies, pursuant to 18 U.S.C. Section 1350, that to their knowledge: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5305" w:type="dxa"/>
        <w:jc w:val="left"/>
        <w:tblInd w:w="0" w:type="dxa"/>
        <w:tblLayout w:type="fixed"/>
        <w:tblCellMar>
          <w:top w:w="0" w:type="dxa"/>
          <w:left w:w="0" w:type="dxa"/>
          <w:bottom w:w="0" w:type="dxa"/>
          <w:right w:w="0" w:type="dxa"/>
        </w:tblCellMar>
      </w:tblPr>
      <w:tblGrid>
        <w:gridCol w:w="646"/>
        <w:gridCol w:w="4396"/>
        <w:gridCol w:w="109"/>
        <w:gridCol w:w="154"/>
      </w:tblGrid>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Matthew J. Cox</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2, 2024</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pPr>
            <w:r>
              <w:rPr/>
              <w:t>​</w:t>
            </w:r>
          </w:p>
        </w:tc>
        <w:tc>
          <w:tcPr>
            <w:tcW w:w="439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042" w:type="dxa"/>
            <w:gridSpan w:val="2"/>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Joel M. Wine</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 Chief Financial Officer</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6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43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2, 2024</w:t>
            </w:r>
          </w:p>
        </w:tc>
        <w:tc>
          <w:tcPr>
            <w:tcW w:w="109"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3453/000155837024001570/matx-20231231x10k.htm" TargetMode="External"/><Relationship Id="rId3" Type="http://schemas.openxmlformats.org/officeDocument/2006/relationships/hyperlink" Target="https://www.sec.gov/ix?doc=/Archives/edgar/data/3453/000155837024001570/matx-20231231x10k.htm" TargetMode="External"/><Relationship Id="rId4" Type="http://schemas.openxmlformats.org/officeDocument/2006/relationships/hyperlink" Target="https://www.sec.gov/ix?doc=/Archives/edgar/data/3453/000155837024001570/matx-20231231x10k.htm" TargetMode="External"/><Relationship Id="rId5" Type="http://schemas.openxmlformats.org/officeDocument/2006/relationships/hyperlink" Target="https://www.sec.gov/ix?doc=/Archives/edgar/data/3453/000155837024001570/matx-20231231x10k.htm" TargetMode="External"/><Relationship Id="rId6" Type="http://schemas.openxmlformats.org/officeDocument/2006/relationships/hyperlink" Target="https://www.sec.gov/ix?doc=/Archives/edgar/data/3453/000155837024001570/matx-20231231x10k.htm" TargetMode="External"/><Relationship Id="rId7" Type="http://schemas.openxmlformats.org/officeDocument/2006/relationships/hyperlink" Target="https://www.sec.gov/ix?doc=/Archives/edgar/data/3453/000155837024001570/matx-20231231x10k.htm" TargetMode="External"/><Relationship Id="rId8" Type="http://schemas.openxmlformats.org/officeDocument/2006/relationships/hyperlink" Target="https://www.sec.gov/ix?doc=/Archives/edgar/data/3453/000155837024001570/matx-20231231x10k.htm" TargetMode="External"/><Relationship Id="rId9" Type="http://schemas.openxmlformats.org/officeDocument/2006/relationships/hyperlink" Target="https://www.sec.gov/ix?doc=/Archives/edgar/data/3453/000155837024001570/matx-20231231x10k.htm" TargetMode="External"/><Relationship Id="rId10" Type="http://schemas.openxmlformats.org/officeDocument/2006/relationships/hyperlink" Target="https://www.sec.gov/ix?doc=/Archives/edgar/data/3453/000155837024001570/matx-20231231x10k.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15310</Words>
  <Characters>83119</Characters>
  <CharactersWithSpaces>100545</CharactersWithSpaces>
  <Paragraphs>6790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