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7" w:lineRule="exact"/>
        <w:rPr>
          <w:sz w:val="24"/>
          <w:szCs w:val="24"/>
          <w:color w:val="auto"/>
        </w:rPr>
      </w:pPr>
    </w:p>
    <w:p>
      <w:pPr>
        <w:ind w:left="620" w:right="1280" w:hanging="306"/>
        <w:spacing w:after="0" w:line="262" w:lineRule="auto"/>
        <w:tabs>
          <w:tab w:leader="none" w:pos="6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6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296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001-34187</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Matson,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1"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Hawaii</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99-0032630</w:t>
            </w:r>
          </w:p>
        </w:tc>
      </w:tr>
      <w:tr>
        <w:trPr>
          <w:trHeight w:val="189"/>
        </w:trPr>
        <w:tc>
          <w:tcPr>
            <w:tcW w:w="4360" w:type="dxa"/>
            <w:vAlign w:val="bottom"/>
          </w:tcPr>
          <w:p>
            <w:pPr>
              <w:jc w:val="center"/>
              <w:ind w:right="14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820" w:type="dxa"/>
            <w:vAlign w:val="bottom"/>
          </w:tcPr>
          <w:p>
            <w:pPr>
              <w:jc w:val="center"/>
              <w:ind w:left="14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02"/>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1411 Sand Island Parkway</w:t>
            </w:r>
          </w:p>
        </w:tc>
        <w:tc>
          <w:tcPr>
            <w:tcW w:w="2820" w:type="dxa"/>
            <w:vAlign w:val="bottom"/>
          </w:tcPr>
          <w:p>
            <w:pPr>
              <w:spacing w:after="0"/>
              <w:rPr>
                <w:sz w:val="24"/>
                <w:szCs w:val="24"/>
                <w:color w:val="auto"/>
              </w:rPr>
            </w:pPr>
          </w:p>
        </w:tc>
      </w:t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Honolulu, HI</w:t>
            </w: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96819</w:t>
            </w:r>
          </w:p>
        </w:tc>
      </w:tr>
      <w:tr>
        <w:trPr>
          <w:trHeight w:val="234"/>
        </w:trPr>
        <w:tc>
          <w:tcPr>
            <w:tcW w:w="43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(808) 848-1211</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80" w:lineRule="exact"/>
        <w:rPr>
          <w:sz w:val="24"/>
          <w:szCs w:val="24"/>
          <w:color w:val="auto"/>
        </w:rPr>
      </w:pPr>
    </w:p>
    <w:p>
      <w:pPr>
        <w:ind w:left="166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ectPr>
          <w:pgSz w:w="11900" w:h="16838" w:orient="portrait"/>
          <w:cols w:equalWidth="0" w:num="2">
            <w:col w:w="6260" w:space="720"/>
            <w:col w:w="3260"/>
          </w:cols>
          <w:pgMar w:left="840" w:top="661" w:right="819" w:bottom="1440" w:gutter="0" w:footer="0" w:header="0"/>
          <w:type w:val="continuous"/>
        </w:sectPr>
      </w:pPr>
    </w:p>
    <w:p>
      <w:pPr>
        <w:ind w:left="170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ectPr>
          <w:pgSz w:w="11900" w:h="16838" w:orient="portrait"/>
          <w:cols w:equalWidth="0" w:num="2">
            <w:col w:w="5860" w:space="720"/>
            <w:col w:w="3660"/>
          </w:cols>
          <w:pgMar w:left="840" w:top="661" w:right="819" w:bottom="1440" w:gutter="0" w:footer="0" w:header="0"/>
          <w:type w:val="continuous"/>
        </w:sectPr>
      </w:pPr>
    </w:p>
    <w:p>
      <w:pPr>
        <w:ind w:left="658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ectPr>
          <w:pgSz w:w="11900" w:h="16838" w:orient="portrait"/>
          <w:cols w:equalWidth="0" w:num="1">
            <w:col w:w="10240"/>
          </w:cols>
          <w:pgMar w:left="840" w:top="661" w:right="819" w:bottom="1440" w:gutter="0" w:footer="0" w:header="0"/>
          <w:type w:val="continuous"/>
        </w:sectPr>
      </w:pPr>
    </w:p>
    <w:p>
      <w:pPr>
        <w:spacing w:after="0" w:line="71" w:lineRule="exact"/>
        <w:rPr>
          <w:sz w:val="24"/>
          <w:szCs w:val="24"/>
          <w:color w:val="auto"/>
        </w:rPr>
      </w:pPr>
    </w:p>
    <w:p>
      <w:pPr>
        <w:ind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ind w:right="10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Number of shares of common stock outstanding as of March 31, 2022: 40,541,412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103505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Income and Comprehensive Income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Part II—OTHER INFORMATION</w:t>
            </w:r>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Income and Comprehensive Income </w:t>
      </w:r>
      <w:r>
        <w:rPr>
          <w:rFonts w:ascii="Times New Roman" w:cs="Times New Roman" w:eastAsia="Times New Roman" w:hAnsi="Times New Roman"/>
          <w:sz w:val="18"/>
          <w:szCs w:val="18"/>
          <w:color w:val="auto"/>
        </w:rPr>
        <w:t>(Unaudited)</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Pr>
          <w:p>
            <w:pPr>
              <w:spacing w:after="0"/>
              <w:rPr>
                <w:sz w:val="20"/>
                <w:szCs w:val="20"/>
                <w:color w:val="auto"/>
              </w:rPr>
            </w:pPr>
          </w:p>
        </w:tc>
        <w:tc>
          <w:tcPr>
            <w:tcW w:w="16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09"/>
        </w:trPr>
        <w:tc>
          <w:tcPr>
            <w:tcW w:w="70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from SSAT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r>
              <w:rPr>
                <w:rFonts w:ascii="Times New Roman" w:cs="Times New Roman" w:eastAsia="Times New Roman" w:hAnsi="Times New Roman"/>
                <w:sz w:val="18"/>
                <w:szCs w:val="18"/>
                <w:u w:val="single" w:color="auto"/>
                <w:color w:val="auto"/>
              </w:rPr>
              <w:t>1</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$11.4 million and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 million, respectively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 SSAT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3,977.5</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3,977.5</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Reconciling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Income from SSAT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(34.0)</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 from SSAT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(27.7)</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dry-docking payments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dry-docking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Capitalized vessel construction expenditures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capital expenditures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deposits into Capital Construction Fund</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Withdrawals from Capital Construction Fund</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Repayments of debt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2"/>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(12.9)</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Matson common stock</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 withholding related to net share settlements of restricted stock units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End of the Period: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the Period</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paid, net of capitalized interest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payments and (refunds), net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Information: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included in accounts payable, accruals and other liabilities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Shareholders’ Equity </w:t>
      </w:r>
      <w:r>
        <w:rPr>
          <w:rFonts w:ascii="Times New Roman" w:cs="Times New Roman" w:eastAsia="Times New Roman" w:hAnsi="Times New Roman"/>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08"/>
        </w:trPr>
        <w:tc>
          <w:tcPr>
            <w:tcW w:w="4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20" w:type="dxa"/>
            <w:vAlign w:val="bottom"/>
          </w:tcPr>
          <w:p>
            <w:pPr>
              <w:spacing w:after="0"/>
              <w:rPr>
                <w:sz w:val="9"/>
                <w:szCs w:val="9"/>
                <w:color w:val="auto"/>
              </w:rPr>
            </w:pPr>
          </w:p>
        </w:tc>
        <w:tc>
          <w:tcPr>
            <w:tcW w:w="960" w:type="dxa"/>
            <w:vAlign w:val="bottom"/>
            <w:gridSpan w:val="4"/>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3"/>
                <w:szCs w:val="13"/>
                <w:color w:val="auto"/>
              </w:rPr>
            </w:pP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3"/>
                <w:szCs w:val="13"/>
                <w:color w:val="auto"/>
              </w:rPr>
            </w:pPr>
          </w:p>
        </w:tc>
        <w:tc>
          <w:tcPr>
            <w:tcW w:w="9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$ 30.7</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$ 314.1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1,667.4</w:t>
            </w:r>
          </w:p>
        </w:tc>
      </w:tr>
      <w:tr>
        <w:trPr>
          <w:trHeight w:val="216"/>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w:t>
            </w:r>
          </w:p>
        </w:tc>
      </w:tr>
      <w:tr>
        <w:trPr>
          <w:trHeight w:val="216"/>
        </w:trPr>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6"/>
        </w:trPr>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6"/>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62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(0.7)</w:t>
            </w: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(0.5)</w:t>
            </w: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16"/>
        </w:trPr>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($0.30 per share)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19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March 31, 2022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$ 30.4</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$ 296.2</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1,614.8</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1,910.7</w:t>
            </w: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7"/>
        </w:trPr>
        <w:tc>
          <w:tcPr>
            <w:tcW w:w="4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55"/>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08"/>
        </w:trPr>
        <w:tc>
          <w:tcPr>
            <w:tcW w:w="4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2"/>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80" w:type="dxa"/>
            <w:vAlign w:val="bottom"/>
            <w:gridSpan w:val="5"/>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9"/>
                <w:szCs w:val="9"/>
                <w:color w:val="auto"/>
              </w:rPr>
            </w:pPr>
          </w:p>
        </w:tc>
        <w:tc>
          <w:tcPr>
            <w:tcW w:w="780" w:type="dxa"/>
            <w:vAlign w:val="bottom"/>
            <w:gridSpan w:val="4"/>
          </w:tcPr>
          <w:p>
            <w:pPr>
              <w:jc w:val="right"/>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80" w:type="dxa"/>
            <w:vAlign w:val="bottom"/>
          </w:tcPr>
          <w:p>
            <w:pPr>
              <w:spacing w:after="0"/>
              <w:rPr>
                <w:sz w:val="13"/>
                <w:szCs w:val="13"/>
                <w:color w:val="auto"/>
              </w:rPr>
            </w:pPr>
          </w:p>
        </w:tc>
        <w:tc>
          <w:tcPr>
            <w:tcW w:w="5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3"/>
                <w:szCs w:val="13"/>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3"/>
                <w:szCs w:val="13"/>
                <w:color w:val="auto"/>
              </w:rPr>
            </w:pP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0" w:type="dxa"/>
            <w:vAlign w:val="bottom"/>
          </w:tcPr>
          <w:p>
            <w:pPr>
              <w:spacing w:after="0"/>
              <w:rPr>
                <w:sz w:val="13"/>
                <w:szCs w:val="13"/>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$ 32.4</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$ 321.5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961.2</w:t>
            </w:r>
          </w:p>
        </w:tc>
      </w:tr>
      <w:tr>
        <w:trPr>
          <w:trHeight w:val="216"/>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16"/>
        </w:trPr>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6"/>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6"/>
        </w:trPr>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6"/>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($0.23 per share)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0"/>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$ 312.0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1,028.9</w:t>
            </w: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40" w:hanging="590"/>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primarily from China to Long Beach, California, and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8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200" w:lineRule="exact"/>
        <w:rPr>
          <w:sz w:val="20"/>
          <w:szCs w:val="20"/>
          <w:color w:val="auto"/>
        </w:rPr>
      </w:pPr>
    </w:p>
    <w:p>
      <w:pPr>
        <w:spacing w:after="0" w:line="204" w:lineRule="exact"/>
        <w:rPr>
          <w:sz w:val="20"/>
          <w:szCs w:val="20"/>
          <w:color w:val="auto"/>
        </w:rPr>
      </w:pPr>
    </w:p>
    <w:p>
      <w:pPr>
        <w:ind w:left="640" w:hanging="590"/>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are unaudited, and include the accounts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3"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Consolidated Financial Statements and notes thereto included in the Company’s Annual Report on Form 10-K for the year ended December 31, 2021, filed with the Securities and Exchange Commission (“SEC”) on February 25,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Period: </w:t>
      </w:r>
      <w:r>
        <w:rPr>
          <w:rFonts w:ascii="Times New Roman" w:cs="Times New Roman" w:eastAsia="Times New Roman" w:hAnsi="Times New Roman"/>
          <w:sz w:val="18"/>
          <w:szCs w:val="18"/>
          <w:color w:val="auto"/>
        </w:rPr>
        <w:t>The period end for Matson covered by this report is March 31, 2022. The period end for MatNav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covered by this report occurred on April 1, 2022.</w:t>
      </w:r>
    </w:p>
    <w:p>
      <w:pPr>
        <w:spacing w:after="0" w:line="15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w:t>
      </w:r>
      <w:r>
        <w:rPr>
          <w:rFonts w:ascii="Times New Roman" w:cs="Times New Roman" w:eastAsia="Times New Roman" w:hAnsi="Times New Roman"/>
          <w:sz w:val="18"/>
          <w:szCs w:val="18"/>
          <w:color w:val="auto"/>
        </w:rPr>
        <w:t>The Company’s significant accounting policies are described in Note 2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of the Company’s Annual Report on Form 10-K for the year ended December 31, 2021.</w:t>
      </w:r>
    </w:p>
    <w:p>
      <w:pPr>
        <w:spacing w:after="0" w:line="171" w:lineRule="exact"/>
        <w:rPr>
          <w:sz w:val="20"/>
          <w:szCs w:val="20"/>
          <w:color w:val="auto"/>
        </w:rPr>
      </w:pPr>
    </w:p>
    <w:p>
      <w:pPr>
        <w:ind w:left="60" w:right="19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the interim Condensed Consolidated Financial Statements in conformity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note receivables; legal contingencies; insurance reserves and other related liabilities; accrual estimates; pension and post-retirement estimates; multi-employer withdrawal liabilities; operating lease assets and liabilities; income from SSAT; and income taxes. Future results could be materially affected if actual results differ from these estimates and assumptions.</w:t>
      </w:r>
    </w:p>
    <w:p>
      <w:pPr>
        <w:spacing w:after="0" w:line="171"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Condensed Consolidated Financial Statements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100" w:lineRule="exact"/>
        <w:rPr>
          <w:sz w:val="20"/>
          <w:szCs w:val="20"/>
          <w:color w:val="auto"/>
        </w:rPr>
      </w:pPr>
    </w:p>
    <w:p>
      <w:pPr>
        <w:ind w:left="380" w:right="119"/>
        <w:spacing w:after="0" w:line="255" w:lineRule="auto"/>
        <w:rPr>
          <w:sz w:val="20"/>
          <w:szCs w:val="20"/>
          <w:color w:val="auto"/>
        </w:rPr>
      </w:pPr>
      <w:r>
        <w:rPr>
          <w:rFonts w:ascii="Times New Roman" w:cs="Times New Roman" w:eastAsia="Times New Roman" w:hAnsi="Times New Roman"/>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spacing w:after="0" w:line="2" w:lineRule="exact"/>
        <w:rPr>
          <w:sz w:val="20"/>
          <w:szCs w:val="20"/>
          <w:color w:val="auto"/>
        </w:rPr>
      </w:pPr>
    </w:p>
    <w:p>
      <w:pPr>
        <w:ind w:left="380" w:right="179"/>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 are recognized as incurred.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and distribution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and other services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6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479" w:hanging="330"/>
        <w:spacing w:after="0" w:line="24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approximately 6.5 percent of transportation brokerage and freight forwarding services revenue, and supply chain management and other services revenue categories which are denominated in foreign currencies.</w:t>
      </w:r>
    </w:p>
    <w:p>
      <w:pPr>
        <w:spacing w:after="0" w:line="113" w:lineRule="exact"/>
        <w:rPr>
          <w:sz w:val="20"/>
          <w:szCs w:val="20"/>
          <w:color w:val="auto"/>
        </w:rPr>
      </w:pPr>
    </w:p>
    <w:p>
      <w:pPr>
        <w:ind w:left="380" w:right="99"/>
        <w:spacing w:after="0" w:line="258"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99"/>
        <w:spacing w:after="0" w:line="261" w:lineRule="auto"/>
        <w:rPr>
          <w:sz w:val="20"/>
          <w:szCs w:val="20"/>
          <w:color w:val="auto"/>
        </w:rPr>
      </w:pPr>
      <w:r>
        <w:rPr>
          <w:rFonts w:ascii="Times New Roman" w:cs="Times New Roman" w:eastAsia="Times New Roman" w:hAnsi="Times New Roman"/>
          <w:sz w:val="18"/>
          <w:szCs w:val="18"/>
          <w:color w:val="auto"/>
        </w:rPr>
        <w:t>the Company serves as the principal in these transactions because it is responsible for fulfilling the contractual arrangements with the customer and has latitude in establishing prices.</w:t>
      </w:r>
    </w:p>
    <w:p>
      <w:pPr>
        <w:ind w:left="380" w:right="99"/>
        <w:spacing w:after="0" w:line="250" w:lineRule="auto"/>
        <w:rPr>
          <w:sz w:val="20"/>
          <w:szCs w:val="20"/>
          <w:color w:val="auto"/>
        </w:rPr>
      </w:pPr>
      <w:r>
        <w:rPr>
          <w:rFonts w:ascii="Times New Roman" w:cs="Times New Roman" w:eastAsia="Times New Roman" w:hAnsi="Times New Roman"/>
          <w:sz w:val="18"/>
          <w:szCs w:val="18"/>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1" w:lineRule="exact"/>
        <w:rPr>
          <w:sz w:val="20"/>
          <w:szCs w:val="20"/>
          <w:color w:val="auto"/>
        </w:rPr>
      </w:pPr>
    </w:p>
    <w:p>
      <w:pPr>
        <w:ind w:left="380" w:right="319"/>
        <w:spacing w:after="0" w:line="260" w:lineRule="auto"/>
        <w:rPr>
          <w:sz w:val="20"/>
          <w:szCs w:val="20"/>
          <w:color w:val="auto"/>
        </w:rPr>
      </w:pPr>
      <w:r>
        <w:rPr>
          <w:rFonts w:ascii="Times New Roman" w:cs="Times New Roman" w:eastAsia="Times New Roman" w:hAnsi="Times New Roman"/>
          <w:sz w:val="18"/>
          <w:szCs w:val="18"/>
          <w:color w:val="auto"/>
        </w:rPr>
        <w:t>Supply chain management and other services revenue, and related costs are recognized in proportion to the services performed.</w:t>
      </w:r>
    </w:p>
    <w:p>
      <w:pPr>
        <w:spacing w:after="0" w:line="18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8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Company’s Capital Construction Fund (“CCF”) is described in Note 7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of the Company’s Annual Report on Form 10-K for the year ended December 31, 2021. As of March 31, 2022 and December 31, 2021, $9.8 million of eligible accounts receivable was assigned to the CCF.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three months ended March 31, 2022, the Company deposited $10.7 million into the CCF and made qualifying cash withdrawals of $10.7 million from the CCF. The balance of cash on deposit at March 31, 2022 and December 31, 2021 was nominal.</w:t>
      </w:r>
    </w:p>
    <w:p>
      <w:pPr>
        <w:spacing w:after="0" w:line="185" w:lineRule="exact"/>
        <w:rPr>
          <w:sz w:val="20"/>
          <w:szCs w:val="20"/>
          <w:color w:val="auto"/>
        </w:rPr>
      </w:pPr>
    </w:p>
    <w:p>
      <w:pPr>
        <w:ind w:left="60" w:right="1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SSAT: </w:t>
      </w:r>
      <w:r>
        <w:rPr>
          <w:rFonts w:ascii="Times New Roman" w:cs="Times New Roman" w:eastAsia="Times New Roman" w:hAnsi="Times New Roman"/>
          <w:sz w:val="18"/>
          <w:szCs w:val="18"/>
          <w:color w:val="auto"/>
        </w:rPr>
        <w:t>Condensed income statement information for SSAT for the three months ended March 31,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consisted of the following:</w:t>
      </w: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(306.9)</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Income (1)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Company Share of SSAT’s Net Income (2)</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from equity method investments held by SSAT less earnings allocated to non-controlling interests.</w:t>
      </w:r>
    </w:p>
    <w:p>
      <w:pPr>
        <w:spacing w:after="0" w:line="3" w:lineRule="exact"/>
        <w:rPr>
          <w:rFonts w:ascii="Times New Roman" w:cs="Times New Roman" w:eastAsia="Times New Roman" w:hAnsi="Times New Roman"/>
          <w:sz w:val="14"/>
          <w:szCs w:val="14"/>
          <w:color w:val="auto"/>
        </w:rPr>
      </w:pPr>
    </w:p>
    <w:p>
      <w:pPr>
        <w:ind w:left="380" w:right="759" w:hanging="330"/>
        <w:spacing w:after="0" w:line="239"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its share of net income from SSAT in costs and expenses in the Condensed Consolidated Statement of Income and Comprehensive Income due to the nature of SSAT’s operations.</w:t>
      </w:r>
    </w:p>
    <w:p>
      <w:pPr>
        <w:spacing w:after="0" w:line="113"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Company’s investment in SSAT was $92.7 million and $58.7 million at March 31, 2022 and December 31, 2021, respectively.</w:t>
      </w:r>
    </w:p>
    <w:p>
      <w:pPr>
        <w:spacing w:after="0" w:line="158"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Company’s first quarter 2022 cash dividend of $0.30 per share was paid on March 3, 2022. On April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the Company’s Board of Directors declared a cash dividend of $0.30 per share payable on June 2, 2022 to shareholders of record on May 12, 2022.</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months ended March 31, 2022, the Company repurchased approximately</w:t>
      </w:r>
    </w:p>
    <w:p>
      <w:pPr>
        <w:spacing w:after="0" w:line="31"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0.7 million shares for a total cost of $68.6 million. On January 27, 2022 the Company announced an increase of three million shares in its existing share repurchase program. As of March 31, 2022, the maximum number of remaining shares that may be repurchased under the Company’s stock repurchase program was approximately 2.8 million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80"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87"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$73.2 million and $33.7 million for the three months ended March 31, 2022 and 2021, respectively, have been eliminated from operating revenues in the table below.</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three months ended March 31, 2022 and 2021 are as follows: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Ocean Transportation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 (2)</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196"/>
        </w:trPr>
        <w:tc>
          <w:tcPr>
            <w:tcW w:w="70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Ocean Transportation (3)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7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70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239" w:hanging="330"/>
        <w:spacing w:after="0" w:line="233"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$21.8 million and $15.1 million for the three months ended March 31, 2022 and 2021, respectively.</w:t>
      </w:r>
    </w:p>
    <w:p>
      <w:pPr>
        <w:ind w:left="380" w:right="399" w:hanging="330"/>
        <w:spacing w:after="0" w:line="22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$51.4 million and $18.6 million for the three months ended March 31, 2022 and 2021, respectively.</w:t>
      </w:r>
    </w:p>
    <w:p>
      <w:pPr>
        <w:ind w:left="380" w:right="279" w:hanging="330"/>
        <w:spacing w:after="0" w:line="239"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segment information includes $34.0 million and $9.2 million of equity in income from the Company’s equity investment in SSAT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March 31, 2022 and December 31, 2021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Vessels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2,245.2</w:t>
            </w:r>
          </w:p>
        </w:tc>
        <w:tc>
          <w:tcPr>
            <w:tcW w:w="2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Terminal facilities and other property</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Vessel construction in progress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(1,239.8)</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(1,209.1)</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590"/>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 by segment as of March 31, 2022 and December 31, 2021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76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Ocean</w:t>
            </w:r>
          </w:p>
        </w:tc>
        <w:tc>
          <w:tcPr>
            <w:tcW w:w="160" w:type="dxa"/>
            <w:vAlign w:val="bottom"/>
          </w:tcPr>
          <w:p>
            <w:pPr>
              <w:spacing w:after="0"/>
              <w:rPr>
                <w:sz w:val="13"/>
                <w:szCs w:val="13"/>
                <w:color w:val="auto"/>
              </w:rPr>
            </w:pPr>
          </w:p>
        </w:tc>
        <w:tc>
          <w:tcPr>
            <w:tcW w:w="8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7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40" w:type="dxa"/>
            <w:vAlign w:val="bottom"/>
            <w:gridSpan w:val="2"/>
            <w:vMerge w:val="continue"/>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Intangible assets as of March 31, 2022 and December 31, 2021 consisted of the following:</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5"/>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Ocean Transportation</w:t>
            </w:r>
          </w:p>
        </w:tc>
        <w:tc>
          <w:tcPr>
            <w:tcW w:w="180" w:type="dxa"/>
            <w:vAlign w:val="bottom"/>
          </w:tcPr>
          <w:p>
            <w:pPr>
              <w:spacing w:after="0"/>
              <w:rPr>
                <w:sz w:val="18"/>
                <w:szCs w:val="18"/>
                <w:color w:val="auto"/>
              </w:rPr>
            </w:pPr>
          </w:p>
        </w:tc>
        <w:tc>
          <w:tcPr>
            <w:tcW w:w="76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Customer Relationships,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due to COVID-19 and its impact on the performance of each of the Company’s reporting units. Based on the Company’s assessment of its market capitalization, future forecasts and the amount of excess of fair value over the carrying value of the reporting units in the 2021 annual impairment tests, the Company concluded that an impairment triggering event did not occur during the three months ended March 31, 2022.</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2022 and December 31, 2021, the Company’s debt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3.66 %, payable through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4.16 %, payable through 2027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4.31 %, payable through 2032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Title XI Debt: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5.34 %, payable through 2028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5.27 %, payable through 2029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9"/>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loan fees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Company’s debt is described in Note 8 to the Consolidated Financial Statements included in the Company’s Annual Report on Form 10-K for the year ended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The Company’s revolving credit facility has committed available borrowing of up to</w:t>
      </w:r>
    </w:p>
    <w:p>
      <w:pPr>
        <w:spacing w:after="0" w:line="31" w:lineRule="exact"/>
        <w:rPr>
          <w:sz w:val="20"/>
          <w:szCs w:val="20"/>
          <w:color w:val="auto"/>
        </w:rPr>
      </w:pPr>
    </w:p>
    <w:p>
      <w:pPr>
        <w:ind w:left="60" w:right="259" w:firstLine="45"/>
        <w:spacing w:after="0" w:line="253" w:lineRule="auto"/>
        <w:rPr>
          <w:sz w:val="20"/>
          <w:szCs w:val="20"/>
          <w:color w:val="auto"/>
        </w:rPr>
      </w:pPr>
      <w:r>
        <w:rPr>
          <w:rFonts w:ascii="Times New Roman" w:cs="Times New Roman" w:eastAsia="Times New Roman" w:hAnsi="Times New Roman"/>
          <w:sz w:val="18"/>
          <w:szCs w:val="18"/>
          <w:color w:val="auto"/>
        </w:rPr>
        <w:t>$650 million and matures on March 31, 2026. As of March 31, 2022, the Company had $642.0 million of remaining borrowing availability under the revolving credit facility. The Company used $8.0 million of the revolving credit facility for letters of credit outstanding as of March 31, 2022. There were no outstanding borrowings under the revolving credit facility as of March 31, 2022 and December 31, 2021.</w:t>
      </w:r>
    </w:p>
    <w:p>
      <w:pPr>
        <w:spacing w:after="0" w:line="18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Security and Guarantees: </w:t>
      </w:r>
      <w:r>
        <w:rPr>
          <w:rFonts w:ascii="Times New Roman" w:cs="Times New Roman" w:eastAsia="Times New Roman" w:hAnsi="Times New Roman"/>
          <w:sz w:val="18"/>
          <w:szCs w:val="18"/>
          <w:color w:val="auto"/>
        </w:rPr>
        <w:t>All of the debt of the Company and MatNav, including related guarantees, as of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was unsecured, except for the Title XI debt.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As of March 31, 2022, debt maturities during the next five years and thereafter are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20" w:type="dxa"/>
            <w:vAlign w:val="bottom"/>
          </w:tcPr>
          <w:p>
            <w:pPr>
              <w:spacing w:after="0"/>
              <w:rPr>
                <w:sz w:val="13"/>
                <w:szCs w:val="13"/>
                <w:color w:val="auto"/>
              </w:rPr>
            </w:pP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Company’s leases are described in Note 9 to the Consolidated Financial Statements included in Part II, Item 8 of the Company’s Annual Report on Form 10-K for the year ended December 31,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Condensed Consolidated Statement of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and Comprehensive Income for the three months ended March 31, 2022 and 2021 consisted of the following:</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6"/>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6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at March 31, 2022 are as follows:</w:t>
            </w: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5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20" w:hanging="570"/>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consisted of the following:</w:t>
      </w:r>
    </w:p>
    <w:tbl>
      <w:tblPr>
        <w:tblLayout w:type="fixed"/>
        <w:tblInd w:w="40" w:type="dxa"/>
        <w:tblCellMar>
          <w:top w:w="0" w:type="dxa"/>
          <w:left w:w="0" w:type="dxa"/>
          <w:bottom w:w="0" w:type="dxa"/>
          <w:right w:w="0" w:type="dxa"/>
        </w:tblCellMar>
      </w:tblPr>
      <w:tr>
        <w:trPr>
          <w:trHeight w:val="146"/>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720" w:type="dxa"/>
            <w:vAlign w:val="bottom"/>
            <w:gridSpan w:val="3"/>
            <w:vMerge w:val="continue"/>
          </w:tcPr>
          <w:p>
            <w:pPr>
              <w:spacing w:after="0"/>
              <w:rPr>
                <w:sz w:val="15"/>
                <w:szCs w:val="15"/>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2021 consisted of the following:</w:t>
      </w:r>
    </w:p>
    <w:tbl>
      <w:tblPr>
        <w:tblLayout w:type="fixed"/>
        <w:tblInd w:w="40" w:type="dxa"/>
        <w:tblCellMar>
          <w:top w:w="0" w:type="dxa"/>
          <w:left w:w="0" w:type="dxa"/>
          <w:bottom w:w="0" w:type="dxa"/>
          <w:right w:w="0" w:type="dxa"/>
        </w:tblCellMar>
      </w:tblPr>
      <w:tr>
        <w:trPr>
          <w:trHeight w:val="146"/>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720" w:type="dxa"/>
            <w:vAlign w:val="bottom"/>
            <w:gridSpan w:val="3"/>
            <w:vMerge w:val="continue"/>
          </w:tcPr>
          <w:p>
            <w:pPr>
              <w:spacing w:after="0"/>
              <w:rPr>
                <w:sz w:val="15"/>
                <w:szCs w:val="15"/>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590"/>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1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as of March 31, 2022 and December 31, 2021 are as follows:</w:t>
      </w:r>
    </w:p>
    <w:tbl>
      <w:tblPr>
        <w:tblLayout w:type="fixed"/>
        <w:tblInd w:w="40" w:type="dxa"/>
        <w:tblCellMar>
          <w:top w:w="0" w:type="dxa"/>
          <w:left w:w="0" w:type="dxa"/>
          <w:bottom w:w="0" w:type="dxa"/>
          <w:right w:w="0" w:type="dxa"/>
        </w:tblCellMar>
      </w:tblPr>
      <w:tr>
        <w:trPr>
          <w:trHeight w:val="137"/>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02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2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28"/>
        </w:trPr>
        <w:tc>
          <w:tcPr>
            <w:tcW w:w="3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9"/>
          </w:tcPr>
          <w:p>
            <w:pPr>
              <w:ind w:left="64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Measurements at March 31, 2022</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24"/>
                <w:szCs w:val="24"/>
                <w:color w:val="auto"/>
              </w:rPr>
            </w:pPr>
          </w:p>
        </w:tc>
        <w:tc>
          <w:tcPr>
            <w:tcW w:w="3760" w:type="dxa"/>
            <w:vAlign w:val="bottom"/>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720" w:hanging="670"/>
        <w:spacing w:after="0"/>
        <w:tabs>
          <w:tab w:leader="none" w:pos="7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March 31, 2022 and 2021.</w:t>
      </w:r>
    </w:p>
    <w:p>
      <w:pPr>
        <w:spacing w:after="0" w:line="112" w:lineRule="exact"/>
        <w:rPr>
          <w:sz w:val="20"/>
          <w:szCs w:val="20"/>
          <w:color w:val="auto"/>
        </w:rPr>
      </w:pPr>
    </w:p>
    <w:p>
      <w:pPr>
        <w:ind w:left="60" w:right="479"/>
        <w:spacing w:after="0" w:line="265" w:lineRule="auto"/>
        <w:rPr>
          <w:sz w:val="20"/>
          <w:szCs w:val="20"/>
          <w:color w:val="auto"/>
        </w:rPr>
      </w:pPr>
      <w:r>
        <w:rPr>
          <w:rFonts w:ascii="Times New Roman" w:cs="Times New Roman" w:eastAsia="Times New Roman" w:hAnsi="Times New Roman"/>
          <w:sz w:val="18"/>
          <w:szCs w:val="18"/>
          <w:color w:val="auto"/>
        </w:rPr>
        <w:t>The computations for basic and diluted earnings per share for the three months ended March 31, 2022 and 2021 are as follows:</w:t>
      </w:r>
    </w:p>
    <w:tbl>
      <w:tblPr>
        <w:tblLayout w:type="fixed"/>
        <w:tblInd w:w="40" w:type="dxa"/>
        <w:tblCellMar>
          <w:top w:w="0" w:type="dxa"/>
          <w:left w:w="0" w:type="dxa"/>
          <w:bottom w:w="0" w:type="dxa"/>
          <w:right w:w="0" w:type="dxa"/>
        </w:tblCellMar>
      </w:tblPr>
      <w:tr>
        <w:trPr>
          <w:trHeight w:val="155"/>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7"/>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Year Ended March 31, 2022</w:t>
            </w:r>
          </w:p>
        </w:tc>
        <w:tc>
          <w:tcPr>
            <w:tcW w:w="160" w:type="dxa"/>
            <w:vAlign w:val="bottom"/>
          </w:tcPr>
          <w:p>
            <w:pPr>
              <w:spacing w:after="0"/>
              <w:rPr>
                <w:sz w:val="13"/>
                <w:szCs w:val="13"/>
                <w:color w:val="auto"/>
              </w:rPr>
            </w:pPr>
          </w:p>
        </w:tc>
        <w:tc>
          <w:tcPr>
            <w:tcW w:w="258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Year Ended March 31, 2021</w:t>
            </w:r>
          </w:p>
        </w:tc>
      </w:tr>
      <w:tr>
        <w:trPr>
          <w:trHeight w:val="122"/>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rPr>
              <w:t>Per</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rPr>
              <w:t>Per</w:t>
            </w:r>
          </w:p>
        </w:tc>
        <w:tc>
          <w:tcPr>
            <w:tcW w:w="40" w:type="dxa"/>
            <w:vAlign w:val="bottom"/>
          </w:tcPr>
          <w:p>
            <w:pPr>
              <w:spacing w:after="0"/>
              <w:rPr>
                <w:sz w:val="10"/>
                <w:szCs w:val="10"/>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Common</w:t>
            </w:r>
          </w:p>
        </w:tc>
      </w:tr>
      <w:tr>
        <w:trPr>
          <w:trHeight w:val="149"/>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Share</w:t>
            </w:r>
          </w:p>
        </w:tc>
      </w:tr>
      <w:tr>
        <w:trPr>
          <w:trHeight w:val="155"/>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96"/>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r>
      <w:tr>
        <w:trPr>
          <w:trHeight w:val="199"/>
        </w:trPr>
        <w:tc>
          <w:tcPr>
            <w:tcW w:w="3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4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approximately 168,100 in total of time-based restricted stock units and performance-based shares to certain of its employees at a weighted average grant date fair value of $101.38 per share.</w:t>
      </w:r>
    </w:p>
    <w:p>
      <w:pPr>
        <w:spacing w:after="0" w:line="1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Total share-based compensation cost recognized in the Condensed Consolidated Statements of Income and Comprehensive Income as a component of selling, general and administrative expenses was $4.7 million and $4.8 million for the three months ended March 31, 2022 and 2021, respectively. Total unrecognized compensation cost related to unvested share-based compensation arrangements was $33.1 million at March 31, 2022, and is expected to be recognized over a weighted average period of approximately 2.3 years. Total unrecognized compensation cost may be adjusted for any unearned performance shares or forfeited shares.</w:t>
      </w:r>
    </w:p>
    <w:p>
      <w:pPr>
        <w:spacing w:after="0" w:line="305" w:lineRule="exact"/>
        <w:rPr>
          <w:sz w:val="20"/>
          <w:szCs w:val="20"/>
          <w:color w:val="auto"/>
        </w:rPr>
      </w:pPr>
    </w:p>
    <w:p>
      <w:pPr>
        <w:ind w:left="720" w:hanging="670"/>
        <w:spacing w:after="0"/>
        <w:tabs>
          <w:tab w:leader="none" w:pos="7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148" w:lineRule="exact"/>
        <w:rPr>
          <w:sz w:val="20"/>
          <w:szCs w:val="20"/>
          <w:color w:val="auto"/>
        </w:rPr>
      </w:pPr>
    </w:p>
    <w:p>
      <w:pPr>
        <w:ind w:left="60" w:right="459"/>
        <w:spacing w:after="0" w:line="258" w:lineRule="auto"/>
        <w:rPr>
          <w:sz w:val="20"/>
          <w:szCs w:val="20"/>
          <w:color w:val="auto"/>
        </w:rPr>
      </w:pPr>
      <w:r>
        <w:rPr>
          <w:rFonts w:ascii="Times New Roman" w:cs="Times New Roman" w:eastAsia="Times New Roman" w:hAnsi="Times New Roman"/>
          <w:sz w:val="18"/>
          <w:szCs w:val="18"/>
          <w:color w:val="auto"/>
        </w:rPr>
        <w:t>The Company’s pension and post-retirement plans are described in Note 11 to the Consolidated Financial Statements included in Part II, Item 8 of the Company’s Annual Report on Form 10-K for the year ended December 31, 2021. Components of net periodic benefit cost and other amounts recognized in Other Comprehensive Income (Loss) for the qualified pension plans and the post-retirement benefit plans for the three months ended March 31, 2022 and 2021 consisted of the following:</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80" w:type="dxa"/>
            <w:vAlign w:val="bottom"/>
          </w:tcPr>
          <w:p>
            <w:pPr>
              <w:spacing w:after="0"/>
              <w:rPr>
                <w:sz w:val="13"/>
                <w:szCs w:val="13"/>
                <w:color w:val="auto"/>
              </w:rPr>
            </w:pPr>
          </w:p>
        </w:tc>
        <w:tc>
          <w:tcPr>
            <w:tcW w:w="186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(benefit)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720" w:hanging="670"/>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environmental remediation. Except as described below, the Company believes that based on all information available to it, the Company is currently in compliance, in all material respects, with applicable environmental laws and regulations.</w:t>
      </w:r>
    </w:p>
    <w:p>
      <w:pPr>
        <w:spacing w:after="0" w:line="17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2021 and 2022 violations could, in the aggregate, reasonably be expected to exceed $1 million, they are not expected to be material to the Company’s financial condition, results of operations, or cash flows.</w:t>
      </w:r>
    </w:p>
    <w:p>
      <w:pPr>
        <w:spacing w:after="0" w:line="186"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9"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8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This report, and other statements that the Company may make, may contain forward-looking statements with respect to the Company’s future financial, business or environmental, social and governance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“design,” “goal,” “plan,” or similar expressions, or future or conditional verbs such as “will,” “would,” “should,” “could,” “may” or similar expressions.</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2021.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 the Company’s Condensed Consolidated Financial Statements. MD&amp;A is provided as a supplement to the Condensed Consolidated Financial Statements and notes herein, and should be read in conjunction with the Company’s </w:t>
      </w:r>
      <w:hyperlink r:id="rId26">
        <w:r>
          <w:rPr>
            <w:rFonts w:ascii="Times New Roman" w:cs="Times New Roman" w:eastAsia="Times New Roman" w:hAnsi="Times New Roman"/>
            <w:sz w:val="18"/>
            <w:szCs w:val="18"/>
            <w:u w:val="single" w:color="auto"/>
            <w:color w:val="0000EE"/>
          </w:rPr>
          <w:t>Annual Report on Form 10-K for the year ended December 31,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Company’s reports on Forms 10-Q and 8-K,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publicly available information.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2022 DISCUSSION AND UPDATE ON BUSINESS CONDITIONS</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first quarter 2022 was 0.6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year-over-year. The decrease was primarily due to lower eastbound volume. During the quarter, we continued to see elevated hospitality-related demand as a result of strong domestic tourist arrivals and modest improvement in international visitor traffic. In the near-term, we are cautiously optimistic on further economic recovery in Hawaii in 2022. The positive trends include further improvement in the unemployment rate and increasing tourism traffic, including meaningful international visitor traffic later in the year, but incremental waves of COVID-19 variants present the possibility of further economic slowdowns and the loss of federal stimulus coupled with inflation and higher interest rates may impact discretionary income.</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China, the Company’s container volume in the first quarter 2022 increased 13.4 percent year-over-year. The increase was a result of five more eastbound voyages than the prior year. Volume demand in the quarter was driven by e-commerce, garments and other goods. Matson continued to realize a significant rate premium over the Shanghai Containerized Freight Index in the first quarter 2022 and achieved average freight rates that were considerably higher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than in the year ago period. Currently in the Transpacific tradelane, we are seeing supply chain challenges in China, primarily due to actions to mitigate the spread of COVID-19, as well as continued supply chain constraints and congestion on the U.S. West Coast, elevated consumption trends, and inventory restocking. Despite the near-term uncertainty presented by the supply chain challenges in China, we expect a combination of the current supply and demand factors to remain largely in place through at least the October peak season and continue to expect elevated demand for our China service for most of this year.</w:t>
      </w:r>
    </w:p>
    <w:p>
      <w:pPr>
        <w:spacing w:after="0" w:line="18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In Guam, the Company’s container volume in the first quarter 2022 increased 10.0 percent year-over-year primarily due to higher retail-related demand. In the near-term, we are cautiously optimistic on further economic growth in Guam as tourism traffic improves as the year progresses.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 Alaska, the Company’s container volume for the first quarter 2022 increased 20.2 percent year-over-year primarily due to (i) the increase in volume from the Alaska-Asia Express (“AAX”), (ii) higher northbound volume primarily due to higher retail-related demand and volume related to a competitor’s dry-docking and (iii) higher southbound volume primarily due to higher seafood volume. In the near-term, we expect improving economic trends in Alaska, but the recovery’s trajectory continues to remain uncertain.</w:t>
      </w:r>
    </w:p>
    <w:p>
      <w:pPr>
        <w:spacing w:after="0" w:line="183"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contribution in the first quarter 2022 from the Company’s SSAT joint venture investment was $34.0 million, or $24.8 million higher than the first quarter 2021. The increase was primarily driven by higher other terminal revenue.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first quarter 2022, operating income for the Company’s Logistics segment was $16.4 million, or</w:t>
      </w:r>
    </w:p>
    <w:p>
      <w:pPr>
        <w:spacing w:after="0" w:line="29" w:lineRule="exact"/>
        <w:rPr>
          <w:sz w:val="20"/>
          <w:szCs w:val="20"/>
          <w:color w:val="auto"/>
        </w:rPr>
      </w:pPr>
    </w:p>
    <w:p>
      <w:pPr>
        <w:jc w:val="both"/>
        <w:ind w:left="60" w:right="379"/>
        <w:spacing w:after="0" w:line="255" w:lineRule="auto"/>
        <w:rPr>
          <w:sz w:val="20"/>
          <w:szCs w:val="20"/>
          <w:color w:val="auto"/>
        </w:rPr>
      </w:pPr>
      <w:r>
        <w:rPr>
          <w:rFonts w:ascii="Times New Roman" w:cs="Times New Roman" w:eastAsia="Times New Roman" w:hAnsi="Times New Roman"/>
          <w:sz w:val="18"/>
          <w:szCs w:val="18"/>
          <w:color w:val="auto"/>
        </w:rPr>
        <w:t>$10.3 million higher compared to the level achieved in the first quarter 2021. The increase was due primarily to higher contributions from all services as we continued to see elevated goods consumption, inventory restocking and favorable supply and demand fundamentals in our core markets.</w:t>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 Three months ended March 31, 2022 compared with 2021:</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(732.9)</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(591.6)</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276.0 %</w:t>
            </w:r>
          </w:p>
        </w:tc>
        <w:tc>
          <w:tcPr>
            <w:tcW w:w="0" w:type="dxa"/>
            <w:vAlign w:val="bottom"/>
          </w:tcPr>
          <w:p>
            <w:pPr>
              <w:spacing w:after="0"/>
              <w:rPr>
                <w:sz w:val="1"/>
                <w:szCs w:val="1"/>
                <w:color w:val="auto"/>
              </w:rPr>
            </w:pPr>
          </w:p>
        </w:tc>
      </w:tr>
      <w:tr>
        <w:trPr>
          <w:trHeight w:val="432"/>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312.4 %</w:t>
            </w:r>
          </w:p>
        </w:tc>
        <w:tc>
          <w:tcPr>
            <w:tcW w:w="0" w:type="dxa"/>
            <w:vAlign w:val="bottom"/>
          </w:tcPr>
          <w:p>
            <w:pPr>
              <w:spacing w:after="0"/>
              <w:rPr>
                <w:sz w:val="1"/>
                <w:szCs w:val="1"/>
                <w:color w:val="auto"/>
              </w:rPr>
            </w:pPr>
          </w:p>
        </w:tc>
      </w:tr>
      <w:tr>
        <w:trPr>
          <w:trHeight w:val="43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March 31, 2022, compared to the three months ended March 31, 2021, was due to lower outstanding debt during the period.</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Income tax expense was $90.6 million or 21.1 percent of income before income taxes for the three months ended March 31, 2022, compared to $27.1 million or 23.7 percent of income before income taxes for the three months ended March 31, 2021. The effective tax rate for the three months ended March 31, 2022 benefited from a 2.6 percent deduction related to foreign-derived intangible income (“FDII”) under Section 250 of the Internal Revenue Code that lowered the effective tax rate for the current period. The Company benefits from a FDII deduction as it relates to a U.S. corporation that generates income from services provided to or from foreign countries.</w:t>
      </w:r>
    </w:p>
    <w:p>
      <w:pPr>
        <w:sectPr>
          <w:pgSz w:w="11900" w:h="16838" w:orient="portrait"/>
          <w:cols w:equalWidth="0" w:num="1">
            <w:col w:w="9019"/>
          </w:cols>
          <w:pgMar w:left="1440" w:top="513" w:right="1440" w:bottom="339"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339"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 Three months ended March 31, 2022 compared with 2021:</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(446.4)</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44.1 %</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219" w:hanging="330"/>
        <w:spacing w:after="0" w:line="233"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Ocean Transportation revenue increased $383.4 million, or 68.4 percent, during the three months ended March 31, 2022, compared with the three months ended March 31, 2021. The increase was primarily due to higher revenue in China, higher fuel-related surcharge revenue, and higher revenue in Alaska. The higher revenue in China was primarily due to considerably higher average freight rates and higher volume. The higher revenue in Alaska was primarily the result of higher volume.</w:t>
      </w:r>
    </w:p>
    <w:p>
      <w:pPr>
        <w:spacing w:after="0" w:line="18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a year-over-year FEU basis, Hawaii container volume decreased 0.6 percent primarily due to lower eastbound volume; Alaska volume increased 20.2 percent primarily due to (i) the increase in volume from AAX, (ii) higher northbound volume primarily due to higher retail-related demand and volume related to a competitor’s dry-docking, and (iii) higher southbound volume primarily due to higher seafood volume; China volume was 13.4 percent higher as a result of five more eastbound voyages than the prior year; Guam volume was 10.0 percent higher primarily due to higher retail-related demand; and Other containers volume increased 32.5 percent primarily due to the addition of China-Auckland Express volume in the South Pacific.</w:t>
      </w:r>
    </w:p>
    <w:p>
      <w:pPr>
        <w:spacing w:after="0" w:line="189"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Ocean Transportation operating income increased $302.1 million during the three months ended March 31, 2022, compared with the three months ended March 31, 2021. The increase was primarily due to considerably higher average freight rates and higher volume in China and a higher contribution from SSAT, partially offset by higher operating costs and expenses primarily due to the CCX and CLX+ services and the timing of fuel-related surcharge recovery.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SSAT terminal joint venture investment contributed $34.0 million during the three months ended</w:t>
      </w:r>
    </w:p>
    <w:p>
      <w:pPr>
        <w:spacing w:after="0" w:line="27"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March 31, 2022, compared to a contribution of $9.2 million during the three months ended March 31, 2021. The increase was primarily driven by higher other terminal revenue.</w:t>
      </w: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Three months ended March 31, 2022, compared with 2021:</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5"/>
                <w:szCs w:val="15"/>
                <w:color w:val="auto"/>
              </w:rPr>
            </w:pPr>
          </w:p>
        </w:tc>
        <w:tc>
          <w:tcPr>
            <w:tcW w:w="2860" w:type="dxa"/>
            <w:vAlign w:val="bottom"/>
            <w:gridSpan w:val="10"/>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(205.2)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168.9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Logistics revenue increased $70.3 million, or 46.5 percent, during the three months ended March 31, 2022, compared with the three months ended March 31, 2021. The increase was primarily due to higher transportation brokerage and supply chain management revenue.</w:t>
      </w:r>
    </w:p>
    <w:p>
      <w:pPr>
        <w:spacing w:after="0" w:line="1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Logistics operating income increased $10.3 million, or 168.9 percent, for the three months ended March 31, 2022, compared with the three months ended March 31, 2021. The increase was primarily due to higher contributions from all services.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Sources of liquidity available to the Company as of March 31, 2022, compared to December 31, 2021 were as follows:</w:t>
      </w:r>
    </w:p>
    <w:p>
      <w:pPr>
        <w:spacing w:after="0" w:line="221"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Cash Equivalents, Restricted Cash and Accounts Receivable: </w:t>
      </w:r>
      <w:r>
        <w:rPr>
          <w:rFonts w:ascii="Times New Roman" w:cs="Times New Roman" w:eastAsia="Times New Roman" w:hAnsi="Times New Roman"/>
          <w:sz w:val="18"/>
          <w:szCs w:val="18"/>
          <w:color w:val="auto"/>
        </w:rPr>
        <w:t>Cash and cash equivalents, restricted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as of March 31, 2022, compared to December 31, 2021 were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$9.8 million of eligible accounts receivable were assigned to the CCF.</w:t>
      </w:r>
    </w:p>
    <w:p>
      <w:pPr>
        <w:spacing w:after="0" w:line="208"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Changes in the Company’s cash, cash equivalents and restricted cash for the three months ended March 31, 2022, compared to the three months ended March 31, 2021 were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24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(46.4)</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(37.1)</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by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(117.1)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Changes in net cash provided by operating activities:</w:t>
      </w:r>
    </w:p>
    <w:p>
      <w:pPr>
        <w:spacing w:after="0" w:line="214" w:lineRule="exact"/>
        <w:rPr>
          <w:sz w:val="20"/>
          <w:szCs w:val="20"/>
          <w:color w:val="auto"/>
        </w:rPr>
      </w:pPr>
    </w:p>
    <w:p>
      <w:pPr>
        <w:jc w:val="both"/>
        <w:ind w:left="60" w:right="399"/>
        <w:spacing w:after="0" w:line="282" w:lineRule="auto"/>
        <w:rPr>
          <w:sz w:val="20"/>
          <w:szCs w:val="20"/>
          <w:color w:val="auto"/>
        </w:rPr>
      </w:pPr>
      <w:r>
        <w:rPr>
          <w:rFonts w:ascii="Times New Roman" w:cs="Times New Roman" w:eastAsia="Times New Roman" w:hAnsi="Times New Roman"/>
          <w:sz w:val="18"/>
          <w:szCs w:val="18"/>
          <w:color w:val="auto"/>
        </w:rPr>
        <w:t>Changes in net cash provided by operating activities for the three months ended March 31, 2022, compared to the three months ended March 31, 2021,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deferred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related changes,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distributions from SSAT,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deferred dry-docking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Net income was $339.2 million for the three months ended March 31, 2022, compared to $87.2 million for the three months ended March 31, 2021, as described above. Income from SSAT was $34.0 million for the three months ended March 31, 2022, compared to $9.2 million for the three months ended March 31, 2021. The increase in income from SSAT was due to higher operating profits generated by SSAT during the three months ended March 31, 2022 as compared to the same prior year period. There were no cash distributions from SSAT during the three months ended March 31, 2022, compared to $10.5 million for the three months ended March 31, 2021. Cash distributions from SSAT are dependent on the level of cash available for distribution after operational and future capital needs of SSAT, and the timing of when such dividends are declared and paid. Changes in accounts receivable were primarily due to increased levels of revenues, and the timing of collections associated with those receivables. Changes in prepaid expenses and other assets were primarily due to increased prepaid fuel and other operating related costs, and the timing and amount of prepaid income taxes for the three months ended March 31, 2022 as compared to the same prior year period. Changes in accounts payable, accruals and other liabilities were primarily due to increased levels of operating costs and the timing of payments associated with those liabilities. Changes in operating lease liabilities were primarily due to new operating lease additions and renewals, partially offset by operating lease terminations during the three months ended March 31, 2022, compared to the same prior year period. Deferred dry-docking payments for the three months ended March 31, 2022 were $8.6 million, compared to $9.5 million for the three months ended March 31, 2021. The decrease in deferred dry-docking payments was due to less dry-dock related activity during the three months ended March 31, 2022 as compared to the same prior year period.</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 Changes in net cash used in investing activities:</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Changes in net cash used in investing activities for the three months ended March 31, 2022, compared to the three months ended March 31, 2021,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into CCF</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vessel construction expenditures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capital expenditures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Capitalized vessel construction expenditures (including capitalized interest) were $9.4 million for the three months ended March 31, 2022 and related to the construction of a new flat-deck barge. There were no capitalized vessel construction expenditures during the three months ended March 31, 2021. Other capital expenditures payments were $37.4 million for the three months ended March 31, 2022, compared to $38.5 million for the three months ended March 31, 2021. Other capital expenditures primarily relates to the acquisition of containers, chassis and other equipment; vessel related expenditures; and expenditures on other capital related projects.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Changes in net cash used in financing activities:</w:t>
      </w:r>
    </w:p>
    <w:p>
      <w:pPr>
        <w:spacing w:after="0" w:line="22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Changes in net cash used in financing activities for the three months ended March 31, 2022, compared to the three months ended March 31, 2021,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Matson common stock</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and borrowings under revolving credit facility,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 related to net share settlements of restricted stock units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r>
      <w:tr>
        <w:trPr>
          <w:trHeight w:val="209"/>
        </w:trPr>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u w:val="single" w:color="auto"/>
                <w:color w:val="auto"/>
              </w:rPr>
              <w:t>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the Company paid $70.4 million for the repurchase of Matson common stock. There was no stock repurchase activity during the same prior year period. During the three months ended March 31, 2022, the Company paid $14.4 million in scheduled fixed debt payments, compared to $14.4 million in scheduled fixed debt payments during the three months ended March 31, 2021. During the three months ended March 31, 2021, the Company decreased net borrowings under the revolving credit facility by $46.8 million. There were no borrowing under the revolving credit facility during the three months ended March 31, 2022. During the three months ended March 31, 2021, the Company paid $3.0 million in financing costs. No financing costs were paid during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three months ended March 31, 2022. During the three months ended March 31, 2022, the Company paid $19.4 million in payroll taxes related to vested restricted stock units, compared to $14.1 million for the three months ended March 31, 2021. The increase in withholding tax was primarily due to the increase of the Company’s stock price as of the vesting date of the restricted stock units. During the three months ended March 31, 2022, the Company paid $12.9 million in dividends, compared to $10.1 million during the three months ended March 31, 2021. The increase in dividend payments resulted from an increase in dividends declared per share of common stock by the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Total Debt as of March 31, 2022 and December 31, 2021 is as follows: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60" w:type="dxa"/>
            <w:vAlign w:val="bottom"/>
            <w:gridSpan w:val="2"/>
            <w:vMerge w:val="continue"/>
          </w:tcPr>
          <w:p>
            <w:pPr>
              <w:spacing w:after="0"/>
              <w:rPr>
                <w:sz w:val="15"/>
                <w:szCs w:val="15"/>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interest debt</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614.7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Total Debt decreased by $14.3 million during the three months ended March 31, 2022. The decrease in fixed interest debt was due to the scheduled repayments of private placement term loans and Title XI debt during the three months ended March 31, 2022.</w:t>
      </w:r>
    </w:p>
    <w:p>
      <w:pPr>
        <w:spacing w:after="0" w:line="176"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As of March 31, 2022, the Company had $642.0 million of remaining borrowing availability under the revolving credit facility, with a maturity date of March 31, 2026. The Company’s debt is described in Note 6 of Part I, Item 1 above.</w:t>
      </w:r>
    </w:p>
    <w:p>
      <w:pPr>
        <w:spacing w:after="0" w:line="13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surplus of $264.6 million and $92.1 million at March 31,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respectively.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increase in working capital surplus at March 31, 2022 is primarily due to the increase in cash generated from operating activities during the three months ended March 31, 2022, compared to the three months ended December 31, 2021.</w:t>
      </w:r>
    </w:p>
    <w:p>
      <w:pPr>
        <w:spacing w:after="0" w:line="183" w:lineRule="exact"/>
        <w:rPr>
          <w:sz w:val="20"/>
          <w:szCs w:val="20"/>
          <w:color w:val="auto"/>
        </w:rPr>
      </w:pPr>
    </w:p>
    <w:p>
      <w:pPr>
        <w:ind w:left="60" w:right="17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There were no material changes during the quarter ended March 31, 2022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expected capital expenditures for the years ending December 31, 2022 and 2023 that are described in Part II, Item 7 of the Company’s </w:t>
      </w:r>
      <w:hyperlink r:id="rId26">
        <w:r>
          <w:rPr>
            <w:rFonts w:ascii="Times New Roman" w:cs="Times New Roman" w:eastAsia="Times New Roman" w:hAnsi="Times New Roman"/>
            <w:sz w:val="18"/>
            <w:szCs w:val="18"/>
            <w:u w:val="single" w:color="auto"/>
            <w:color w:val="0000EE"/>
          </w:rPr>
          <w:t>Annual Report on Form 10-K for the year ended December 31, 2021</w:t>
        </w:r>
      </w:hyperlink>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quarter ended March 31, 2022, the Company repurchased approximately 0.7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for a total cost of $68.6 million. The maximum number of shares that may be purchased under the Company’s stock repurchase program was approximately 2.8 million shares at March 31, 2022.</w:t>
      </w:r>
    </w:p>
    <w:p>
      <w:pPr>
        <w:spacing w:after="0" w:line="171" w:lineRule="exact"/>
        <w:rPr>
          <w:sz w:val="20"/>
          <w:szCs w:val="20"/>
          <w:color w:val="auto"/>
        </w:rPr>
      </w:pPr>
    </w:p>
    <w:p>
      <w:pPr>
        <w:ind w:left="60" w:right="219"/>
        <w:spacing w:after="0" w:line="26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b w:val="1"/>
          <w:bCs w:val="1"/>
          <w:i w:val="1"/>
          <w:iCs w:val="1"/>
          <w:color w:val="auto"/>
        </w:rPr>
        <w:t xml:space="preserve">Other Material Cash Requirements: </w:t>
      </w:r>
      <w:r>
        <w:rPr>
          <w:rFonts w:ascii="Times New Roman" w:cs="Times New Roman" w:eastAsia="Times New Roman" w:hAnsi="Times New Roman"/>
          <w:sz w:val="18"/>
          <w:szCs w:val="18"/>
          <w:color w:val="auto"/>
        </w:rPr>
        <w:t>Except as described above, there were no other material changes during the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ended March 31, 2022 to the Company’s other cash requirements that are described in Part II, Item 7 of the Company’s </w:t>
      </w:r>
      <w:hyperlink r:id="rId26">
        <w:r>
          <w:rPr>
            <w:rFonts w:ascii="Times New Roman" w:cs="Times New Roman" w:eastAsia="Times New Roman" w:hAnsi="Times New Roman"/>
            <w:sz w:val="18"/>
            <w:szCs w:val="18"/>
            <w:u w:val="single" w:color="auto"/>
            <w:color w:val="0000EE"/>
          </w:rPr>
          <w:t>Annual Report on Form 10-K for the year ended December 31, 2021</w:t>
        </w:r>
      </w:hyperlink>
      <w:r>
        <w:rPr>
          <w:rFonts w:ascii="Times New Roman" w:cs="Times New Roman" w:eastAsia="Times New Roman" w:hAnsi="Times New Roman"/>
          <w:sz w:val="18"/>
          <w:szCs w:val="18"/>
          <w:color w:val="000000"/>
        </w:rPr>
        <w: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this quarter to the Company’s critical accounting policies and estimates as discussed in Part II, Item 7 of the Company’s Annual Report on Form 10-K for the year ended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Company’s first quarter 2022 cash dividend of $0.30 per share was paid on March 3, 2022. On April 28, 2022, the Company’s Board of Directors declared a cash dividend of $0.30 per share payable on June 2, 2022 to shareholders of record on May 12, 2022.</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have been no material changes to the Company’s market risk position from the information provided under</w:t>
      </w:r>
    </w:p>
    <w:p>
      <w:pPr>
        <w:spacing w:after="0" w:line="27" w:lineRule="exact"/>
        <w:rPr>
          <w:sz w:val="20"/>
          <w:szCs w:val="20"/>
          <w:color w:val="auto"/>
        </w:rPr>
      </w:pPr>
    </w:p>
    <w:p>
      <w:pPr>
        <w:ind w:left="60" w:right="259"/>
        <w:spacing w:after="0" w:line="260" w:lineRule="auto"/>
        <w:rPr>
          <w:sz w:val="20"/>
          <w:szCs w:val="20"/>
          <w:color w:val="auto"/>
        </w:rPr>
      </w:pPr>
      <w:r>
        <w:rPr>
          <w:rFonts w:ascii="Times New Roman" w:cs="Times New Roman" w:eastAsia="Times New Roman" w:hAnsi="Times New Roman"/>
          <w:sz w:val="18"/>
          <w:szCs w:val="18"/>
          <w:color w:val="auto"/>
        </w:rPr>
        <w:t>Part II, Item 7A, “Quantitative and Qualitative Disclosures About Market Risk,” of our Annual Report on Form 10-K for the year ended December 31, 2021.</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2022, the Company’s disclosure controls and procedures are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three months ended March 31, 2022, that have materially affected, or are reasonably likely to materially affect, the Company’s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segment has certain risks that could result in expenditures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environmental remediation. Except as described below, the Company believes that based on all information available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it, the Company is currently in compliance, in all material respects, with applicable environmental laws and regulations.</w:t>
      </w:r>
    </w:p>
    <w:p>
      <w:pPr>
        <w:spacing w:after="0" w:line="207"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2021 and 2022 violations could, in the aggregate, reasonably be expected to exceed $1 million, they are not expected to be material to the Company’s financial condition, results of operations or cash flows.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Company’s risk factors that are described in Part I, Item 1A, “Risk Factors” of the Company’s Annual Report on Form 10-K for the year ended December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Purchases.</w:t>
      </w:r>
    </w:p>
    <w:p>
      <w:pPr>
        <w:spacing w:after="0" w:line="225"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The following is the summary of Matson shares that were repurchased under the Company’s share repurchase program during the three months ended March 31, 2022:</w:t>
      </w:r>
    </w:p>
    <w:tbl>
      <w:tblPr>
        <w:tblLayout w:type="fixed"/>
        <w:tblInd w:w="4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1"/>
                <w:szCs w:val="11"/>
                <w:color w:val="auto"/>
              </w:rPr>
            </w:pPr>
          </w:p>
        </w:tc>
        <w:tc>
          <w:tcPr>
            <w:tcW w:w="126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3,301,897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3,139,397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681,400</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69</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681,400</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179" w:hanging="330"/>
        <w:spacing w:after="0" w:line="236" w:lineRule="auto"/>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2021, the Company announced that Matson’s Board of Directors had approved a share repurchase program of up to 3.0 million shares of common stock from August 3, 2021 through August 2, 2024. On January 27, 2022, the Company’s Board of Directors approved the addition of 3.0 million shares to the Company’s existing share repurchase program. Shares will be repurchased in the open market from time to time, and may be made pursuant to a trading plan in accordance with Rule 10b5-1 of the Security Exchange Act of 1934.</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Act of 1934.</w:t>
            </w: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Act of 1934.</w:t>
            </w:r>
          </w:p>
        </w:tc>
        <w:tc>
          <w:tcPr>
            <w:tcW w:w="6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w:t>
            </w:r>
          </w:p>
        </w:tc>
      </w:tr>
      <w:tr>
        <w:trPr>
          <w:trHeight w:val="5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240" w:type="dxa"/>
            <w:vAlign w:val="bottom"/>
            <w:gridSpan w:val="2"/>
          </w:tcPr>
          <w:p>
            <w:pPr>
              <w:spacing w:after="0"/>
              <w:rPr>
                <w:sz w:val="24"/>
                <w:szCs w:val="24"/>
                <w:color w:val="auto"/>
              </w:rPr>
            </w:pPr>
          </w:p>
        </w:tc>
      </w:tr>
      <w:tr>
        <w:trPr>
          <w:trHeight w:val="257"/>
        </w:trPr>
        <w:tc>
          <w:tcPr>
            <w:tcW w:w="1060" w:type="dxa"/>
            <w:vAlign w:val="bottom"/>
          </w:tcPr>
          <w:p>
            <w:pPr>
              <w:spacing w:after="0"/>
              <w:rPr>
                <w:sz w:val="22"/>
                <w:szCs w:val="22"/>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as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1" w:lineRule="exact"/>
        <w:rPr>
          <w:sz w:val="20"/>
          <w:szCs w:val="20"/>
          <w:color w:val="auto"/>
        </w:rPr>
      </w:pPr>
    </w:p>
    <w:p>
      <w:pPr>
        <w:ind w:left="680" w:hanging="6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80" w:hanging="6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88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 w:name="page27"/>
    <w:bookmarkEnd w:id="26"/>
    <w:p>
      <w:pPr>
        <w:ind w:left="88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29146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Joel M. Wine, Executive Vice President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 w:name="page28"/>
    <w:bookmarkEnd w:id="27"/>
    <w:p>
      <w:pPr>
        <w:ind w:left="796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w:t>
      </w:r>
    </w:p>
    <w:p>
      <w:pPr>
        <w:spacing w:after="0" w:line="21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Matson, Inc. (the “Company”) for the quarterly period ended March 31, 2022,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80" w:lineRule="exact"/>
        <w:rPr>
          <w:sz w:val="20"/>
          <w:szCs w:val="20"/>
          <w:color w:val="auto"/>
        </w:rPr>
      </w:pPr>
    </w:p>
    <w:p>
      <w:pPr>
        <w:ind w:left="60" w:right="519" w:hanging="10"/>
        <w:spacing w:after="0" w:line="282" w:lineRule="auto"/>
        <w:tabs>
          <w:tab w:leader="none" w:pos="7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8" w:lineRule="exact"/>
        <w:rPr>
          <w:rFonts w:ascii="Times New Roman" w:cs="Times New Roman" w:eastAsia="Times New Roman" w:hAnsi="Times New Roman"/>
          <w:sz w:val="18"/>
          <w:szCs w:val="18"/>
          <w:color w:val="auto"/>
        </w:rPr>
      </w:pPr>
    </w:p>
    <w:p>
      <w:pPr>
        <w:ind w:left="60" w:right="99" w:hanging="10"/>
        <w:spacing w:after="0" w:line="282" w:lineRule="auto"/>
        <w:tabs>
          <w:tab w:leader="none" w:pos="7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4, 2022</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
      <w:numFmt w:val="bullet"/>
      <w:start w:val="1"/>
    </w:lvl>
  </w:abstractNum>
  <w:abstractNum w:abstractNumId="8">
    <w:nsid w:val="2443A858"/>
    <w:multiLevelType w:val="hybridMultilevel"/>
    <w:lvl w:ilvl="0">
      <w:lvlJc w:val="left"/>
      <w:lvlText w:val=" "/>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3"/>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1."/>
      <w:numFmt w:val="decimal"/>
      <w:start w:val="5"/>
    </w:lvl>
  </w:abstractNum>
  <w:abstractNum w:abstractNumId="14">
    <w:nsid w:val="4353D0CD"/>
    <w:multiLevelType w:val="hybridMultilevel"/>
    <w:lvl w:ilvl="0">
      <w:lvlJc w:val="left"/>
      <w:lvlText w:val="%1."/>
      <w:numFmt w:val="decimal"/>
      <w:start w:val="6"/>
    </w:lvl>
  </w:abstractNum>
  <w:abstractNum w:abstractNumId="15">
    <w:nsid w:val="B03E0C6"/>
    <w:multiLevelType w:val="hybridMultilevel"/>
    <w:lvl w:ilvl="0">
      <w:lvlJc w:val="left"/>
      <w:lvlText w:val="%1."/>
      <w:numFmt w:val="decimal"/>
      <w:start w:val="7"/>
    </w:lvl>
  </w:abstractNum>
  <w:abstractNum w:abstractNumId="16">
    <w:nsid w:val="189A769B"/>
    <w:multiLevelType w:val="hybridMultilevel"/>
    <w:lvl w:ilvl="0">
      <w:lvlJc w:val="left"/>
      <w:lvlText w:val="%1."/>
      <w:numFmt w:val="decimal"/>
      <w:start w:val="8"/>
    </w:lvl>
  </w:abstractNum>
  <w:abstractNum w:abstractNumId="17">
    <w:nsid w:val="54E49EB4"/>
    <w:multiLevelType w:val="hybridMultilevel"/>
    <w:lvl w:ilvl="0">
      <w:lvlJc w:val="left"/>
      <w:lvlText w:val="%1."/>
      <w:numFmt w:val="decimal"/>
      <w:start w:val="9"/>
    </w:lvl>
  </w:abstractNum>
  <w:abstractNum w:abstractNumId="18">
    <w:nsid w:val="71F32454"/>
    <w:multiLevelType w:val="hybridMultilevel"/>
    <w:lvl w:ilvl="0">
      <w:lvlJc w:val="left"/>
      <w:lvlText w:val="%1."/>
      <w:numFmt w:val="decimal"/>
      <w:start w:val="10"/>
    </w:lvl>
  </w:abstractNum>
  <w:abstractNum w:abstractNumId="19">
    <w:nsid w:val="2CA88611"/>
    <w:multiLevelType w:val="hybridMultilevel"/>
    <w:lvl w:ilvl="0">
      <w:lvlJc w:val="left"/>
      <w:lvlText w:val="%1."/>
      <w:numFmt w:val="decimal"/>
      <w:start w:val="11"/>
    </w:lvl>
  </w:abstractNum>
  <w:abstractNum w:abstractNumId="20">
    <w:nsid w:val="836C40E"/>
    <w:multiLevelType w:val="hybridMultilevel"/>
    <w:lvl w:ilvl="0">
      <w:lvlJc w:val="left"/>
      <w:lvlText w:val="%1."/>
      <w:numFmt w:val="decimal"/>
      <w:start w:val="12"/>
    </w:lvl>
  </w:abstractNum>
  <w:abstractNum w:abstractNumId="21">
    <w:nsid w:val="2901D82"/>
    <w:multiLevelType w:val="hybridMultilevel"/>
    <w:lvl w:ilvl="0">
      <w:lvlJc w:val="left"/>
      <w:lvlText w:val="%1."/>
      <w:numFmt w:val="decimal"/>
      <w:start w:val="13"/>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5"/>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26" Type="http://schemas.openxmlformats.org/officeDocument/2006/relationships/hyperlink" Target="https://www.sec.gov/ix?doc=/Archives/edgar/data/3453/000155837022002040/matx-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2022-05-04T05:41:09Z</dcterms:created>
  <dcterms:modified xsi:type="dcterms:W3CDTF">2022-05-04T05:41:09Z</dcterms:modified>
</cp:coreProperties>
</file>