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COX MATTHEW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SAND ISLAND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HONOLULU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96819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Matson,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41"/>
        <w:gridCol w:w="451"/>
        <w:gridCol w:w="881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220.32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228,591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223.72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227,839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2,495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221.52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225,344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6,048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222.73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219,296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of shares reported on this Form 4 were effected pursuant to a Rule 10b5-1 trading plan adopted by the reporting person on March 9,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at prices ranging from $220.00 to $220.62. The price reported above reflects the weighted average sale price. The reporting person hereby undertakes to provide uponrequest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transaction was executed in multiple trades at prices ranging from $223.45 to $223.87. The price reported above reflects the weighted average sale price. The reporting person hereby undertakes to provide uponrequest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at prices ranging from $221.14 to $221.97. The price reported above reflects the weighted average sale price. The reporting person hereby undertakes to provide uponrequest to the Securities and Exchange Commission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This transaction was executed in multiple trades at prices ranging from $222.29 to $223.21. The price reported above reflects the weighted average sale price. The reporting person hereby undertakes to provide uponrequest to the Securities and Exchange Commission staff, the issuer or a security holder of the issuer full information regarding the number of shares and prices at which the transaction was effected.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J. Cox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6911" TargetMode="External"/><Relationship Id="rId5" Type="http://schemas.openxmlformats.org/officeDocument/2006/relationships/hyperlink" Target="http://www.sec.gov/cgi-bin/browse-edgar?action=getcompany&amp;CIK=000000345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873</Words>
  <Characters>4721</Characters>
  <CharactersWithSpaces>5499</CharactersWithSpaces>
  <Paragraphs>124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