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428625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27" w:lineRule="exact"/>
        <w:rPr>
          <w:sz w:val="24"/>
          <w:szCs w:val="24"/>
          <w:color w:val="auto"/>
        </w:rPr>
      </w:pPr>
    </w:p>
    <w:p>
      <w:pPr>
        <w:ind w:left="620" w:right="1280" w:hanging="306"/>
        <w:spacing w:after="0" w:line="262" w:lineRule="auto"/>
        <w:tabs>
          <w:tab w:leader="none" w:pos="62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2023</w:t>
      </w:r>
    </w:p>
    <w:p>
      <w:pPr>
        <w:spacing w:after="0" w:line="9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1" w:lineRule="exact"/>
        <w:rPr>
          <w:sz w:val="24"/>
          <w:szCs w:val="24"/>
          <w:color w:val="auto"/>
        </w:rPr>
      </w:pPr>
    </w:p>
    <w:p>
      <w:pPr>
        <w:ind w:left="640" w:right="1260" w:hanging="326"/>
        <w:spacing w:after="0" w:line="262" w:lineRule="auto"/>
        <w:tabs>
          <w:tab w:leader="none" w:pos="64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78" w:lineRule="exact"/>
        <w:rPr>
          <w:sz w:val="24"/>
          <w:szCs w:val="24"/>
          <w:color w:val="auto"/>
        </w:rPr>
      </w:pPr>
    </w:p>
    <w:p>
      <w:pPr>
        <w:ind w:left="2960"/>
        <w:spacing w:after="0"/>
        <w:tabs>
          <w:tab w:leader="none" w:pos="62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001-34187</w:t>
      </w:r>
    </w:p>
    <w:p>
      <w:pPr>
        <w:spacing w:after="0" w:line="13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Matson, Inc.</w:t>
      </w:r>
    </w:p>
    <w:p>
      <w:pPr>
        <w:spacing w:after="0" w:line="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41" w:lineRule="exact"/>
        <w:rPr>
          <w:sz w:val="24"/>
          <w:szCs w:val="24"/>
          <w:color w:val="auto"/>
        </w:rPr>
      </w:pPr>
    </w:p>
    <w:tbl>
      <w:tblPr>
        <w:tblLayout w:type="fixed"/>
        <w:tblInd w:w="1140" w:type="dxa"/>
        <w:tblCellMar>
          <w:top w:w="0" w:type="dxa"/>
          <w:left w:w="0" w:type="dxa"/>
          <w:bottom w:w="0" w:type="dxa"/>
          <w:right w:w="0" w:type="dxa"/>
        </w:tblCellMar>
      </w:tblPr>
      <w:tr>
        <w:trPr>
          <w:trHeight w:val="207"/>
        </w:trPr>
        <w:tc>
          <w:tcPr>
            <w:tcW w:w="4360" w:type="dxa"/>
            <w:vAlign w:val="bottom"/>
          </w:tcPr>
          <w:p>
            <w:pPr>
              <w:jc w:val="center"/>
              <w:ind w:right="1450"/>
              <w:spacing w:after="0"/>
              <w:rPr>
                <w:sz w:val="20"/>
                <w:szCs w:val="20"/>
                <w:color w:val="auto"/>
              </w:rPr>
            </w:pPr>
            <w:r>
              <w:rPr>
                <w:rFonts w:ascii="Times New Roman" w:cs="Times New Roman" w:eastAsia="Times New Roman" w:hAnsi="Times New Roman"/>
                <w:sz w:val="18"/>
                <w:szCs w:val="18"/>
                <w:b w:val="1"/>
                <w:bCs w:val="1"/>
                <w:color w:val="auto"/>
                <w:w w:val="98"/>
              </w:rPr>
              <w:t>Hawaii</w:t>
            </w:r>
          </w:p>
        </w:tc>
        <w:tc>
          <w:tcPr>
            <w:tcW w:w="28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99-0032630</w:t>
            </w:r>
          </w:p>
        </w:tc>
      </w:tr>
      <w:tr>
        <w:trPr>
          <w:trHeight w:val="189"/>
        </w:trPr>
        <w:tc>
          <w:tcPr>
            <w:tcW w:w="4360" w:type="dxa"/>
            <w:vAlign w:val="bottom"/>
          </w:tcPr>
          <w:p>
            <w:pPr>
              <w:jc w:val="center"/>
              <w:ind w:right="1450"/>
              <w:spacing w:after="0" w:line="189"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2820" w:type="dxa"/>
            <w:vAlign w:val="bottom"/>
          </w:tcPr>
          <w:p>
            <w:pPr>
              <w:jc w:val="center"/>
              <w:ind w:left="1410"/>
              <w:spacing w:after="0" w:line="189"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360" w:type="dxa"/>
            <w:vAlign w:val="bottom"/>
          </w:tcPr>
          <w:p>
            <w:pPr>
              <w:jc w:val="center"/>
              <w:ind w:right="147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282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02"/>
        </w:trPr>
        <w:tc>
          <w:tcPr>
            <w:tcW w:w="4360" w:type="dxa"/>
            <w:vAlign w:val="bottom"/>
          </w:tcPr>
          <w:p>
            <w:pPr>
              <w:jc w:val="center"/>
              <w:ind w:right="1470"/>
              <w:spacing w:after="0"/>
              <w:rPr>
                <w:sz w:val="20"/>
                <w:szCs w:val="20"/>
                <w:color w:val="auto"/>
              </w:rPr>
            </w:pPr>
            <w:r>
              <w:rPr>
                <w:rFonts w:ascii="Times New Roman" w:cs="Times New Roman" w:eastAsia="Times New Roman" w:hAnsi="Times New Roman"/>
                <w:sz w:val="18"/>
                <w:szCs w:val="18"/>
                <w:b w:val="1"/>
                <w:bCs w:val="1"/>
                <w:color w:val="auto"/>
                <w:w w:val="99"/>
              </w:rPr>
              <w:t>1411 Sand Island Parkway</w:t>
            </w:r>
          </w:p>
        </w:tc>
        <w:tc>
          <w:tcPr>
            <w:tcW w:w="2820" w:type="dxa"/>
            <w:vAlign w:val="bottom"/>
          </w:tcPr>
          <w:p>
            <w:pPr>
              <w:spacing w:after="0"/>
              <w:rPr>
                <w:sz w:val="24"/>
                <w:szCs w:val="24"/>
                <w:color w:val="auto"/>
              </w:rPr>
            </w:pPr>
          </w:p>
        </w:tc>
      </w:tr>
      <w:tr>
        <w:trPr>
          <w:trHeight w:val="207"/>
        </w:trPr>
        <w:tc>
          <w:tcPr>
            <w:tcW w:w="4360" w:type="dxa"/>
            <w:vAlign w:val="bottom"/>
          </w:tcPr>
          <w:p>
            <w:pPr>
              <w:jc w:val="center"/>
              <w:ind w:right="1450"/>
              <w:spacing w:after="0"/>
              <w:rPr>
                <w:sz w:val="20"/>
                <w:szCs w:val="20"/>
                <w:color w:val="auto"/>
              </w:rPr>
            </w:pPr>
            <w:r>
              <w:rPr>
                <w:rFonts w:ascii="Times New Roman" w:cs="Times New Roman" w:eastAsia="Times New Roman" w:hAnsi="Times New Roman"/>
                <w:sz w:val="18"/>
                <w:szCs w:val="18"/>
                <w:b w:val="1"/>
                <w:bCs w:val="1"/>
                <w:color w:val="auto"/>
                <w:w w:val="99"/>
              </w:rPr>
              <w:t>Honolulu, HI</w:t>
            </w:r>
          </w:p>
        </w:tc>
        <w:tc>
          <w:tcPr>
            <w:tcW w:w="28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96819</w:t>
            </w:r>
          </w:p>
        </w:tc>
      </w:tr>
      <w:tr>
        <w:trPr>
          <w:trHeight w:val="234"/>
        </w:trPr>
        <w:tc>
          <w:tcPr>
            <w:tcW w:w="4360" w:type="dxa"/>
            <w:vAlign w:val="bottom"/>
          </w:tcPr>
          <w:p>
            <w:pPr>
              <w:jc w:val="center"/>
              <w:ind w:right="14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82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(808) 848-1211</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3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1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75"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34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6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0"/>
        </w:trPr>
        <w:tc>
          <w:tcPr>
            <w:tcW w:w="3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without par value</w:t>
            </w:r>
          </w:p>
        </w:tc>
        <w:tc>
          <w:tcPr>
            <w:tcW w:w="2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MATX</w:t>
            </w:r>
          </w:p>
        </w:tc>
        <w:tc>
          <w:tcPr>
            <w:tcW w:w="4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57" w:lineRule="exact"/>
        <w:rPr>
          <w:sz w:val="24"/>
          <w:szCs w:val="24"/>
          <w:color w:val="auto"/>
        </w:rPr>
      </w:pPr>
    </w:p>
    <w:p>
      <w:pPr>
        <w:jc w:val="both"/>
        <w:ind w:right="1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17" w:lineRule="exact"/>
        <w:rPr>
          <w:sz w:val="24"/>
          <w:szCs w:val="24"/>
          <w:color w:val="auto"/>
        </w:rPr>
      </w:pPr>
    </w:p>
    <w:p>
      <w:pPr>
        <w:ind w:right="2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17"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40"/>
          </w:cols>
          <w:pgMar w:left="840" w:top="661" w:right="819" w:bottom="1440" w:gutter="0" w:footer="0" w:header="0"/>
        </w:sectPr>
      </w:pPr>
    </w:p>
    <w:p>
      <w:pPr>
        <w:spacing w:after="0" w:line="80" w:lineRule="exact"/>
        <w:rPr>
          <w:sz w:val="24"/>
          <w:szCs w:val="24"/>
          <w:color w:val="auto"/>
        </w:rPr>
      </w:pPr>
    </w:p>
    <w:p>
      <w:pPr>
        <w:ind w:left="1660"/>
        <w:spacing w:after="0" w:line="242"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Arial Unicode MS" w:cs="Arial Unicode MS" w:eastAsia="Arial Unicode MS" w:hAnsi="Arial Unicode MS"/>
          <w:sz w:val="18"/>
          <w:szCs w:val="18"/>
          <w:color w:val="auto"/>
        </w:rPr>
        <w:t>☐</w:t>
      </w:r>
    </w:p>
    <w:p>
      <w:pPr>
        <w:spacing w:after="0" w:line="42" w:lineRule="exact"/>
        <w:rPr>
          <w:sz w:val="24"/>
          <w:szCs w:val="24"/>
          <w:color w:val="auto"/>
        </w:rPr>
      </w:pPr>
    </w:p>
    <w:p>
      <w:pPr>
        <w:sectPr>
          <w:pgSz w:w="11900" w:h="16838" w:orient="portrait"/>
          <w:cols w:equalWidth="0" w:num="2">
            <w:col w:w="6260" w:space="720"/>
            <w:col w:w="3260"/>
          </w:cols>
          <w:pgMar w:left="840" w:top="661" w:right="819" w:bottom="1440" w:gutter="0" w:footer="0" w:header="0"/>
          <w:type w:val="continuous"/>
        </w:sectPr>
      </w:pPr>
    </w:p>
    <w:p>
      <w:pPr>
        <w:ind w:left="1700"/>
        <w:spacing w:after="0" w:line="242"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spacing w:after="0" w:line="222" w:lineRule="exact"/>
        <w:rPr>
          <w:sz w:val="20"/>
          <w:szCs w:val="20"/>
          <w:color w:val="auto"/>
        </w:rPr>
      </w:pPr>
      <w:r>
        <w:rPr>
          <w:rFonts w:ascii="Times New Roman" w:cs="Times New Roman" w:eastAsia="Times New Roman" w:hAnsi="Times New Roman"/>
          <w:sz w:val="18"/>
          <w:szCs w:val="18"/>
          <w:color w:val="auto"/>
        </w:rPr>
        <w:t xml:space="preserve">Smaller reporting company </w:t>
      </w:r>
      <w:r>
        <w:rPr>
          <w:rFonts w:ascii="Arial Unicode MS" w:cs="Arial Unicode MS" w:eastAsia="Arial Unicode MS" w:hAnsi="Arial Unicode MS"/>
          <w:sz w:val="18"/>
          <w:szCs w:val="18"/>
          <w:color w:val="auto"/>
        </w:rPr>
        <w:t>☐</w:t>
      </w:r>
    </w:p>
    <w:p>
      <w:pPr>
        <w:spacing w:after="0" w:line="42" w:lineRule="exact"/>
        <w:rPr>
          <w:sz w:val="24"/>
          <w:szCs w:val="24"/>
          <w:color w:val="auto"/>
        </w:rPr>
      </w:pPr>
    </w:p>
    <w:p>
      <w:pPr>
        <w:sectPr>
          <w:pgSz w:w="11900" w:h="16838" w:orient="portrait"/>
          <w:cols w:equalWidth="0" w:num="2">
            <w:col w:w="5860" w:space="720"/>
            <w:col w:w="3660"/>
          </w:cols>
          <w:pgMar w:left="840" w:top="661" w:right="819" w:bottom="1440" w:gutter="0" w:footer="0" w:header="0"/>
          <w:type w:val="continuous"/>
        </w:sectPr>
      </w:pPr>
    </w:p>
    <w:p>
      <w:pPr>
        <w:ind w:left="6580"/>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Arial Unicode MS" w:cs="Arial Unicode MS" w:eastAsia="Arial Unicode MS" w:hAnsi="Arial Unicode MS"/>
          <w:sz w:val="18"/>
          <w:szCs w:val="18"/>
          <w:color w:val="auto"/>
        </w:rPr>
        <w:t>☐</w:t>
      </w:r>
    </w:p>
    <w:p>
      <w:pPr>
        <w:sectPr>
          <w:pgSz w:w="11900" w:h="16838" w:orient="portrait"/>
          <w:cols w:equalWidth="0" w:num="1">
            <w:col w:w="10240"/>
          </w:cols>
          <w:pgMar w:left="840" w:top="661" w:right="819" w:bottom="1440" w:gutter="0" w:footer="0" w:header="0"/>
          <w:type w:val="continuous"/>
        </w:sectPr>
      </w:pPr>
    </w:p>
    <w:p>
      <w:pPr>
        <w:spacing w:after="0" w:line="71" w:lineRule="exact"/>
        <w:rPr>
          <w:sz w:val="24"/>
          <w:szCs w:val="24"/>
          <w:color w:val="auto"/>
        </w:rPr>
      </w:pPr>
    </w:p>
    <w:p>
      <w:pPr>
        <w:ind w:right="2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2" w:lineRule="exact"/>
        <w:rPr>
          <w:sz w:val="24"/>
          <w:szCs w:val="24"/>
          <w:color w:val="auto"/>
        </w:rPr>
      </w:pPr>
    </w:p>
    <w:p>
      <w:pPr>
        <w:ind w:right="1000"/>
        <w:spacing w:after="0" w:line="28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Number of shares of common stock outstanding as of March 31, 2023: 35,856,547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649795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60325</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103505</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40" w:top="661" w:right="81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80" w:type="dxa"/>
            <w:vAlign w:val="bottom"/>
            <w:gridSpan w:val="12"/>
          </w:tcPr>
          <w:p>
            <w:pPr>
              <w:jc w:val="center"/>
              <w:ind w:right="1720"/>
              <w:spacing w:after="0"/>
              <w:rPr>
                <w:sz w:val="20"/>
                <w:szCs w:val="20"/>
                <w:color w:val="auto"/>
              </w:rPr>
            </w:pPr>
            <w:r>
              <w:rPr>
                <w:rFonts w:ascii="Times New Roman" w:cs="Times New Roman" w:eastAsia="Times New Roman" w:hAnsi="Times New Roman"/>
                <w:sz w:val="18"/>
                <w:szCs w:val="18"/>
                <w:b w:val="1"/>
                <w:bCs w:val="1"/>
                <w:color w:val="auto"/>
                <w:w w:val="99"/>
              </w:rPr>
              <w:t>MATSON, INC. AND SUBSIDIARIES</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20" w:type="dxa"/>
            <w:vAlign w:val="bottom"/>
            <w:gridSpan w:val="9"/>
          </w:tcPr>
          <w:p>
            <w:pPr>
              <w:jc w:val="center"/>
              <w:ind w:right="23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08"/>
        </w:trPr>
        <w:tc>
          <w:tcPr>
            <w:tcW w:w="240" w:type="dxa"/>
            <w:vAlign w:val="bottom"/>
            <w:vMerge w:val="restart"/>
          </w:tcPr>
          <w:p>
            <w:pPr>
              <w:spacing w:after="0"/>
              <w:rPr>
                <w:sz w:val="9"/>
                <w:szCs w:val="9"/>
                <w:color w:val="auto"/>
              </w:rPr>
            </w:pPr>
          </w:p>
        </w:tc>
        <w:tc>
          <w:tcPr>
            <w:tcW w:w="762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color w:val="0000EE"/>
              </w:rPr>
              <w:t>Part I—FINANCIAL INFORMATION</w:t>
            </w:r>
          </w:p>
        </w:tc>
        <w:tc>
          <w:tcPr>
            <w:tcW w:w="10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40" w:type="dxa"/>
            <w:vAlign w:val="bottom"/>
            <w:vMerge w:val="continue"/>
          </w:tcPr>
          <w:p>
            <w:pPr>
              <w:spacing w:after="0"/>
              <w:rPr>
                <w:sz w:val="13"/>
                <w:szCs w:val="13"/>
                <w:color w:val="auto"/>
              </w:rPr>
            </w:pPr>
          </w:p>
        </w:tc>
        <w:tc>
          <w:tcPr>
            <w:tcW w:w="7620" w:type="dxa"/>
            <w:vAlign w:val="bottom"/>
            <w:gridSpan w:val="20"/>
            <w:vMerge w:val="continue"/>
          </w:tcPr>
          <w:p>
            <w:pPr>
              <w:spacing w:after="0"/>
              <w:rPr>
                <w:sz w:val="13"/>
                <w:szCs w:val="13"/>
                <w:color w:val="auto"/>
              </w:rPr>
            </w:pPr>
          </w:p>
        </w:tc>
        <w:tc>
          <w:tcPr>
            <w:tcW w:w="1060" w:type="dxa"/>
            <w:vAlign w:val="bottom"/>
          </w:tcPr>
          <w:p>
            <w:pPr>
              <w:jc w:val="center"/>
              <w:spacing w:after="0" w:line="142" w:lineRule="exact"/>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240" w:type="dxa"/>
            <w:vAlign w:val="bottom"/>
          </w:tcPr>
          <w:p>
            <w:pPr>
              <w:spacing w:after="0"/>
              <w:rPr>
                <w:sz w:val="24"/>
                <w:szCs w:val="24"/>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w:t>
            </w:r>
          </w:p>
        </w:tc>
        <w:tc>
          <w:tcPr>
            <w:tcW w:w="68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Financial Statements (Unaudited)</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Income and Comprehensive Income</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6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Balance Sheets</w:t>
            </w:r>
          </w:p>
        </w:tc>
        <w:tc>
          <w:tcPr>
            <w:tcW w:w="1380" w:type="dxa"/>
            <w:vAlign w:val="bottom"/>
            <w:gridSpan w:val="2"/>
          </w:tcPr>
          <w:p>
            <w:pPr>
              <w:spacing w:after="0"/>
              <w:rPr>
                <w:sz w:val="17"/>
                <w:szCs w:val="17"/>
                <w:color w:val="auto"/>
              </w:rPr>
            </w:pP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Shareholders’ Equity</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6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the Condensed Consolidated Financial Statements</w:t>
            </w:r>
          </w:p>
        </w:tc>
        <w:tc>
          <w:tcPr>
            <w:tcW w:w="120" w:type="dxa"/>
            <w:vAlign w:val="bottom"/>
            <w:tcBorders>
              <w:top w:val="single" w:sz="8" w:color="0000EE"/>
            </w:tcBorders>
            <w:gridSpan w:val="3"/>
          </w:tcPr>
          <w:p>
            <w:pPr>
              <w:spacing w:after="0"/>
              <w:rPr>
                <w:sz w:val="17"/>
                <w:szCs w:val="17"/>
                <w:color w:val="auto"/>
              </w:rPr>
            </w:pPr>
          </w:p>
        </w:tc>
        <w:tc>
          <w:tcPr>
            <w:tcW w:w="2460" w:type="dxa"/>
            <w:vAlign w:val="bottom"/>
            <w:gridSpan w:val="3"/>
          </w:tcPr>
          <w:p>
            <w:pPr>
              <w:spacing w:after="0"/>
              <w:rPr>
                <w:sz w:val="17"/>
                <w:szCs w:val="17"/>
                <w:color w:val="auto"/>
              </w:rPr>
            </w:pP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68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15</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9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68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21</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98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68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40" w:type="dxa"/>
            <w:vAlign w:val="bottom"/>
          </w:tcPr>
          <w:p>
            <w:pPr>
              <w:spacing w:after="0"/>
              <w:rPr>
                <w:sz w:val="24"/>
                <w:szCs w:val="24"/>
                <w:color w:val="auto"/>
              </w:rPr>
            </w:pPr>
          </w:p>
        </w:tc>
        <w:tc>
          <w:tcPr>
            <w:tcW w:w="25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Part II—OTHER INFORMATION</w:t>
            </w:r>
          </w:p>
        </w:tc>
        <w:tc>
          <w:tcPr>
            <w:tcW w:w="5080" w:type="dxa"/>
            <w:vAlign w:val="bottom"/>
            <w:gridSpan w:val="12"/>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412"/>
        </w:trPr>
        <w:tc>
          <w:tcPr>
            <w:tcW w:w="240" w:type="dxa"/>
            <w:vAlign w:val="bottom"/>
          </w:tcPr>
          <w:p>
            <w:pPr>
              <w:spacing w:after="0"/>
              <w:rPr>
                <w:sz w:val="24"/>
                <w:szCs w:val="24"/>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w:t>
            </w:r>
          </w:p>
        </w:tc>
        <w:tc>
          <w:tcPr>
            <w:tcW w:w="68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3"/>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6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1A.</w:t>
            </w:r>
          </w:p>
        </w:tc>
        <w:tc>
          <w:tcPr>
            <w:tcW w:w="140" w:type="dxa"/>
            <w:vAlign w:val="bottom"/>
          </w:tcPr>
          <w:p>
            <w:pPr>
              <w:spacing w:after="0"/>
              <w:rPr>
                <w:sz w:val="17"/>
                <w:szCs w:val="17"/>
                <w:color w:val="auto"/>
              </w:rPr>
            </w:pPr>
          </w:p>
        </w:tc>
        <w:tc>
          <w:tcPr>
            <w:tcW w:w="9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Risk Factors</w:t>
            </w:r>
          </w:p>
        </w:tc>
        <w:tc>
          <w:tcPr>
            <w:tcW w:w="5940" w:type="dxa"/>
            <w:vAlign w:val="bottom"/>
            <w:gridSpan w:val="14"/>
          </w:tcPr>
          <w:p>
            <w:pPr>
              <w:spacing w:after="0"/>
              <w:rPr>
                <w:sz w:val="17"/>
                <w:szCs w:val="17"/>
                <w:color w:val="auto"/>
              </w:rPr>
            </w:pP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68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3"/>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68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3"/>
            <w:shd w:val="clear" w:color="auto" w:fill="0000EE"/>
          </w:tcPr>
          <w:p>
            <w:pPr>
              <w:spacing w:after="0" w:line="20" w:lineRule="exact"/>
              <w:rPr>
                <w:sz w:val="1"/>
                <w:szCs w:val="1"/>
                <w:color w:val="auto"/>
              </w:rPr>
            </w:pPr>
          </w:p>
        </w:tc>
        <w:tc>
          <w:tcPr>
            <w:tcW w:w="4520" w:type="dxa"/>
            <w:vAlign w:val="bottom"/>
            <w:gridSpan w:val="1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68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080" w:type="dxa"/>
            <w:vAlign w:val="bottom"/>
            <w:gridSpan w:val="1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5.</w:t>
            </w:r>
          </w:p>
        </w:tc>
        <w:tc>
          <w:tcPr>
            <w:tcW w:w="68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540" w:type="dxa"/>
            <w:vAlign w:val="bottom"/>
            <w:gridSpan w:val="1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6.</w:t>
            </w:r>
          </w:p>
        </w:tc>
        <w:tc>
          <w:tcPr>
            <w:tcW w:w="68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80" w:type="dxa"/>
            <w:vAlign w:val="bottom"/>
            <w:gridSpan w:val="1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1445"/>
        </w:trPr>
        <w:tc>
          <w:tcPr>
            <w:tcW w:w="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 FINANCIAL STATEMENTS</w:t>
      </w:r>
    </w:p>
    <w:p>
      <w:pPr>
        <w:spacing w:after="0" w:line="225" w:lineRule="exact"/>
        <w:rPr>
          <w:sz w:val="20"/>
          <w:szCs w:val="20"/>
          <w:color w:val="auto"/>
        </w:rPr>
      </w:pPr>
    </w:p>
    <w:p>
      <w:pPr>
        <w:jc w:val="center"/>
        <w:ind w:left="1500" w:right="154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MATSON, INC. AND SUBSIDIARIES Condensed Consolidated Statements of Income and Comprehensive Income </w:t>
      </w: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9"/>
        </w:trPr>
        <w:tc>
          <w:tcPr>
            <w:tcW w:w="6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160" w:type="dxa"/>
            <w:vAlign w:val="bottom"/>
          </w:tcPr>
          <w:p>
            <w:pPr>
              <w:spacing w:after="0"/>
              <w:rPr>
                <w:sz w:val="17"/>
                <w:szCs w:val="17"/>
                <w:color w:val="auto"/>
              </w:rPr>
            </w:pPr>
          </w:p>
        </w:tc>
        <w:tc>
          <w:tcPr>
            <w:tcW w:w="6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7"/>
                <w:szCs w:val="17"/>
                <w:color w:val="auto"/>
              </w:rPr>
            </w:pPr>
          </w:p>
        </w:tc>
      </w:tr>
      <w:tr>
        <w:trPr>
          <w:trHeight w:val="210"/>
        </w:trPr>
        <w:tc>
          <w:tcPr>
            <w:tcW w:w="6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Ocean Transportation</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551.0</w:t>
            </w: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943.9</w:t>
            </w:r>
          </w:p>
        </w:tc>
        <w:tc>
          <w:tcPr>
            <w:tcW w:w="60" w:type="dxa"/>
            <w:vAlign w:val="bottom"/>
          </w:tcPr>
          <w:p>
            <w:pPr>
              <w:spacing w:after="0"/>
              <w:rPr>
                <w:sz w:val="18"/>
                <w:szCs w:val="18"/>
                <w:color w:val="auto"/>
              </w:rPr>
            </w:pPr>
          </w:p>
        </w:tc>
      </w:tr>
      <w:tr>
        <w:trPr>
          <w:trHeight w:val="216"/>
        </w:trPr>
        <w:tc>
          <w:tcPr>
            <w:tcW w:w="7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Logistics</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60" w:type="dxa"/>
            <w:vAlign w:val="bottom"/>
            <w:shd w:val="clear" w:color="auto" w:fill="CCEEFF"/>
          </w:tcPr>
          <w:p>
            <w:pPr>
              <w:spacing w:after="0"/>
              <w:rPr>
                <w:sz w:val="18"/>
                <w:szCs w:val="18"/>
                <w:color w:val="auto"/>
              </w:rPr>
            </w:pPr>
          </w:p>
        </w:tc>
      </w:tr>
      <w:tr>
        <w:trPr>
          <w:trHeight w:val="209"/>
        </w:trPr>
        <w:tc>
          <w:tcPr>
            <w:tcW w:w="70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Operating Revenue</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704.8</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1,165.5</w:t>
            </w:r>
          </w:p>
        </w:tc>
        <w:tc>
          <w:tcPr>
            <w:tcW w:w="60" w:type="dxa"/>
            <w:vAlign w:val="bottom"/>
            <w:tcBorders>
              <w:bottom w:val="single" w:sz="8" w:color="CCEEFF"/>
            </w:tcBorders>
          </w:tcPr>
          <w:p>
            <w:pPr>
              <w:spacing w:after="0"/>
              <w:rPr>
                <w:sz w:val="18"/>
                <w:szCs w:val="18"/>
                <w:color w:val="auto"/>
              </w:rPr>
            </w:pPr>
          </w:p>
        </w:tc>
      </w:tr>
      <w:tr>
        <w:trPr>
          <w:trHeight w:val="210"/>
        </w:trPr>
        <w:tc>
          <w:tcPr>
            <w:tcW w:w="6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costs</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(597.5)</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(703.7)</w:t>
            </w:r>
          </w:p>
        </w:tc>
      </w:tr>
      <w:tr>
        <w:trPr>
          <w:trHeight w:val="216"/>
        </w:trPr>
        <w:tc>
          <w:tcPr>
            <w:tcW w:w="7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(Loss) Income from SSAT</w:t>
            </w: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60" w:type="dxa"/>
            <w:vAlign w:val="bottom"/>
          </w:tcPr>
          <w:p>
            <w:pPr>
              <w:spacing w:after="0"/>
              <w:rPr>
                <w:sz w:val="18"/>
                <w:szCs w:val="18"/>
                <w:color w:val="auto"/>
              </w:rPr>
            </w:pPr>
          </w:p>
        </w:tc>
      </w:tr>
      <w:tr>
        <w:trPr>
          <w:trHeight w:val="216"/>
        </w:trPr>
        <w:tc>
          <w:tcPr>
            <w:tcW w:w="7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(66.8)</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(63.2)</w:t>
            </w:r>
          </w:p>
        </w:tc>
      </w:tr>
      <w:tr>
        <w:trPr>
          <w:trHeight w:val="210"/>
        </w:trPr>
        <w:tc>
          <w:tcPr>
            <w:tcW w:w="70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(666.1)</w:t>
            </w:r>
          </w:p>
        </w:tc>
        <w:tc>
          <w:tcPr>
            <w:tcW w:w="2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(732.9)</w:t>
            </w:r>
          </w:p>
        </w:tc>
        <w:tc>
          <w:tcPr>
            <w:tcW w:w="60" w:type="dxa"/>
            <w:vAlign w:val="bottom"/>
            <w:tcBorders>
              <w:bottom w:val="single" w:sz="8" w:color="CCEEFF"/>
            </w:tcBorders>
          </w:tcPr>
          <w:p>
            <w:pPr>
              <w:spacing w:after="0"/>
              <w:rPr>
                <w:sz w:val="18"/>
                <w:szCs w:val="18"/>
                <w:color w:val="auto"/>
              </w:rPr>
            </w:pPr>
          </w:p>
        </w:tc>
      </w:tr>
      <w:tr>
        <w:trPr>
          <w:trHeight w:val="209"/>
        </w:trPr>
        <w:tc>
          <w:tcPr>
            <w:tcW w:w="6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432.6</w:t>
            </w:r>
          </w:p>
        </w:tc>
        <w:tc>
          <w:tcPr>
            <w:tcW w:w="60" w:type="dxa"/>
            <w:vAlign w:val="bottom"/>
          </w:tcPr>
          <w:p>
            <w:pPr>
              <w:spacing w:after="0"/>
              <w:rPr>
                <w:sz w:val="18"/>
                <w:szCs w:val="18"/>
                <w:color w:val="auto"/>
              </w:rPr>
            </w:pPr>
          </w:p>
        </w:tc>
      </w:tr>
      <w:tr>
        <w:trPr>
          <w:trHeight w:val="216"/>
        </w:trPr>
        <w:tc>
          <w:tcPr>
            <w:tcW w:w="7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7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shd w:val="clear" w:color="auto" w:fill="CCEEFF"/>
          </w:tcPr>
          <w:p>
            <w:pPr>
              <w:spacing w:after="0"/>
              <w:rPr>
                <w:sz w:val="18"/>
                <w:szCs w:val="18"/>
                <w:color w:val="auto"/>
              </w:rPr>
            </w:pPr>
          </w:p>
        </w:tc>
      </w:tr>
      <w:tr>
        <w:trPr>
          <w:trHeight w:val="210"/>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429.8</w:t>
            </w:r>
          </w:p>
        </w:tc>
        <w:tc>
          <w:tcPr>
            <w:tcW w:w="60" w:type="dxa"/>
            <w:vAlign w:val="bottom"/>
          </w:tcPr>
          <w:p>
            <w:pPr>
              <w:spacing w:after="0"/>
              <w:rPr>
                <w:sz w:val="18"/>
                <w:szCs w:val="18"/>
                <w:color w:val="auto"/>
              </w:rPr>
            </w:pPr>
          </w:p>
        </w:tc>
      </w:tr>
      <w:tr>
        <w:trPr>
          <w:trHeight w:val="216"/>
        </w:trPr>
        <w:tc>
          <w:tcPr>
            <w:tcW w:w="7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taxes</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(90.6)</w:t>
            </w:r>
          </w:p>
        </w:tc>
      </w:tr>
      <w:tr>
        <w:trPr>
          <w:trHeight w:val="250"/>
        </w:trPr>
        <w:tc>
          <w:tcPr>
            <w:tcW w:w="7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339.2</w:t>
            </w:r>
          </w:p>
        </w:tc>
        <w:tc>
          <w:tcPr>
            <w:tcW w:w="60" w:type="dxa"/>
            <w:vAlign w:val="bottom"/>
            <w:tcBorders>
              <w:bottom w:val="single" w:sz="8" w:color="CCEEFF"/>
            </w:tcBorders>
          </w:tcPr>
          <w:p>
            <w:pPr>
              <w:spacing w:after="0"/>
              <w:rPr>
                <w:sz w:val="21"/>
                <w:szCs w:val="21"/>
                <w:color w:val="auto"/>
              </w:rPr>
            </w:pPr>
          </w:p>
        </w:tc>
      </w:tr>
      <w:tr>
        <w:trPr>
          <w:trHeight w:val="196"/>
        </w:trPr>
        <w:tc>
          <w:tcPr>
            <w:tcW w:w="6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Income Taxes: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w:t>
            </w:r>
          </w:p>
        </w:tc>
        <w:tc>
          <w:tcPr>
            <w:tcW w:w="60" w:type="dxa"/>
            <w:vAlign w:val="bottom"/>
            <w:shd w:val="clear" w:color="auto" w:fill="CCEEFF"/>
          </w:tcPr>
          <w:p>
            <w:pPr>
              <w:spacing w:after="0"/>
              <w:rPr>
                <w:sz w:val="18"/>
                <w:szCs w:val="18"/>
                <w:color w:val="auto"/>
              </w:rPr>
            </w:pPr>
          </w:p>
        </w:tc>
      </w:tr>
      <w:tr>
        <w:trPr>
          <w:trHeight w:val="216"/>
        </w:trPr>
        <w:tc>
          <w:tcPr>
            <w:tcW w:w="7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0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70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Amortization of net loss</w:t>
            </w: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60" w:type="dxa"/>
            <w:vAlign w:val="bottom"/>
          </w:tcPr>
          <w:p>
            <w:pPr>
              <w:spacing w:after="0"/>
              <w:rPr>
                <w:sz w:val="18"/>
                <w:szCs w:val="18"/>
                <w:color w:val="auto"/>
              </w:rPr>
            </w:pPr>
          </w:p>
        </w:tc>
      </w:tr>
      <w:tr>
        <w:trPr>
          <w:trHeight w:val="216"/>
        </w:trPr>
        <w:tc>
          <w:tcPr>
            <w:tcW w:w="70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60" w:type="dxa"/>
            <w:vAlign w:val="bottom"/>
            <w:shd w:val="clear" w:color="auto" w:fill="CCEEFF"/>
          </w:tcPr>
          <w:p>
            <w:pPr>
              <w:spacing w:after="0"/>
              <w:rPr>
                <w:sz w:val="18"/>
                <w:szCs w:val="18"/>
                <w:color w:val="auto"/>
              </w:rPr>
            </w:pPr>
          </w:p>
        </w:tc>
      </w:tr>
      <w:tr>
        <w:trPr>
          <w:trHeight w:val="210"/>
        </w:trPr>
        <w:tc>
          <w:tcPr>
            <w:tcW w:w="70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Other Comprehensive Income (Loss), Net of Income Taxes</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tcBorders>
              <w:bottom w:val="single" w:sz="8" w:color="CCEEFF"/>
            </w:tcBorders>
          </w:tcPr>
          <w:p>
            <w:pPr>
              <w:spacing w:after="0"/>
              <w:rPr>
                <w:sz w:val="18"/>
                <w:szCs w:val="18"/>
                <w:color w:val="auto"/>
              </w:rPr>
            </w:pPr>
          </w:p>
        </w:tc>
      </w:tr>
      <w:tr>
        <w:trPr>
          <w:trHeight w:val="210"/>
        </w:trPr>
        <w:tc>
          <w:tcPr>
            <w:tcW w:w="70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Comprehensive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6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60" w:type="dxa"/>
            <w:vAlign w:val="bottom"/>
            <w:shd w:val="clear" w:color="auto" w:fill="CCEEFF"/>
          </w:tcPr>
          <w:p>
            <w:pPr>
              <w:spacing w:after="0"/>
              <w:rPr>
                <w:sz w:val="18"/>
                <w:szCs w:val="18"/>
                <w:color w:val="auto"/>
              </w:rPr>
            </w:pPr>
          </w:p>
        </w:tc>
      </w:tr>
      <w:tr>
        <w:trPr>
          <w:trHeight w:val="216"/>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6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60" w:type="dxa"/>
            <w:vAlign w:val="bottom"/>
            <w:shd w:val="clear" w:color="auto" w:fill="CCEEFF"/>
          </w:tcPr>
          <w:p>
            <w:pPr>
              <w:spacing w:after="0"/>
              <w:rPr>
                <w:sz w:val="18"/>
                <w:szCs w:val="18"/>
                <w:color w:val="auto"/>
              </w:rPr>
            </w:pPr>
          </w:p>
        </w:tc>
      </w:tr>
      <w:tr>
        <w:trPr>
          <w:trHeight w:val="234"/>
        </w:trPr>
        <w:tc>
          <w:tcPr>
            <w:tcW w:w="7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60" w:type="dxa"/>
            <w:vAlign w:val="bottom"/>
          </w:tcPr>
          <w:p>
            <w:pPr>
              <w:spacing w:after="0"/>
              <w:rPr>
                <w:sz w:val="20"/>
                <w:szCs w:val="20"/>
                <w:color w:val="auto"/>
              </w:rPr>
            </w:pPr>
          </w:p>
        </w:tc>
      </w:tr>
    </w:tbl>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MATSON,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3"/>
                <w:szCs w:val="13"/>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1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12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$12.2 million and</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$13.0 million, respectively</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2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566.7</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759.6</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Assets: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Investment in SSAT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 Construction Fund</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Deferred dry-docking costs, net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long-term assets</w:t>
            </w: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2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long-term assets</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3,660.6</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3,570.4</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4,227.3</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4,330.0</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portion of debt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Accounts payable and accruals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535.8</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debt, net of deferred loan fees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1,421.2</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(see Note 13)</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Common stock</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 net</w:t>
            </w:r>
          </w:p>
        </w:tc>
        <w:tc>
          <w:tcPr>
            <w:tcW w:w="1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1,970.0</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2,270.3</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2,296.9</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4,227.3</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4,330.0</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MATSON,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16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740" w:type="dxa"/>
            <w:vAlign w:val="bottom"/>
            <w:gridSpan w:val="2"/>
            <w:vMerge w:val="continue"/>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2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Reconciling adjustments: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operating lease right of use assets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Deferred income taxes</w:t>
            </w:r>
          </w:p>
        </w:tc>
        <w:tc>
          <w:tcPr>
            <w:tcW w:w="2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Loss (income) from SSAT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(34.0)</w:t>
            </w: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(0.1)</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03"/>
        </w:trPr>
        <w:tc>
          <w:tcPr>
            <w:tcW w:w="6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receivable, net</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(14.5)</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(27.7)</w:t>
            </w:r>
          </w:p>
        </w:tc>
        <w:tc>
          <w:tcPr>
            <w:tcW w:w="0" w:type="dxa"/>
            <w:vAlign w:val="bottom"/>
          </w:tcPr>
          <w:p>
            <w:pPr>
              <w:spacing w:after="0"/>
              <w:rPr>
                <w:sz w:val="1"/>
                <w:szCs w:val="1"/>
                <w:color w:val="auto"/>
              </w:rPr>
            </w:pPr>
          </w:p>
        </w:tc>
      </w:tr>
      <w:tr>
        <w:trPr>
          <w:trHeight w:val="203"/>
        </w:trPr>
        <w:tc>
          <w:tcPr>
            <w:tcW w:w="67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Deferred dry-docking payments</w:t>
            </w:r>
          </w:p>
        </w:tc>
        <w:tc>
          <w:tcPr>
            <w:tcW w:w="2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(2.4)</w:t>
            </w:r>
          </w:p>
        </w:tc>
        <w:tc>
          <w:tcPr>
            <w:tcW w:w="2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dry-docking amortization</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(31.5)</w:t>
            </w: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payable, accruals and other liabilities</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(8.4)</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203"/>
        </w:trPr>
        <w:tc>
          <w:tcPr>
            <w:tcW w:w="67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(39.4)</w:t>
            </w:r>
          </w:p>
        </w:tc>
        <w:tc>
          <w:tcPr>
            <w:tcW w:w="2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(35.4)</w:t>
            </w: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(4.8)</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96.7</w:t>
            </w:r>
          </w:p>
        </w:tc>
        <w:tc>
          <w:tcPr>
            <w:tcW w:w="2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273.9</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Capitalized vessel construction expenditures</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(0.4)</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03"/>
        </w:trPr>
        <w:tc>
          <w:tcPr>
            <w:tcW w:w="6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Other capital expenditures</w:t>
            </w:r>
          </w:p>
        </w:tc>
        <w:tc>
          <w:tcPr>
            <w:tcW w:w="2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(35.5)</w:t>
            </w:r>
          </w:p>
        </w:tc>
        <w:tc>
          <w:tcPr>
            <w:tcW w:w="2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(37.4)</w:t>
            </w: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disposal of property and equipment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Payment for asset acquisition</w:t>
            </w:r>
          </w:p>
        </w:tc>
        <w:tc>
          <w:tcPr>
            <w:tcW w:w="2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(12.4)</w:t>
            </w:r>
          </w:p>
        </w:tc>
        <w:tc>
          <w:tcPr>
            <w:tcW w:w="20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deposits and interest into the Capital Construction Fund</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(105.5)</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03"/>
        </w:trPr>
        <w:tc>
          <w:tcPr>
            <w:tcW w:w="6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Withdrawals from Capital Construction Fund</w:t>
            </w:r>
          </w:p>
        </w:tc>
        <w:tc>
          <w:tcPr>
            <w:tcW w:w="200" w:type="dxa"/>
            <w:vAlign w:val="bottom"/>
          </w:tcPr>
          <w:p>
            <w:pPr>
              <w:spacing w:after="0"/>
              <w:rPr>
                <w:sz w:val="17"/>
                <w:szCs w:val="17"/>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(153.5)</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Repayments of debt</w:t>
            </w:r>
          </w:p>
        </w:tc>
        <w:tc>
          <w:tcPr>
            <w:tcW w:w="2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(40.8)</w:t>
            </w:r>
          </w:p>
        </w:tc>
        <w:tc>
          <w:tcPr>
            <w:tcW w:w="2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(14.4)</w:t>
            </w: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Dividends paid</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(11.3)</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(12.9)</w:t>
            </w:r>
          </w:p>
        </w:tc>
        <w:tc>
          <w:tcPr>
            <w:tcW w:w="0" w:type="dxa"/>
            <w:vAlign w:val="bottom"/>
          </w:tcPr>
          <w:p>
            <w:pPr>
              <w:spacing w:after="0"/>
              <w:rPr>
                <w:sz w:val="1"/>
                <w:szCs w:val="1"/>
                <w:color w:val="auto"/>
              </w:rPr>
            </w:pPr>
          </w:p>
        </w:tc>
      </w:tr>
      <w:tr>
        <w:trPr>
          <w:trHeight w:val="203"/>
        </w:trPr>
        <w:tc>
          <w:tcPr>
            <w:tcW w:w="6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Repurchase of Matson common stock</w:t>
            </w:r>
          </w:p>
        </w:tc>
        <w:tc>
          <w:tcPr>
            <w:tcW w:w="2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(40.0)</w:t>
            </w:r>
          </w:p>
        </w:tc>
        <w:tc>
          <w:tcPr>
            <w:tcW w:w="2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(70.4)</w:t>
            </w: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Tax withholding related to net share settlements of restricted stock units</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(12.4)</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(19.4)</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(104.5)</w:t>
            </w:r>
          </w:p>
        </w:tc>
        <w:tc>
          <w:tcPr>
            <w:tcW w:w="2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(117.1)</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2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(161.3)</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the Period</w:t>
            </w: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253.7</w:t>
            </w:r>
          </w:p>
        </w:tc>
        <w:tc>
          <w:tcPr>
            <w:tcW w:w="2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the Period</w:t>
            </w: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92.4</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398.1</w:t>
            </w:r>
          </w:p>
        </w:tc>
        <w:tc>
          <w:tcPr>
            <w:tcW w:w="1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Reconciliation of Cash, Cash Equivalents and Restricted Cash, End of the Period:</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Restricted Cash</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Cash, Cash Equivalents and Restricted Cash, End of the Period</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w:t>
            </w: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398.1</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Cash Flow Information:</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Interest paid, net of capitalized interest (including debt prepaid fees)</w:t>
            </w: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 payments (refunds), net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(30.3)</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Information:</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Capital expenditures included in accounts payable, accruals and other liabilities</w:t>
            </w: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Non-cash payment for asset acquisition</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500" w:right="2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MATSON, INC. AND SUBSIDIARIES Condensed Consolidated Statements of Shareholders’ Equity </w:t>
      </w:r>
      <w:r>
        <w:rPr>
          <w:rFonts w:ascii="Times New Roman" w:cs="Times New Roman" w:eastAsia="Times New Roman" w:hAnsi="Times New Roman"/>
          <w:sz w:val="18"/>
          <w:szCs w:val="18"/>
          <w:color w:val="auto"/>
        </w:rPr>
        <w:t>(Unaudited)</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4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55"/>
        </w:trPr>
        <w:tc>
          <w:tcPr>
            <w:tcW w:w="4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4"/>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60" w:type="dxa"/>
            <w:vAlign w:val="bottom"/>
          </w:tcPr>
          <w:p>
            <w:pPr>
              <w:spacing w:after="0"/>
              <w:rPr>
                <w:sz w:val="13"/>
                <w:szCs w:val="13"/>
                <w:color w:val="auto"/>
              </w:rPr>
            </w:pP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08"/>
        </w:trPr>
        <w:tc>
          <w:tcPr>
            <w:tcW w:w="4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Stated</w:t>
            </w:r>
          </w:p>
        </w:tc>
        <w:tc>
          <w:tcPr>
            <w:tcW w:w="120" w:type="dxa"/>
            <w:vAlign w:val="bottom"/>
          </w:tcPr>
          <w:p>
            <w:pPr>
              <w:spacing w:after="0"/>
              <w:rPr>
                <w:sz w:val="9"/>
                <w:szCs w:val="9"/>
                <w:color w:val="auto"/>
              </w:rPr>
            </w:pPr>
          </w:p>
        </w:tc>
        <w:tc>
          <w:tcPr>
            <w:tcW w:w="740" w:type="dxa"/>
            <w:vAlign w:val="bottom"/>
            <w:gridSpan w:val="2"/>
          </w:tcPr>
          <w:p>
            <w:pPr>
              <w:jc w:val="center"/>
              <w:ind w:right="140"/>
              <w:spacing w:after="0" w:line="109" w:lineRule="exact"/>
              <w:rPr>
                <w:sz w:val="20"/>
                <w:szCs w:val="20"/>
                <w:color w:val="auto"/>
              </w:rPr>
            </w:pPr>
            <w:r>
              <w:rPr>
                <w:rFonts w:ascii="Times New Roman" w:cs="Times New Roman" w:eastAsia="Times New Roman" w:hAnsi="Times New Roman"/>
                <w:sz w:val="12"/>
                <w:szCs w:val="12"/>
                <w:b w:val="1"/>
                <w:bCs w:val="1"/>
                <w:color w:val="auto"/>
              </w:rPr>
              <w:t>Paid In</w:t>
            </w:r>
          </w:p>
        </w:tc>
        <w:tc>
          <w:tcPr>
            <w:tcW w:w="960" w:type="dxa"/>
            <w:vAlign w:val="bottom"/>
            <w:gridSpan w:val="3"/>
          </w:tcPr>
          <w:p>
            <w:pPr>
              <w:jc w:val="center"/>
              <w:ind w:right="120"/>
              <w:spacing w:after="0" w:line="109"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840" w:type="dxa"/>
            <w:vAlign w:val="bottom"/>
            <w:gridSpan w:val="2"/>
          </w:tcPr>
          <w:p>
            <w:pPr>
              <w:jc w:val="right"/>
              <w:ind w:right="240"/>
              <w:spacing w:after="0" w:line="109"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700" w:type="dxa"/>
            <w:vAlign w:val="bottom"/>
          </w:tcPr>
          <w:p>
            <w:pPr>
              <w:spacing w:after="0"/>
              <w:rPr>
                <w:sz w:val="9"/>
                <w:szCs w:val="9"/>
                <w:color w:val="auto"/>
              </w:rPr>
            </w:pPr>
          </w:p>
        </w:tc>
      </w:tr>
      <w:tr>
        <w:trPr>
          <w:trHeight w:val="155"/>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 except per share amounts)</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70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96"/>
        </w:trPr>
        <w:tc>
          <w:tcPr>
            <w:tcW w:w="4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2022</w:t>
            </w:r>
          </w:p>
        </w:tc>
        <w:tc>
          <w:tcPr>
            <w:tcW w:w="1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w:t>
            </w: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$ 27.2</w:t>
            </w:r>
          </w:p>
        </w:tc>
        <w:tc>
          <w:tcPr>
            <w:tcW w:w="1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$ 290.4</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$ 1,986.2</w:t>
            </w: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$ 2,296.9</w:t>
            </w:r>
          </w:p>
        </w:tc>
      </w:tr>
      <w:tr>
        <w:trPr>
          <w:trHeight w:val="216"/>
        </w:trPr>
        <w:tc>
          <w:tcPr>
            <w:tcW w:w="4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Net income</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w:t>
            </w:r>
          </w:p>
        </w:tc>
      </w:tr>
      <w:tr>
        <w:trPr>
          <w:trHeight w:val="216"/>
        </w:trPr>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r>
      <w:tr>
        <w:trPr>
          <w:trHeight w:val="216"/>
        </w:trPr>
        <w:tc>
          <w:tcPr>
            <w:tcW w:w="4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Share-based compensation</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216"/>
        </w:trPr>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Shares issued, net of shares withheld for employee taxes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(12.6)</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w:t>
            </w:r>
          </w:p>
        </w:tc>
      </w:tr>
      <w:tr>
        <w:trPr>
          <w:trHeight w:val="216"/>
        </w:trPr>
        <w:tc>
          <w:tcPr>
            <w:tcW w:w="4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Shares repurchased</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(0.7)</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(0.5)</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(2.7)</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(38.9)</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w:t>
            </w:r>
          </w:p>
        </w:tc>
      </w:tr>
      <w:tr>
        <w:trPr>
          <w:trHeight w:val="216"/>
        </w:trPr>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Dividends ($0.31 per share)</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(11.3)</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r>
      <w:tr>
        <w:trPr>
          <w:trHeight w:val="196"/>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Balance at March 31, 2023</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35.9</w:t>
            </w:r>
          </w:p>
        </w:tc>
        <w:tc>
          <w:tcPr>
            <w:tcW w:w="14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$ 26.9</w:t>
            </w:r>
          </w:p>
        </w:tc>
        <w:tc>
          <w:tcPr>
            <w:tcW w:w="12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$ 279.7</w:t>
            </w: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2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$ 1,970.0</w:t>
            </w:r>
          </w:p>
        </w:tc>
        <w:tc>
          <w:tcPr>
            <w:tcW w:w="14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$ 2,270.3</w:t>
            </w:r>
          </w:p>
        </w:tc>
      </w:tr>
      <w:tr>
        <w:trPr>
          <w:trHeight w:val="20"/>
        </w:trPr>
        <w:tc>
          <w:tcPr>
            <w:tcW w:w="4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57"/>
        </w:trPr>
        <w:tc>
          <w:tcPr>
            <w:tcW w:w="4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155"/>
        </w:trPr>
        <w:tc>
          <w:tcPr>
            <w:tcW w:w="4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4"/>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60" w:type="dxa"/>
            <w:vAlign w:val="bottom"/>
          </w:tcPr>
          <w:p>
            <w:pPr>
              <w:spacing w:after="0"/>
              <w:rPr>
                <w:sz w:val="13"/>
                <w:szCs w:val="13"/>
                <w:color w:val="auto"/>
              </w:rPr>
            </w:pP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08"/>
        </w:trPr>
        <w:tc>
          <w:tcPr>
            <w:tcW w:w="4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Stated</w:t>
            </w:r>
          </w:p>
        </w:tc>
        <w:tc>
          <w:tcPr>
            <w:tcW w:w="120" w:type="dxa"/>
            <w:vAlign w:val="bottom"/>
          </w:tcPr>
          <w:p>
            <w:pPr>
              <w:spacing w:after="0"/>
              <w:rPr>
                <w:sz w:val="9"/>
                <w:szCs w:val="9"/>
                <w:color w:val="auto"/>
              </w:rPr>
            </w:pPr>
          </w:p>
        </w:tc>
        <w:tc>
          <w:tcPr>
            <w:tcW w:w="740" w:type="dxa"/>
            <w:vAlign w:val="bottom"/>
            <w:gridSpan w:val="2"/>
          </w:tcPr>
          <w:p>
            <w:pPr>
              <w:jc w:val="center"/>
              <w:ind w:right="140"/>
              <w:spacing w:after="0" w:line="109" w:lineRule="exact"/>
              <w:rPr>
                <w:sz w:val="20"/>
                <w:szCs w:val="20"/>
                <w:color w:val="auto"/>
              </w:rPr>
            </w:pPr>
            <w:r>
              <w:rPr>
                <w:rFonts w:ascii="Times New Roman" w:cs="Times New Roman" w:eastAsia="Times New Roman" w:hAnsi="Times New Roman"/>
                <w:sz w:val="12"/>
                <w:szCs w:val="12"/>
                <w:b w:val="1"/>
                <w:bCs w:val="1"/>
                <w:color w:val="auto"/>
              </w:rPr>
              <w:t>Paid In</w:t>
            </w:r>
          </w:p>
        </w:tc>
        <w:tc>
          <w:tcPr>
            <w:tcW w:w="960" w:type="dxa"/>
            <w:vAlign w:val="bottom"/>
            <w:gridSpan w:val="3"/>
          </w:tcPr>
          <w:p>
            <w:pPr>
              <w:jc w:val="center"/>
              <w:ind w:right="120"/>
              <w:spacing w:after="0" w:line="109"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840" w:type="dxa"/>
            <w:vAlign w:val="bottom"/>
            <w:gridSpan w:val="2"/>
          </w:tcPr>
          <w:p>
            <w:pPr>
              <w:jc w:val="right"/>
              <w:ind w:right="240"/>
              <w:spacing w:after="0" w:line="109"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700" w:type="dxa"/>
            <w:vAlign w:val="bottom"/>
          </w:tcPr>
          <w:p>
            <w:pPr>
              <w:spacing w:after="0"/>
              <w:rPr>
                <w:sz w:val="9"/>
                <w:szCs w:val="9"/>
                <w:color w:val="auto"/>
              </w:rPr>
            </w:pPr>
          </w:p>
        </w:tc>
      </w:tr>
      <w:tr>
        <w:trPr>
          <w:trHeight w:val="155"/>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 except per share amounts)</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70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96"/>
        </w:trPr>
        <w:tc>
          <w:tcPr>
            <w:tcW w:w="4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2021</w:t>
            </w:r>
          </w:p>
        </w:tc>
        <w:tc>
          <w:tcPr>
            <w:tcW w:w="1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w:t>
            </w: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$ 30.7</w:t>
            </w:r>
          </w:p>
        </w:tc>
        <w:tc>
          <w:tcPr>
            <w:tcW w:w="1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$ 314.1</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w:t>
            </w: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$ 1,353.5</w:t>
            </w: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$ 1,667.4</w:t>
            </w:r>
          </w:p>
        </w:tc>
      </w:tr>
      <w:tr>
        <w:trPr>
          <w:trHeight w:val="216"/>
        </w:trPr>
        <w:tc>
          <w:tcPr>
            <w:tcW w:w="4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Net income</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339.2</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339.2</w:t>
            </w:r>
          </w:p>
        </w:tc>
      </w:tr>
      <w:tr>
        <w:trPr>
          <w:trHeight w:val="216"/>
        </w:trPr>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216"/>
        </w:trPr>
        <w:tc>
          <w:tcPr>
            <w:tcW w:w="4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Share-based compensation</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16"/>
        </w:trPr>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Shares issued, net of shares withheld for employee taxes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(19.5)</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w:t>
            </w:r>
          </w:p>
        </w:tc>
      </w:tr>
      <w:tr>
        <w:trPr>
          <w:trHeight w:val="216"/>
        </w:trPr>
        <w:tc>
          <w:tcPr>
            <w:tcW w:w="4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Shares repurchased</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(0.7)</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(0.5)</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(3.1)</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(65.0)</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(68.6)</w:t>
            </w:r>
          </w:p>
        </w:tc>
      </w:tr>
      <w:tr>
        <w:trPr>
          <w:trHeight w:val="216"/>
        </w:trPr>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Dividends ($0.30 per share)</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(12.9)</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r>
      <w:tr>
        <w:trPr>
          <w:trHeight w:val="196"/>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Balance at March 31, 2022</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40.5</w:t>
            </w:r>
          </w:p>
        </w:tc>
        <w:tc>
          <w:tcPr>
            <w:tcW w:w="14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$ 30.4</w:t>
            </w:r>
          </w:p>
        </w:tc>
        <w:tc>
          <w:tcPr>
            <w:tcW w:w="12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$ 296.2</w:t>
            </w: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(30.7)</w:t>
            </w:r>
          </w:p>
        </w:tc>
        <w:tc>
          <w:tcPr>
            <w:tcW w:w="12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$ 1,614.8</w:t>
            </w:r>
          </w:p>
        </w:tc>
        <w:tc>
          <w:tcPr>
            <w:tcW w:w="14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$ 1,910.7</w:t>
            </w:r>
          </w:p>
        </w:tc>
      </w:tr>
      <w:tr>
        <w:trPr>
          <w:trHeight w:val="20"/>
        </w:trPr>
        <w:tc>
          <w:tcPr>
            <w:tcW w:w="4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MATSON,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FINANICAL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ind w:left="640" w:hanging="590"/>
        <w:spacing w:after="0"/>
        <w:tabs>
          <w:tab w:leader="none" w:pos="6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BUSINESS</w:t>
      </w:r>
    </w:p>
    <w:p>
      <w:pPr>
        <w:spacing w:after="0" w:line="229"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Matson, Inc., a holding company incorporated in the State of Hawaii, and its subsidiaries (“Matson” or the “Company”), is a leading provider of ocean transportation and logistics services. The Company consists of two segments, Ocean Transportation and Logistics:</w:t>
      </w:r>
    </w:p>
    <w:p>
      <w:pPr>
        <w:spacing w:after="0" w:line="172"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Ocean Transportation: </w:t>
      </w:r>
      <w:r>
        <w:rPr>
          <w:rFonts w:ascii="Times New Roman" w:cs="Times New Roman" w:eastAsia="Times New Roman" w:hAnsi="Times New Roman"/>
          <w:sz w:val="18"/>
          <w:szCs w:val="18"/>
          <w:color w:val="auto"/>
        </w:rPr>
        <w:t>Matson’s Ocean Transportation business is conducted through Matson Navigation Company, Inc.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(“MatNav”), a wholly-owned subsidiary of Matson, Inc. Founded in 1882, MatNav provides a vital lifeline of ocean freight transportation services to the domestic non-contiguous economies of Hawaii, Alaska and Guam, and to other island economies in Micronesia. MatNav also operates premium, expedited services from China to Long Beach, California, provides services to Okinawa, Japan and various islands in the South Pacific, and operates an international export service from ports in Alaska to Asia. In addition, subsidiaries of MatNav provide stevedoring, refrigerated cargo services, inland transportation and other terminal services for MatNav on the Hawaiian islands of Oahu, Hawaii, Maui and Kauai, and for MatNav and other ocean carriers in Alaska.</w:t>
      </w:r>
    </w:p>
    <w:p>
      <w:pPr>
        <w:spacing w:after="0" w:line="189"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Matson has a 35 percent ownership interest in SSA Terminals, LLC, a joint venture between Matson Ventures, Inc., a wholly-owned subsidiary of MatNav, and SSA Ventures, Inc., a subsidiary of Carrix, Inc. (“SSAT”). SSAT currently provides terminal and stevedoring services to various carriers at eight terminal facilities on the U.S. West Coast, including three facilities dedicated for MatNav’s use. Matson records its share of income from SSAT in costs and expenses in the Condensed Consolidated Statements of Income and Comprehensive Income, and within the Ocean Transportation segment due to the nature of SSAT’s operations.</w:t>
      </w:r>
    </w:p>
    <w:p>
      <w:pPr>
        <w:spacing w:after="0" w:line="183"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Logistics: </w:t>
      </w:r>
      <w:r>
        <w:rPr>
          <w:rFonts w:ascii="Times New Roman" w:cs="Times New Roman" w:eastAsia="Times New Roman" w:hAnsi="Times New Roman"/>
          <w:sz w:val="18"/>
          <w:szCs w:val="18"/>
          <w:color w:val="auto"/>
        </w:rPr>
        <w:t>Matson’s logistics business is conducted through Matson Logistics, Inc. (“Matson Logistics”), a wholly-owned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subsidiary of MatNav. Established in 1987, Matson Logistics extends the geographic reach of Matson’s transportation network throughout North America and Asia, and is an asset-light business that provides a variety of logistics services to its customers including: (i) multimodal transportation brokerage of domestic and international rail intermodal services, long-haul and regional highway trucking services, specialized hauling, flat-bed and project services, less-than-truckload services, and expedited freight services (collectively, “Transportation Brokerage” services); (ii) less-than-container load (“LCL”) consolidation and freight forwarding services (collectively, “Freight Forwarding” services); (iii) warehousing, trans-loading, value-added packaging and distribution services (collectively, “Warehousing” services); and (iv) supply chain management, non-vessel operating common carrier (“NVOCC”) freight forwarding and other services.</w:t>
      </w:r>
    </w:p>
    <w:p>
      <w:pPr>
        <w:spacing w:after="0" w:line="200" w:lineRule="exact"/>
        <w:rPr>
          <w:sz w:val="20"/>
          <w:szCs w:val="20"/>
          <w:color w:val="auto"/>
        </w:rPr>
      </w:pPr>
    </w:p>
    <w:p>
      <w:pPr>
        <w:spacing w:after="0" w:line="204" w:lineRule="exact"/>
        <w:rPr>
          <w:sz w:val="20"/>
          <w:szCs w:val="20"/>
          <w:color w:val="auto"/>
        </w:rPr>
      </w:pPr>
    </w:p>
    <w:p>
      <w:pPr>
        <w:ind w:left="640" w:hanging="590"/>
        <w:spacing w:after="0"/>
        <w:tabs>
          <w:tab w:leader="none" w:pos="6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AND SIGNIFICANT ACCOUNTING POLICIES</w:t>
      </w:r>
    </w:p>
    <w:p>
      <w:pPr>
        <w:spacing w:after="0" w:line="225" w:lineRule="exact"/>
        <w:rPr>
          <w:sz w:val="20"/>
          <w:szCs w:val="20"/>
          <w:color w:val="auto"/>
        </w:rPr>
      </w:pPr>
    </w:p>
    <w:p>
      <w:pPr>
        <w:ind w:left="60" w:right="1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Basis of Presentation: </w:t>
      </w:r>
      <w:r>
        <w:rPr>
          <w:rFonts w:ascii="Times New Roman" w:cs="Times New Roman" w:eastAsia="Times New Roman" w:hAnsi="Times New Roman"/>
          <w:sz w:val="18"/>
          <w:szCs w:val="18"/>
          <w:color w:val="auto"/>
        </w:rPr>
        <w:t>The Condensed Consolidated Financial Statements are unaudited, and include the accounts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Matson, Inc. and all wholly-owned subsidiaries, after elimination of intercompany amounts and transactions. Significant investments in businesses, partnerships, and limited liability companies in which the Company does not have a controlling financial interest, but has the ability to exercise significant influence, are accounted for under the equity method. The Company accounts for its investment in SSAT using the equity method of accounting.</w:t>
      </w:r>
    </w:p>
    <w:p>
      <w:pPr>
        <w:spacing w:after="0" w:line="183"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Due to the nature of the Company’s operations, the results for interim periods are not necessarily indicative of results to be expected for the year. These Condensed Consolidated Financial Statements reflect all normal recurring adjustments that are, in the opinion of management, necessary for fair presentation of the results of the interim periods, and do not include all of the information and footnotes required by U.S. generally accepted accounting principles for complete consolidated financial statements.</w:t>
      </w:r>
    </w:p>
    <w:p>
      <w:pPr>
        <w:spacing w:after="0" w:line="183" w:lineRule="exact"/>
        <w:rPr>
          <w:sz w:val="20"/>
          <w:szCs w:val="20"/>
          <w:color w:val="auto"/>
        </w:rPr>
      </w:pPr>
    </w:p>
    <w:p>
      <w:pPr>
        <w:ind w:left="60" w:right="339"/>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should be read in conjunction with the Consolidated Financial Statements and notes thereto included in the Company’s Annual Report on Form 10-K for the year ended December 31, 2022, filed with the Securities and Exchange Commission (“SEC”) on February 24, 2023.</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Fiscal Period: </w:t>
      </w:r>
      <w:r>
        <w:rPr>
          <w:rFonts w:ascii="Times New Roman" w:cs="Times New Roman" w:eastAsia="Times New Roman" w:hAnsi="Times New Roman"/>
          <w:sz w:val="18"/>
          <w:szCs w:val="18"/>
          <w:color w:val="auto"/>
        </w:rPr>
        <w:t>The period end for Matson covered by this report is March 31, 2023. The period end for MatNav and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subsidiaries covered by this report is March 31, 2023.</w:t>
      </w:r>
    </w:p>
    <w:p>
      <w:pPr>
        <w:spacing w:after="0" w:line="155" w:lineRule="exact"/>
        <w:rPr>
          <w:sz w:val="20"/>
          <w:szCs w:val="20"/>
          <w:color w:val="auto"/>
        </w:rPr>
      </w:pPr>
    </w:p>
    <w:p>
      <w:pPr>
        <w:ind w:left="60" w:right="1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Significant Accounting Policies: </w:t>
      </w:r>
      <w:r>
        <w:rPr>
          <w:rFonts w:ascii="Times New Roman" w:cs="Times New Roman" w:eastAsia="Times New Roman" w:hAnsi="Times New Roman"/>
          <w:sz w:val="18"/>
          <w:szCs w:val="18"/>
          <w:color w:val="auto"/>
        </w:rPr>
        <w:t>The Company’s significant accounting policies are described in Note 2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Consolidated Financial Statements included in Part II, Item 8 of the Company’s Annual Report on Form 10-K for the year ended December 31, 2022.</w:t>
      </w:r>
    </w:p>
    <w:p>
      <w:pPr>
        <w:spacing w:after="0" w:line="171" w:lineRule="exact"/>
        <w:rPr>
          <w:sz w:val="20"/>
          <w:szCs w:val="20"/>
          <w:color w:val="auto"/>
        </w:rPr>
      </w:pPr>
    </w:p>
    <w:p>
      <w:pPr>
        <w:ind w:left="60" w:right="199"/>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Use of Estimates: </w:t>
      </w:r>
      <w:r>
        <w:rPr>
          <w:rFonts w:ascii="Times New Roman" w:cs="Times New Roman" w:eastAsia="Times New Roman" w:hAnsi="Times New Roman"/>
          <w:sz w:val="17"/>
          <w:szCs w:val="17"/>
          <w:color w:val="auto"/>
        </w:rPr>
        <w:t>The preparation of the interim Condensed Consolidated Financial Statements in conformity with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accounting principles generally accepted in the U.S. requires management to make estimates and assumptions that affect the amounts reported. Estimates and assumptions are used for, but not limited to: impairment of investments; impairment of long-lived assets, intangible assets and goodwill; capitalized interest; allowance for doubtful accounts and other receivables; legal contingencies; insurance reserves and other related liabilities; accrual estimates; pension and post-retirement estimates; multi-employer withdrawal liabilities; operating lease assets and liabilities; income from SSAT; and income taxes. Future results could be materially affected if actual results differ from these estimates and assumptions.</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Prepaid Expenses and Other Assets: </w:t>
      </w:r>
      <w:r>
        <w:rPr>
          <w:rFonts w:ascii="Times New Roman" w:cs="Times New Roman" w:eastAsia="Times New Roman" w:hAnsi="Times New Roman"/>
          <w:sz w:val="18"/>
          <w:szCs w:val="18"/>
          <w:color w:val="auto"/>
        </w:rPr>
        <w:t>Prepaid expenses and other assets consist of the following at March 31, 2023 and</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2022:</w:t>
      </w:r>
    </w:p>
    <w:tbl>
      <w:tblPr>
        <w:tblLayout w:type="fixed"/>
        <w:tblInd w:w="40" w:type="dxa"/>
        <w:tblCellMar>
          <w:top w:w="0" w:type="dxa"/>
          <w:left w:w="0" w:type="dxa"/>
          <w:bottom w:w="0" w:type="dxa"/>
          <w:right w:w="0" w:type="dxa"/>
        </w:tblCellMar>
      </w:tblPr>
      <w:tr>
        <w:trPr>
          <w:trHeight w:val="146"/>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Prepaid Expenses and Other Assets (in millions)</w:t>
            </w:r>
          </w:p>
        </w:tc>
        <w:tc>
          <w:tcPr>
            <w:tcW w:w="120" w:type="dxa"/>
            <w:vAlign w:val="bottom"/>
          </w:tcPr>
          <w:p>
            <w:pPr>
              <w:spacing w:after="0"/>
              <w:rPr>
                <w:sz w:val="12"/>
                <w:szCs w:val="12"/>
                <w:color w:val="auto"/>
              </w:rPr>
            </w:pPr>
          </w:p>
        </w:tc>
        <w:tc>
          <w:tcPr>
            <w:tcW w:w="1060" w:type="dxa"/>
            <w:vAlign w:val="bottom"/>
            <w:gridSpan w:val="2"/>
          </w:tcPr>
          <w:p>
            <w:pPr>
              <w:ind w:left="40"/>
              <w:spacing w:after="0" w:line="147"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7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6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receivables</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0" w:type="dxa"/>
            <w:vAlign w:val="bottom"/>
          </w:tcPr>
          <w:p>
            <w:pPr>
              <w:spacing w:after="0"/>
              <w:rPr>
                <w:sz w:val="1"/>
                <w:szCs w:val="1"/>
                <w:color w:val="auto"/>
              </w:rPr>
            </w:pPr>
          </w:p>
        </w:tc>
      </w:tr>
      <w:tr>
        <w:trPr>
          <w:trHeight w:val="216"/>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fuel</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insurance and insurance related receivables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16"/>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cash - vessel construction obligations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10"/>
        </w:trPr>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99"/>
        <w:spacing w:after="0" w:line="282" w:lineRule="auto"/>
        <w:rPr>
          <w:sz w:val="20"/>
          <w:szCs w:val="20"/>
          <w:color w:val="auto"/>
        </w:rPr>
      </w:pPr>
      <w:r>
        <w:rPr>
          <w:rFonts w:ascii="Times New Roman" w:cs="Times New Roman" w:eastAsia="Times New Roman" w:hAnsi="Times New Roman"/>
          <w:sz w:val="18"/>
          <w:szCs w:val="18"/>
          <w:color w:val="auto"/>
        </w:rPr>
        <w:t>Income tax receivables include an expected federal income tax refund related to the Company’s 2021 federal tax return and other income tax receivables.</w:t>
      </w:r>
    </w:p>
    <w:p>
      <w:pPr>
        <w:spacing w:after="0" w:line="158" w:lineRule="exact"/>
        <w:rPr>
          <w:sz w:val="20"/>
          <w:szCs w:val="20"/>
          <w:color w:val="auto"/>
        </w:rPr>
      </w:pPr>
    </w:p>
    <w:p>
      <w:pPr>
        <w:ind w:left="60" w:right="27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Recognition of Revenues and Expenses: </w:t>
      </w:r>
      <w:r>
        <w:rPr>
          <w:rFonts w:ascii="Times New Roman" w:cs="Times New Roman" w:eastAsia="Times New Roman" w:hAnsi="Times New Roman"/>
          <w:sz w:val="18"/>
          <w:szCs w:val="18"/>
          <w:color w:val="auto"/>
        </w:rPr>
        <w:t>Revenue in the Company’s Condensed Consolidated Financial Statements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presented net of elimination of intercompany transactions. The following is a description of the Company’s principal revenue generating activities by segment, and the Company’s revenue recognition policy for each activity for the periods presented:</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Ocean Transportation (in millions) (1)</w:t>
            </w: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66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Ocean Transportation services</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936.7</w:t>
            </w:r>
          </w:p>
        </w:tc>
        <w:tc>
          <w:tcPr>
            <w:tcW w:w="0" w:type="dxa"/>
            <w:vAlign w:val="bottom"/>
          </w:tcPr>
          <w:p>
            <w:pPr>
              <w:spacing w:after="0"/>
              <w:rPr>
                <w:sz w:val="1"/>
                <w:szCs w:val="1"/>
                <w:color w:val="auto"/>
              </w:rPr>
            </w:pPr>
          </w:p>
        </w:tc>
      </w:tr>
      <w:tr>
        <w:trPr>
          <w:trHeight w:val="216"/>
        </w:trPr>
        <w:tc>
          <w:tcPr>
            <w:tcW w:w="6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Terminal and other related services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6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Fuel sales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68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Vessel management and related services</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0"/>
        </w:trPr>
        <w:tc>
          <w:tcPr>
            <w:tcW w:w="682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551.0</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943.9</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4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80" w:right="599" w:hanging="330"/>
        <w:spacing w:after="0" w:line="261" w:lineRule="auto"/>
        <w:tabs>
          <w:tab w:leader="none" w:pos="3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Ocean Transportation revenue transactions are primarily denominated in U.S. dollars except for less than 3 percent of Ocean Transportation revenues which are denominated in foreign currencies.</w:t>
      </w:r>
    </w:p>
    <w:p>
      <w:pPr>
        <w:spacing w:after="0" w:line="81" w:lineRule="exact"/>
        <w:rPr>
          <w:sz w:val="20"/>
          <w:szCs w:val="20"/>
          <w:color w:val="auto"/>
        </w:rPr>
      </w:pPr>
    </w:p>
    <w:p>
      <w:pPr>
        <w:ind w:left="380" w:right="119"/>
        <w:spacing w:after="0" w:line="261" w:lineRule="auto"/>
        <w:rPr>
          <w:sz w:val="20"/>
          <w:szCs w:val="20"/>
          <w:color w:val="auto"/>
        </w:rPr>
      </w:pPr>
      <w:r>
        <w:rPr>
          <w:rFonts w:ascii="Times New Roman" w:cs="Times New Roman" w:eastAsia="Times New Roman" w:hAnsi="Times New Roman"/>
          <w:sz w:val="18"/>
          <w:szCs w:val="18"/>
          <w:color w:val="auto"/>
        </w:rPr>
        <w:t>Ocean Transportation services revenue is recognized ratably over the duration of a voyage based on the relative transit time completed in each reporting period. Vessel operating costs and other ocean transportation operating costs, such as terminal operating overhead and selling, general and administrative expenses, are charged to operating costs as incurred.</w:t>
      </w:r>
    </w:p>
    <w:p>
      <w:pPr>
        <w:ind w:left="380" w:right="179"/>
        <w:spacing w:after="0" w:line="250" w:lineRule="auto"/>
        <w:rPr>
          <w:sz w:val="20"/>
          <w:szCs w:val="20"/>
          <w:color w:val="auto"/>
        </w:rPr>
      </w:pPr>
      <w:r>
        <w:rPr>
          <w:rFonts w:ascii="Times New Roman" w:cs="Times New Roman" w:eastAsia="Times New Roman" w:hAnsi="Times New Roman"/>
          <w:sz w:val="18"/>
          <w:szCs w:val="18"/>
          <w:color w:val="auto"/>
        </w:rPr>
        <w:t>Terminal and other related services revenue is recognized as the services are performed. Related costs are recognized as incurred.</w:t>
      </w:r>
    </w:p>
    <w:p>
      <w:pPr>
        <w:ind w:left="380" w:right="319"/>
        <w:spacing w:after="0" w:line="250" w:lineRule="auto"/>
        <w:rPr>
          <w:sz w:val="20"/>
          <w:szCs w:val="20"/>
          <w:color w:val="auto"/>
        </w:rPr>
      </w:pPr>
      <w:r>
        <w:rPr>
          <w:rFonts w:ascii="Times New Roman" w:cs="Times New Roman" w:eastAsia="Times New Roman" w:hAnsi="Times New Roman"/>
          <w:sz w:val="18"/>
          <w:szCs w:val="18"/>
          <w:color w:val="auto"/>
        </w:rPr>
        <w:t>Fuel sales revenue and related costs are recognized when the Company has completed delivery of the product to the customer in accordance with the terms and conditions of the contract.</w:t>
      </w:r>
    </w:p>
    <w:p>
      <w:pPr>
        <w:ind w:left="380" w:right="199"/>
        <w:spacing w:after="0" w:line="260" w:lineRule="auto"/>
        <w:rPr>
          <w:sz w:val="20"/>
          <w:szCs w:val="20"/>
          <w:color w:val="auto"/>
        </w:rPr>
      </w:pPr>
      <w:r>
        <w:rPr>
          <w:rFonts w:ascii="Times New Roman" w:cs="Times New Roman" w:eastAsia="Times New Roman" w:hAnsi="Times New Roman"/>
          <w:sz w:val="18"/>
          <w:szCs w:val="18"/>
          <w:color w:val="auto"/>
        </w:rPr>
        <w:t>Vessel management and related services revenue is recognized in proportion to the services completed. Related costs are recognized as incurred.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Logistics (in millions) (1)</w:t>
            </w: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66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 Brokerage and Freight Forwarding services</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0" w:type="dxa"/>
            <w:vAlign w:val="bottom"/>
          </w:tcPr>
          <w:p>
            <w:pPr>
              <w:spacing w:after="0"/>
              <w:rPr>
                <w:sz w:val="1"/>
                <w:szCs w:val="1"/>
                <w:color w:val="auto"/>
              </w:rPr>
            </w:pPr>
          </w:p>
        </w:tc>
      </w:tr>
      <w:tr>
        <w:trPr>
          <w:trHeight w:val="216"/>
        </w:trPr>
        <w:tc>
          <w:tcPr>
            <w:tcW w:w="6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Warehousing and distribution services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6"/>
        </w:trPr>
        <w:tc>
          <w:tcPr>
            <w:tcW w:w="6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Supply chain management and other services</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09"/>
        </w:trPr>
        <w:tc>
          <w:tcPr>
            <w:tcW w:w="6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20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4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80" w:right="119" w:hanging="330"/>
        <w:spacing w:after="0" w:line="261" w:lineRule="auto"/>
        <w:tabs>
          <w:tab w:leader="none" w:pos="3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Logistics revenue transactions are primarily denominated in U.S. dollars except for less than 3 percent of Logistics revenues which are denominated in foreign currencies.</w:t>
      </w:r>
    </w:p>
    <w:p>
      <w:pPr>
        <w:spacing w:after="0" w:line="81" w:lineRule="exact"/>
        <w:rPr>
          <w:sz w:val="20"/>
          <w:szCs w:val="20"/>
          <w:color w:val="auto"/>
        </w:rPr>
      </w:pPr>
    </w:p>
    <w:p>
      <w:pPr>
        <w:ind w:left="380" w:right="99"/>
        <w:spacing w:after="0" w:line="255" w:lineRule="auto"/>
        <w:rPr>
          <w:sz w:val="20"/>
          <w:szCs w:val="20"/>
          <w:color w:val="auto"/>
        </w:rPr>
      </w:pPr>
      <w:r>
        <w:rPr>
          <w:rFonts w:ascii="Times New Roman" w:cs="Times New Roman" w:eastAsia="Times New Roman" w:hAnsi="Times New Roman"/>
          <w:sz w:val="18"/>
          <w:szCs w:val="18"/>
          <w:color w:val="auto"/>
        </w:rPr>
        <w:t>Transportation Brokerage and Freight Forwarding services revenue consists of amounts billed to customers for services provided. The primary costs include third-party purchased transportation services, agent commissions, labor and equipment. Revenue and the related purchased third-party transportation costs are recognized over the duration of a delivery based upon the relative transit time completed in each reporting period. Labor, agent commissions, and other operating costs are expensed as incurred. The Company reports revenue on a gross basis as the Company serves as the principal in these transactions because it is responsible for fulfilling the contractual arrangements with the customer and has latitude in establishing prices.</w:t>
      </w:r>
    </w:p>
    <w:p>
      <w:pPr>
        <w:spacing w:after="0" w:line="9" w:lineRule="exact"/>
        <w:rPr>
          <w:sz w:val="20"/>
          <w:szCs w:val="20"/>
          <w:color w:val="auto"/>
        </w:rPr>
      </w:pPr>
    </w:p>
    <w:p>
      <w:pPr>
        <w:ind w:left="380" w:right="99"/>
        <w:spacing w:after="0" w:line="250" w:lineRule="auto"/>
        <w:rPr>
          <w:sz w:val="20"/>
          <w:szCs w:val="20"/>
          <w:color w:val="auto"/>
        </w:rPr>
      </w:pPr>
      <w:r>
        <w:rPr>
          <w:rFonts w:ascii="Times New Roman" w:cs="Times New Roman" w:eastAsia="Times New Roman" w:hAnsi="Times New Roman"/>
          <w:sz w:val="18"/>
          <w:szCs w:val="18"/>
          <w:color w:val="auto"/>
        </w:rPr>
        <w:t>Warehousing and distribution services revenue consist of amounts billed to customers for storage, handling, and value-added packaging of customer merchandise. Storage revenue is recognized in the month the service is provided to the customer. Storage related costs are recognized as incurred. Other Warehousing and distribution services revenue and related costs are recognized in proportion to the services performed.</w:t>
      </w:r>
    </w:p>
    <w:p>
      <w:pPr>
        <w:spacing w:after="0" w:line="1" w:lineRule="exact"/>
        <w:rPr>
          <w:sz w:val="20"/>
          <w:szCs w:val="20"/>
          <w:color w:val="auto"/>
        </w:rPr>
      </w:pPr>
    </w:p>
    <w:p>
      <w:pPr>
        <w:ind w:left="380" w:right="319"/>
        <w:spacing w:after="0" w:line="260" w:lineRule="auto"/>
        <w:rPr>
          <w:sz w:val="20"/>
          <w:szCs w:val="20"/>
          <w:color w:val="auto"/>
        </w:rPr>
      </w:pPr>
      <w:r>
        <w:rPr>
          <w:rFonts w:ascii="Times New Roman" w:cs="Times New Roman" w:eastAsia="Times New Roman" w:hAnsi="Times New Roman"/>
          <w:sz w:val="18"/>
          <w:szCs w:val="18"/>
          <w:color w:val="auto"/>
        </w:rPr>
        <w:t>Supply chain management and other services revenue, and related costs are recognized in proportion to the services performed.</w:t>
      </w:r>
    </w:p>
    <w:p>
      <w:pPr>
        <w:spacing w:after="0" w:line="181"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The Company generally invoices its customers at the commencement of the voyage or the transportation service being provided, or as other services are being performed. Revenue is deferred when services are invoiced in advance to the customer. The Company’s receivables are classified as short-term as collection terms are for periods of less than one year. The Company expenses sales commissions and contract acquisition costs as incurred because the amounts are generally immaterial. These expenses are included in selling, general and administrative expenses in the Condensed Consolidated Statements of Income and Comprehensive Income.</w:t>
      </w:r>
    </w:p>
    <w:p>
      <w:pPr>
        <w:spacing w:after="0" w:line="183" w:lineRule="exact"/>
        <w:rPr>
          <w:sz w:val="20"/>
          <w:szCs w:val="20"/>
          <w:color w:val="auto"/>
        </w:rPr>
      </w:pPr>
    </w:p>
    <w:p>
      <w:pPr>
        <w:ind w:left="60" w:right="1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 Construction Fund: </w:t>
      </w:r>
      <w:r>
        <w:rPr>
          <w:rFonts w:ascii="Times New Roman" w:cs="Times New Roman" w:eastAsia="Times New Roman" w:hAnsi="Times New Roman"/>
          <w:sz w:val="18"/>
          <w:szCs w:val="18"/>
          <w:color w:val="auto"/>
        </w:rPr>
        <w:t>The Company’s Capital Construction Fund (“CCF”) is described in Note 7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Consolidated Financial Statements included in Part II, Item 8 of the Company’s Annual Report on Form 10-K for the year ended December 31, 2022. A summary of the CCF cash account for the three months ended March 31, 2023 and 2022 is as follows:</w:t>
      </w:r>
    </w:p>
    <w:p>
      <w:pPr>
        <w:spacing w:after="0" w:line="5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20" w:type="dxa"/>
            <w:vAlign w:val="bottom"/>
            <w:gridSpan w:val="4"/>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7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right"/>
              <w:ind w:right="25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6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CCF balance at beginning of period</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Cash deposits</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earned</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Qualifying cash withdrawal payments</w:t>
            </w:r>
          </w:p>
        </w:tc>
        <w:tc>
          <w:tcPr>
            <w:tcW w:w="2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0"/>
        </w:trPr>
        <w:tc>
          <w:tcPr>
            <w:tcW w:w="67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CCF balance at end of period</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Cash on deposit in the CCF is currently held in a U.S. Treasury obligations fund with daily liquidity. At March 31, 2023, securities held within the fund had a weighted average life of 35 days. CCF cash is classified as a long-term asset on the Company’s Condensed Consolidated Balance Sheets, as the Company intends to use qualified cash withdrawals to fund long-term investment in the construction of new vessels.</w:t>
      </w:r>
    </w:p>
    <w:p>
      <w:pPr>
        <w:spacing w:after="0" w:line="180"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2023, the Company pledged $200.0 million of accounts receivable into the CCF. There were no pledges during the three months ended March 31, 2022. As of March 31, 2023 and December 31, 2022, $209.9 million and $9.9 million of eligible accounts receivable were assigned to the CCF, respectively. Due to the nature of the assignment of eligible accounts receivable into the CCF, such assigned amounts are classified as part of accounts receivable in the Condensed Consolidated Balance Sheets.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59"/>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 in SSAT: </w:t>
      </w:r>
      <w:r>
        <w:rPr>
          <w:rFonts w:ascii="Times New Roman" w:cs="Times New Roman" w:eastAsia="Times New Roman" w:hAnsi="Times New Roman"/>
          <w:sz w:val="18"/>
          <w:szCs w:val="18"/>
          <w:color w:val="auto"/>
        </w:rPr>
        <w:t>Condensed income statement information for SSAT for the three months ended March 31, 2023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2022 consisted of the following:</w:t>
      </w:r>
    </w:p>
    <w:tbl>
      <w:tblPr>
        <w:tblLayout w:type="fixed"/>
        <w:tblInd w:w="40" w:type="dxa"/>
        <w:tblCellMar>
          <w:top w:w="0" w:type="dxa"/>
          <w:left w:w="0" w:type="dxa"/>
          <w:bottom w:w="0" w:type="dxa"/>
          <w:right w:w="0" w:type="dxa"/>
        </w:tblCellMar>
      </w:tblPr>
      <w:tr>
        <w:trPr>
          <w:trHeight w:val="149"/>
        </w:trPr>
        <w:tc>
          <w:tcPr>
            <w:tcW w:w="224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gridSpan w:val="4"/>
          </w:tcPr>
          <w:p>
            <w:pPr>
              <w:jc w:val="right"/>
              <w:ind w:right="273"/>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6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67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w:t>
            </w:r>
          </w:p>
        </w:tc>
        <w:tc>
          <w:tcPr>
            <w:tcW w:w="0" w:type="dxa"/>
            <w:vAlign w:val="bottom"/>
          </w:tcPr>
          <w:p>
            <w:pPr>
              <w:spacing w:after="0"/>
              <w:rPr>
                <w:sz w:val="1"/>
                <w:szCs w:val="1"/>
                <w:color w:val="auto"/>
              </w:rPr>
            </w:pPr>
          </w:p>
        </w:tc>
      </w:tr>
      <w:tr>
        <w:trPr>
          <w:trHeight w:val="216"/>
        </w:trPr>
        <w:tc>
          <w:tcPr>
            <w:tcW w:w="6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(235.9)</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0" w:type="dxa"/>
            <w:vAlign w:val="bottom"/>
          </w:tcPr>
          <w:p>
            <w:pPr>
              <w:spacing w:after="0"/>
              <w:rPr>
                <w:sz w:val="1"/>
                <w:szCs w:val="1"/>
                <w:color w:val="auto"/>
              </w:rPr>
            </w:pPr>
          </w:p>
        </w:tc>
      </w:tr>
      <w:tr>
        <w:trPr>
          <w:trHeight w:val="209"/>
        </w:trPr>
        <w:tc>
          <w:tcPr>
            <w:tcW w:w="686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0" w:type="dxa"/>
            <w:vAlign w:val="bottom"/>
          </w:tcPr>
          <w:p>
            <w:pPr>
              <w:spacing w:after="0"/>
              <w:rPr>
                <w:sz w:val="1"/>
                <w:szCs w:val="1"/>
                <w:color w:val="auto"/>
              </w:rPr>
            </w:pPr>
          </w:p>
        </w:tc>
      </w:tr>
      <w:tr>
        <w:trPr>
          <w:trHeight w:val="249"/>
        </w:trPr>
        <w:tc>
          <w:tcPr>
            <w:tcW w:w="686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Net (Loss) Income (1)</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0" w:type="dxa"/>
            <w:vAlign w:val="bottom"/>
          </w:tcPr>
          <w:p>
            <w:pPr>
              <w:spacing w:after="0"/>
              <w:rPr>
                <w:sz w:val="1"/>
                <w:szCs w:val="1"/>
                <w:color w:val="auto"/>
              </w:rPr>
            </w:pPr>
          </w:p>
        </w:tc>
      </w:tr>
      <w:tr>
        <w:trPr>
          <w:trHeight w:val="197"/>
        </w:trPr>
        <w:tc>
          <w:tcPr>
            <w:tcW w:w="6860" w:type="dxa"/>
            <w:vAlign w:val="bottom"/>
            <w:tcBorders>
              <w:bottom w:val="single" w:sz="8" w:color="CCEEFF"/>
            </w:tcBorders>
            <w:gridSpan w:val="3"/>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Company Share of SSAT’s Net (Loss) Income (2)</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4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80" w:hanging="330"/>
        <w:spacing w:after="0"/>
        <w:tabs>
          <w:tab w:leader="none" w:pos="3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earnings from equity method investments held by SSAT less earnings allocated to non-controlling interests.</w:t>
      </w:r>
    </w:p>
    <w:p>
      <w:pPr>
        <w:spacing w:after="0" w:line="3" w:lineRule="exact"/>
        <w:rPr>
          <w:rFonts w:ascii="Times New Roman" w:cs="Times New Roman" w:eastAsia="Times New Roman" w:hAnsi="Times New Roman"/>
          <w:sz w:val="14"/>
          <w:szCs w:val="14"/>
          <w:color w:val="auto"/>
        </w:rPr>
      </w:pPr>
    </w:p>
    <w:p>
      <w:pPr>
        <w:ind w:left="380" w:right="399" w:hanging="330"/>
        <w:spacing w:after="0" w:line="239" w:lineRule="auto"/>
        <w:tabs>
          <w:tab w:leader="none" w:pos="3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records its share of net (loss) income from SSAT in costs and expenses in the Condensed Consolidated Statement of Income and Comprehensive Income due to the nature of SSAT’s operations.</w:t>
      </w:r>
    </w:p>
    <w:p>
      <w:pPr>
        <w:spacing w:after="0" w:line="113" w:lineRule="exact"/>
        <w:rPr>
          <w:sz w:val="20"/>
          <w:szCs w:val="20"/>
          <w:color w:val="auto"/>
        </w:rPr>
      </w:pPr>
    </w:p>
    <w:p>
      <w:pPr>
        <w:ind w:left="60" w:right="499"/>
        <w:spacing w:after="0" w:line="282" w:lineRule="auto"/>
        <w:rPr>
          <w:sz w:val="20"/>
          <w:szCs w:val="20"/>
          <w:color w:val="auto"/>
        </w:rPr>
      </w:pPr>
      <w:r>
        <w:rPr>
          <w:rFonts w:ascii="Times New Roman" w:cs="Times New Roman" w:eastAsia="Times New Roman" w:hAnsi="Times New Roman"/>
          <w:sz w:val="18"/>
          <w:szCs w:val="18"/>
          <w:color w:val="auto"/>
        </w:rPr>
        <w:t>The Company’s investment in SSAT was $81.5 million and $81.2 million at March 31, 2023 and December 31, 2022, respectively.</w:t>
      </w:r>
    </w:p>
    <w:p>
      <w:pPr>
        <w:spacing w:after="0" w:line="158" w:lineRule="exact"/>
        <w:rPr>
          <w:sz w:val="20"/>
          <w:szCs w:val="20"/>
          <w:color w:val="auto"/>
        </w:rPr>
      </w:pPr>
    </w:p>
    <w:p>
      <w:pPr>
        <w:ind w:left="60" w:right="1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The Company’s first quarter 2023 cash dividend of $0.31 per share was paid on March 2, 2023. On April 27,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2023, the Company’s Board of Directors declared a cash dividend of $0.31 per share payable on June 1, 2023 to shareholders of record on May 11, 2023.</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Repurchase of Shares: </w:t>
      </w:r>
      <w:r>
        <w:rPr>
          <w:rFonts w:ascii="Times New Roman" w:cs="Times New Roman" w:eastAsia="Times New Roman" w:hAnsi="Times New Roman"/>
          <w:sz w:val="18"/>
          <w:szCs w:val="18"/>
          <w:color w:val="auto"/>
        </w:rPr>
        <w:t>During the three months ended March 31, 2023, the Company repurchased approximately</w:t>
      </w:r>
    </w:p>
    <w:p>
      <w:pPr>
        <w:spacing w:after="0" w:line="31" w:lineRule="exact"/>
        <w:rPr>
          <w:sz w:val="20"/>
          <w:szCs w:val="20"/>
          <w:color w:val="auto"/>
        </w:rPr>
      </w:pPr>
    </w:p>
    <w:p>
      <w:pPr>
        <w:ind w:left="60" w:right="219"/>
        <w:spacing w:after="0" w:line="260" w:lineRule="auto"/>
        <w:rPr>
          <w:sz w:val="20"/>
          <w:szCs w:val="20"/>
          <w:color w:val="auto"/>
        </w:rPr>
      </w:pPr>
      <w:r>
        <w:rPr>
          <w:rFonts w:ascii="Times New Roman" w:cs="Times New Roman" w:eastAsia="Times New Roman" w:hAnsi="Times New Roman"/>
          <w:sz w:val="18"/>
          <w:szCs w:val="18"/>
          <w:color w:val="auto"/>
        </w:rPr>
        <w:t>0.7 million shares for a total cost of $42.1 million. As of March 31, 2023, the maximum number of remaining shares that may be repurchased under the Company’s share repurchase program was approximately 0.9 million shares.</w:t>
      </w:r>
    </w:p>
    <w:p>
      <w:pPr>
        <w:spacing w:after="0" w:line="200" w:lineRule="exact"/>
        <w:rPr>
          <w:sz w:val="20"/>
          <w:szCs w:val="20"/>
          <w:color w:val="auto"/>
        </w:rPr>
      </w:pPr>
    </w:p>
    <w:p>
      <w:pPr>
        <w:spacing w:after="0" w:line="207" w:lineRule="exact"/>
        <w:rPr>
          <w:sz w:val="20"/>
          <w:szCs w:val="20"/>
          <w:color w:val="auto"/>
        </w:rPr>
      </w:pPr>
    </w:p>
    <w:p>
      <w:pPr>
        <w:ind w:left="640" w:hanging="590"/>
        <w:spacing w:after="0"/>
        <w:tabs>
          <w:tab w:leader="none" w:pos="6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REPORTABLE SEGMENTS</w:t>
      </w:r>
    </w:p>
    <w:p>
      <w:pPr>
        <w:spacing w:after="0" w:line="229" w:lineRule="exact"/>
        <w:rPr>
          <w:sz w:val="20"/>
          <w:szCs w:val="20"/>
          <w:color w:val="auto"/>
        </w:rPr>
      </w:pPr>
    </w:p>
    <w:p>
      <w:pPr>
        <w:ind w:left="60" w:right="299"/>
        <w:spacing w:after="0" w:line="261" w:lineRule="auto"/>
        <w:rPr>
          <w:sz w:val="20"/>
          <w:szCs w:val="20"/>
          <w:color w:val="auto"/>
        </w:rPr>
      </w:pPr>
      <w:r>
        <w:rPr>
          <w:rFonts w:ascii="Times New Roman" w:cs="Times New Roman" w:eastAsia="Times New Roman" w:hAnsi="Times New Roman"/>
          <w:sz w:val="18"/>
          <w:szCs w:val="18"/>
          <w:color w:val="auto"/>
        </w:rPr>
        <w:t>Reportable segments are components of an enterprise that engage in business activities from which it may earn revenues and incur expenses, whose operating results are regularly reviewed by the chief operating decision maker to make decisions about resources to be allocated to the segment and assess its performance, and for which discrete financial information is available. The Company’s chief operating decision maker is its Chief Executive Officer.</w:t>
      </w:r>
    </w:p>
    <w:p>
      <w:pPr>
        <w:spacing w:after="0" w:line="180" w:lineRule="exact"/>
        <w:rPr>
          <w:sz w:val="20"/>
          <w:szCs w:val="20"/>
          <w:color w:val="auto"/>
        </w:rPr>
      </w:pPr>
    </w:p>
    <w:p>
      <w:pPr>
        <w:ind w:left="60" w:right="359"/>
        <w:spacing w:after="0" w:line="256" w:lineRule="auto"/>
        <w:rPr>
          <w:sz w:val="20"/>
          <w:szCs w:val="20"/>
          <w:color w:val="auto"/>
        </w:rPr>
      </w:pPr>
      <w:r>
        <w:rPr>
          <w:rFonts w:ascii="Times New Roman" w:cs="Times New Roman" w:eastAsia="Times New Roman" w:hAnsi="Times New Roman"/>
          <w:sz w:val="18"/>
          <w:szCs w:val="18"/>
          <w:color w:val="auto"/>
        </w:rPr>
        <w:t>The Company consists of two reportable segments, Ocean Transportation and Logistics, which are further described in Note 1. Reportable segments are measured based on operating income. In arrangements where the customer purchases ocean transportation and logistics services, the revenues are allocated to each reportable segment based upon the contractual amounts for each type of service. The Company’s SSAT segment has been aggregated into the Company’s Ocean Transportation segment due to the operations of SSAT being an integral part of the Company’s Ocean Transportation business.</w:t>
      </w:r>
    </w:p>
    <w:p>
      <w:pPr>
        <w:spacing w:after="0" w:line="187" w:lineRule="exact"/>
        <w:rPr>
          <w:sz w:val="20"/>
          <w:szCs w:val="20"/>
          <w:color w:val="auto"/>
        </w:rPr>
      </w:pPr>
    </w:p>
    <w:p>
      <w:pPr>
        <w:ind w:left="60" w:right="339"/>
        <w:spacing w:after="0" w:line="261" w:lineRule="auto"/>
        <w:rPr>
          <w:sz w:val="20"/>
          <w:szCs w:val="20"/>
          <w:color w:val="auto"/>
        </w:rPr>
      </w:pPr>
      <w:r>
        <w:rPr>
          <w:rFonts w:ascii="Times New Roman" w:cs="Times New Roman" w:eastAsia="Times New Roman" w:hAnsi="Times New Roman"/>
          <w:sz w:val="18"/>
          <w:szCs w:val="18"/>
          <w:color w:val="auto"/>
        </w:rPr>
        <w:t>The Company’s Ocean Transportation segment provides ocean transportation services to the Logistics segment, and the Logistics segment provides logistics services to the Ocean Transportation segment in certain transactions. Accordingly, inter-segment revenue of $40.1 million and $73.2 million for the three months ended March 31, 2023 and 2022, respectively, have been eliminated from operating revenues in the table below.</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Reportable segment financial information for the three months ended March 31, 2023 and 2022 are as follows:</w:t>
      </w:r>
    </w:p>
    <w:p>
      <w:pPr>
        <w:spacing w:after="0" w:line="7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gridSpan w:val="4"/>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7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0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67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Ocean Transportation (1)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551.0</w:t>
            </w:r>
          </w:p>
        </w:tc>
        <w:tc>
          <w:tcPr>
            <w:tcW w:w="24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943.9</w:t>
            </w:r>
          </w:p>
        </w:tc>
        <w:tc>
          <w:tcPr>
            <w:tcW w:w="0" w:type="dxa"/>
            <w:vAlign w:val="bottom"/>
          </w:tcPr>
          <w:p>
            <w:pPr>
              <w:spacing w:after="0"/>
              <w:rPr>
                <w:sz w:val="1"/>
                <w:szCs w:val="1"/>
                <w:color w:val="auto"/>
              </w:rPr>
            </w:pPr>
          </w:p>
        </w:tc>
      </w:tr>
      <w:tr>
        <w:trPr>
          <w:trHeight w:val="216"/>
        </w:trPr>
        <w:tc>
          <w:tcPr>
            <w:tcW w:w="70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Logistics (2)</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0" w:type="dxa"/>
            <w:vAlign w:val="bottom"/>
          </w:tcPr>
          <w:p>
            <w:pPr>
              <w:spacing w:after="0"/>
              <w:rPr>
                <w:sz w:val="1"/>
                <w:szCs w:val="1"/>
                <w:color w:val="auto"/>
              </w:rPr>
            </w:pPr>
          </w:p>
        </w:tc>
      </w:tr>
      <w:tr>
        <w:trPr>
          <w:trHeight w:val="249"/>
        </w:trPr>
        <w:tc>
          <w:tcPr>
            <w:tcW w:w="7000" w:type="dxa"/>
            <w:vAlign w:val="bottom"/>
            <w:tcBorders>
              <w:bottom w:val="single" w:sz="8" w:color="CCEEFF"/>
            </w:tcBorders>
            <w:gridSpan w:val="3"/>
          </w:tcPr>
          <w:p>
            <w:pPr>
              <w:ind w:left="440"/>
              <w:spacing w:after="0"/>
              <w:rPr>
                <w:sz w:val="20"/>
                <w:szCs w:val="20"/>
                <w:color w:val="auto"/>
              </w:rPr>
            </w:pPr>
            <w:r>
              <w:rPr>
                <w:rFonts w:ascii="Times New Roman" w:cs="Times New Roman" w:eastAsia="Times New Roman" w:hAnsi="Times New Roman"/>
                <w:sz w:val="18"/>
                <w:szCs w:val="18"/>
                <w:color w:val="auto"/>
              </w:rPr>
              <w:t>Total Operating Revenue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704.8</w:t>
            </w:r>
          </w:p>
        </w:tc>
        <w:tc>
          <w:tcPr>
            <w:tcW w:w="2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w:t>
            </w:r>
            <w:r>
              <w:rPr>
                <w:rFonts w:ascii="Times New Roman" w:cs="Times New Roman" w:eastAsia="Times New Roman" w:hAnsi="Times New Roman"/>
                <w:sz w:val="18"/>
                <w:szCs w:val="18"/>
                <w:u w:val="single" w:color="auto"/>
                <w:color w:val="auto"/>
              </w:rPr>
              <w:t>5</w:t>
            </w:r>
          </w:p>
        </w:tc>
        <w:tc>
          <w:tcPr>
            <w:tcW w:w="0" w:type="dxa"/>
            <w:vAlign w:val="bottom"/>
          </w:tcPr>
          <w:p>
            <w:pPr>
              <w:spacing w:after="0"/>
              <w:rPr>
                <w:sz w:val="1"/>
                <w:szCs w:val="1"/>
                <w:color w:val="auto"/>
              </w:rPr>
            </w:pPr>
          </w:p>
        </w:tc>
      </w:tr>
      <w:tr>
        <w:trPr>
          <w:trHeight w:val="197"/>
        </w:trPr>
        <w:tc>
          <w:tcPr>
            <w:tcW w:w="7000" w:type="dxa"/>
            <w:vAlign w:val="bottom"/>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Ocean Transportation (3)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4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416.2</w:t>
            </w:r>
          </w:p>
        </w:tc>
        <w:tc>
          <w:tcPr>
            <w:tcW w:w="0" w:type="dxa"/>
            <w:vAlign w:val="bottom"/>
          </w:tcPr>
          <w:p>
            <w:pPr>
              <w:spacing w:after="0"/>
              <w:rPr>
                <w:sz w:val="1"/>
                <w:szCs w:val="1"/>
                <w:color w:val="auto"/>
              </w:rPr>
            </w:pPr>
          </w:p>
        </w:tc>
      </w:tr>
      <w:tr>
        <w:trPr>
          <w:trHeight w:val="216"/>
        </w:trPr>
        <w:tc>
          <w:tcPr>
            <w:tcW w:w="70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Logistics</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10"/>
        </w:trPr>
        <w:tc>
          <w:tcPr>
            <w:tcW w:w="70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Total Operating Income</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432.6</w:t>
            </w:r>
          </w:p>
        </w:tc>
        <w:tc>
          <w:tcPr>
            <w:tcW w:w="0" w:type="dxa"/>
            <w:vAlign w:val="bottom"/>
          </w:tcPr>
          <w:p>
            <w:pPr>
              <w:spacing w:after="0"/>
              <w:rPr>
                <w:sz w:val="1"/>
                <w:szCs w:val="1"/>
                <w:color w:val="auto"/>
              </w:rPr>
            </w:pPr>
          </w:p>
        </w:tc>
      </w:tr>
      <w:tr>
        <w:trPr>
          <w:trHeight w:val="216"/>
        </w:trPr>
        <w:tc>
          <w:tcPr>
            <w:tcW w:w="70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70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0"/>
        </w:trPr>
        <w:tc>
          <w:tcPr>
            <w:tcW w:w="70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Income before Taxes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429.8</w:t>
            </w:r>
          </w:p>
        </w:tc>
        <w:tc>
          <w:tcPr>
            <w:tcW w:w="0" w:type="dxa"/>
            <w:vAlign w:val="bottom"/>
          </w:tcPr>
          <w:p>
            <w:pPr>
              <w:spacing w:after="0"/>
              <w:rPr>
                <w:sz w:val="1"/>
                <w:szCs w:val="1"/>
                <w:color w:val="auto"/>
              </w:rPr>
            </w:pPr>
          </w:p>
        </w:tc>
      </w:tr>
      <w:tr>
        <w:trPr>
          <w:trHeight w:val="216"/>
        </w:trPr>
        <w:tc>
          <w:tcPr>
            <w:tcW w:w="7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0" w:type="dxa"/>
            <w:vAlign w:val="bottom"/>
          </w:tcPr>
          <w:p>
            <w:pPr>
              <w:spacing w:after="0"/>
              <w:rPr>
                <w:sz w:val="1"/>
                <w:szCs w:val="1"/>
                <w:color w:val="auto"/>
              </w:rPr>
            </w:pPr>
          </w:p>
        </w:tc>
      </w:tr>
      <w:tr>
        <w:trPr>
          <w:trHeight w:val="209"/>
        </w:trPr>
        <w:tc>
          <w:tcPr>
            <w:tcW w:w="7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339.2</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4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80" w:right="239" w:hanging="330"/>
        <w:spacing w:after="0" w:line="233" w:lineRule="auto"/>
        <w:tabs>
          <w:tab w:leader="none" w:pos="3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Ocean Transportation operating revenue excludes inter-segment revenue of $16.1 million and $21.8 million for the three months ended March 31, 2023 and 2022, respectively.</w:t>
      </w:r>
    </w:p>
    <w:p>
      <w:pPr>
        <w:ind w:left="380" w:right="399" w:hanging="330"/>
        <w:spacing w:after="0" w:line="221" w:lineRule="auto"/>
        <w:tabs>
          <w:tab w:leader="none" w:pos="3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Logistics operating revenue excludes inter-segment revenue of $24.0 million and $51.4 million for the three months ended March 31, 2023 and 2022, respectively.</w:t>
      </w:r>
    </w:p>
    <w:p>
      <w:pPr>
        <w:ind w:left="380" w:right="179" w:hanging="330"/>
        <w:spacing w:after="0" w:line="239" w:lineRule="auto"/>
        <w:tabs>
          <w:tab w:leader="none" w:pos="3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Ocean Transportation segment information includes $(1.8) million and $34.0 million of equity in income from the Company’s equity investment in SSAT for the three months ended March 31, 2023 and 2022, respectively.</w:t>
      </w:r>
    </w:p>
    <w:p>
      <w:pPr>
        <w:spacing w:after="0" w:line="393" w:lineRule="exact"/>
        <w:rPr>
          <w:sz w:val="20"/>
          <w:szCs w:val="20"/>
          <w:color w:val="auto"/>
        </w:rPr>
      </w:pPr>
    </w:p>
    <w:p>
      <w:pPr>
        <w:ind w:left="640" w:hanging="590"/>
        <w:spacing w:after="0"/>
        <w:tabs>
          <w:tab w:leader="none" w:pos="6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Property and equipment as of March 31, 2023 and December 31, 2022 consisted of the following:</w:t>
      </w:r>
    </w:p>
    <w:p>
      <w:pPr>
        <w:spacing w:after="0" w:line="12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3"/>
                <w:szCs w:val="13"/>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7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6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Vessels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2,263.4</w:t>
            </w:r>
          </w:p>
        </w:tc>
        <w:tc>
          <w:tcPr>
            <w:tcW w:w="200" w:type="dxa"/>
            <w:vAlign w:val="bottom"/>
          </w:tcPr>
          <w:p>
            <w:pPr>
              <w:spacing w:after="0"/>
              <w:rPr>
                <w:sz w:val="18"/>
                <w:szCs w:val="18"/>
                <w:color w:val="auto"/>
              </w:rPr>
            </w:pP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2,278.6</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Containers and equipment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762.7</w:t>
            </w:r>
          </w:p>
        </w:tc>
        <w:tc>
          <w:tcPr>
            <w:tcW w:w="0" w:type="dxa"/>
            <w:vAlign w:val="bottom"/>
          </w:tcPr>
          <w:p>
            <w:pPr>
              <w:spacing w:after="0"/>
              <w:rPr>
                <w:sz w:val="1"/>
                <w:szCs w:val="1"/>
                <w:color w:val="auto"/>
              </w:rPr>
            </w:pPr>
          </w:p>
        </w:tc>
      </w:tr>
      <w:tr>
        <w:trPr>
          <w:trHeight w:val="216"/>
        </w:trPr>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Terminal facilities and other property</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New vessel construction in progress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16"/>
        </w:trPr>
        <w:tc>
          <w:tcPr>
            <w:tcW w:w="67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Other construction in progress</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0" w:type="dxa"/>
            <w:vAlign w:val="bottom"/>
          </w:tcPr>
          <w:p>
            <w:pPr>
              <w:spacing w:after="0"/>
              <w:rPr>
                <w:sz w:val="1"/>
                <w:szCs w:val="1"/>
                <w:color w:val="auto"/>
              </w:rPr>
            </w:pPr>
          </w:p>
        </w:tc>
      </w:tr>
      <w:tr>
        <w:trPr>
          <w:trHeight w:val="210"/>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3,288.7</w:t>
            </w:r>
          </w:p>
        </w:tc>
        <w:tc>
          <w:tcPr>
            <w:tcW w:w="0" w:type="dxa"/>
            <w:vAlign w:val="bottom"/>
          </w:tcPr>
          <w:p>
            <w:pPr>
              <w:spacing w:after="0"/>
              <w:rPr>
                <w:sz w:val="1"/>
                <w:szCs w:val="1"/>
                <w:color w:val="auto"/>
              </w:rPr>
            </w:pPr>
          </w:p>
        </w:tc>
      </w:tr>
      <w:tr>
        <w:trPr>
          <w:trHeight w:val="216"/>
        </w:trPr>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(1,339.4)</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(1,326.2)</w:t>
            </w:r>
          </w:p>
        </w:tc>
        <w:tc>
          <w:tcPr>
            <w:tcW w:w="0" w:type="dxa"/>
            <w:vAlign w:val="bottom"/>
          </w:tcPr>
          <w:p>
            <w:pPr>
              <w:spacing w:after="0"/>
              <w:rPr>
                <w:sz w:val="1"/>
                <w:szCs w:val="1"/>
                <w:color w:val="auto"/>
              </w:rPr>
            </w:pPr>
          </w:p>
        </w:tc>
      </w:tr>
      <w:tr>
        <w:trPr>
          <w:trHeight w:val="210"/>
        </w:trPr>
        <w:tc>
          <w:tcPr>
            <w:tcW w:w="67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1,962.5</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left="60" w:right="159"/>
        <w:spacing w:after="0" w:line="282" w:lineRule="auto"/>
        <w:rPr>
          <w:sz w:val="20"/>
          <w:szCs w:val="20"/>
          <w:color w:val="auto"/>
        </w:rPr>
      </w:pPr>
      <w:r>
        <w:rPr>
          <w:rFonts w:ascii="Times New Roman" w:cs="Times New Roman" w:eastAsia="Times New Roman" w:hAnsi="Times New Roman"/>
          <w:sz w:val="18"/>
          <w:szCs w:val="18"/>
          <w:color w:val="auto"/>
        </w:rPr>
        <w:t>New vessel construction in progress at March 31, 2023 and December 31, 2022 includes milestone progress payments and capitalized interest, and other costs related to the construction of three new Jones Act vessels.</w:t>
      </w:r>
    </w:p>
    <w:p>
      <w:pPr>
        <w:spacing w:after="0" w:line="387" w:lineRule="exact"/>
        <w:rPr>
          <w:sz w:val="20"/>
          <w:szCs w:val="20"/>
          <w:color w:val="auto"/>
        </w:rPr>
      </w:pPr>
    </w:p>
    <w:p>
      <w:pPr>
        <w:ind w:left="640" w:hanging="590"/>
        <w:spacing w:after="0"/>
        <w:tabs>
          <w:tab w:leader="none" w:pos="6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Goodwill by segment as of March 31, 2023 and December 31, 2022 consisted of the following:</w:t>
      </w:r>
    </w:p>
    <w:p>
      <w:pPr>
        <w:spacing w:after="0" w:line="12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3"/>
                <w:szCs w:val="13"/>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Ocean</w:t>
            </w: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8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120" w:type="dxa"/>
            <w:vAlign w:val="bottom"/>
            <w:gridSpan w:val="2"/>
            <w:vMerge w:val="continue"/>
          </w:tcPr>
          <w:p>
            <w:pPr>
              <w:spacing w:after="0"/>
              <w:rPr>
                <w:sz w:val="15"/>
                <w:szCs w:val="15"/>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86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9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105.2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327.8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Intangible assets as of March 31, 2023 and December 31, 2022 consisted of the following:</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3"/>
                <w:szCs w:val="13"/>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6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Ocean Transportation</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80" w:type="dxa"/>
            <w:vAlign w:val="bottom"/>
          </w:tcPr>
          <w:p>
            <w:pPr>
              <w:spacing w:after="0"/>
              <w:rPr>
                <w:sz w:val="18"/>
                <w:szCs w:val="18"/>
                <w:color w:val="auto"/>
              </w:rPr>
            </w:pP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Logistics</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(91.6)</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(88.3)</w:t>
            </w:r>
          </w:p>
        </w:tc>
        <w:tc>
          <w:tcPr>
            <w:tcW w:w="0" w:type="dxa"/>
            <w:vAlign w:val="bottom"/>
          </w:tcPr>
          <w:p>
            <w:pPr>
              <w:spacing w:after="0"/>
              <w:rPr>
                <w:sz w:val="1"/>
                <w:szCs w:val="1"/>
                <w:color w:val="auto"/>
              </w:rPr>
            </w:pPr>
          </w:p>
        </w:tc>
      </w:tr>
      <w:tr>
        <w:trPr>
          <w:trHeight w:val="209"/>
        </w:trPr>
        <w:tc>
          <w:tcPr>
            <w:tcW w:w="6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Customer Relationships, net</w:t>
            </w: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 – Logistics</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180" w:type="dxa"/>
            <w:vAlign w:val="bottom"/>
          </w:tcPr>
          <w:p>
            <w:pPr>
              <w:spacing w:after="0"/>
              <w:rPr>
                <w:sz w:val="18"/>
                <w:szCs w:val="18"/>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60" w:right="579"/>
        <w:spacing w:after="0" w:line="237" w:lineRule="auto"/>
        <w:rPr>
          <w:sz w:val="20"/>
          <w:szCs w:val="20"/>
          <w:color w:val="auto"/>
        </w:rPr>
      </w:pPr>
      <w:r>
        <w:rPr>
          <w:rFonts w:ascii="Times New Roman" w:cs="Times New Roman" w:eastAsia="Times New Roman" w:hAnsi="Times New Roman"/>
          <w:sz w:val="18"/>
          <w:szCs w:val="18"/>
          <w:color w:val="auto"/>
        </w:rPr>
        <w:t>During the three months ended March 31, 2023, the Company completed an asset acquisition consisting of customer relationship intangible assets for $16.5 million, which are being amortized over seven years.</w:t>
      </w:r>
    </w:p>
    <w:p>
      <w:pPr>
        <w:spacing w:after="0" w:line="185"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 evaluates its goodwill and intangible assets for possible impairment in the fourth quarter, or whenever events or changes in circumstances indicate that it is more likely than not that the fair value is less than its carrying amount. The Company has reporting units within the Ocean Transportation and Logistics reportable segments. The Company considered the general economic and market conditions and its impact on the performance of each of the Company’s reporting units. Based on the Company’s assessment of its market capitalization, future forecasts and the amount of excess of fair value over the carrying value of the reporting units in the 2022 annual impairment tests, the Company concluded that an impairment triggering event did not occur during the three months ended March 31, 2023.</w:t>
      </w:r>
    </w:p>
    <w:p>
      <w:pPr>
        <w:spacing w:after="0" w:line="18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 Company will monitor events and changes in circumstances that could negatively impact the key assumptions used in determining the fair value, including the amount and timing of estimated future cash flows generated by the reporting units, long-term growth and discount rates, comparable company market valuations, and industry and economic trends. It is possible that future changes in such circumstances, including future changes in the assumptions and estimates used in assessing the fair value of the reporting unit, could require the Company to record a non-cash impairment charge.</w:t>
      </w:r>
    </w:p>
    <w:p>
      <w:pPr>
        <w:spacing w:after="0" w:line="395" w:lineRule="exact"/>
        <w:rPr>
          <w:sz w:val="20"/>
          <w:szCs w:val="20"/>
          <w:color w:val="auto"/>
        </w:rPr>
      </w:pPr>
    </w:p>
    <w:p>
      <w:pPr>
        <w:ind w:left="640" w:hanging="590"/>
        <w:spacing w:after="0"/>
        <w:tabs>
          <w:tab w:leader="none" w:pos="6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March 31, 2023 and December 31, 2022, the Company’s debt consisted of the following:</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3"/>
                <w:szCs w:val="13"/>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7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6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Placement Term Loans:</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3.66 %, payable through 2023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18"/>
                <w:szCs w:val="18"/>
                <w:color w:val="auto"/>
              </w:rPr>
            </w:pP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3.37 %, payable through 2027</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r>
        <w:trPr>
          <w:trHeight w:val="216"/>
        </w:trPr>
        <w:tc>
          <w:tcPr>
            <w:tcW w:w="6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3.14 %, payable through 2031</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Title XI Debt: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5.34 %, payable through 2028</w:t>
            </w:r>
          </w:p>
        </w:tc>
        <w:tc>
          <w:tcPr>
            <w:tcW w:w="1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5.27 %, payable through 2029</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6"/>
        </w:trPr>
        <w:tc>
          <w:tcPr>
            <w:tcW w:w="6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1.22 %, payable through 2043</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1.35 %, payable through 2044</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0" w:type="dxa"/>
            <w:vAlign w:val="bottom"/>
          </w:tcPr>
          <w:p>
            <w:pPr>
              <w:spacing w:after="0"/>
              <w:rPr>
                <w:sz w:val="1"/>
                <w:szCs w:val="1"/>
                <w:color w:val="auto"/>
              </w:rPr>
            </w:pPr>
          </w:p>
        </w:tc>
      </w:tr>
      <w:tr>
        <w:trPr>
          <w:trHeight w:val="210"/>
        </w:trPr>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Debt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517.5</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(46.3)</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0" w:type="dxa"/>
            <w:vAlign w:val="bottom"/>
          </w:tcPr>
          <w:p>
            <w:pPr>
              <w:spacing w:after="0"/>
              <w:rPr>
                <w:sz w:val="1"/>
                <w:szCs w:val="1"/>
                <w:color w:val="auto"/>
              </w:rPr>
            </w:pPr>
          </w:p>
        </w:tc>
      </w:tr>
      <w:tr>
        <w:trPr>
          <w:trHeight w:val="209"/>
        </w:trPr>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Long-term Debt</w:t>
            </w: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430.4</w:t>
            </w: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440.6</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Deferred loan fees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(12.5)</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0"/>
        </w:trPr>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Long-term Debt, net of deferred loan fees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427.7</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Except as described below, the Company’s debt is described in Note 8 to the Consolidated Financial Statements included in the Company’s Annual Report on Form 10-K for the year ended December 31, 2022.</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Revolving Credit Facility: </w:t>
      </w:r>
      <w:r>
        <w:rPr>
          <w:rFonts w:ascii="Times New Roman" w:cs="Times New Roman" w:eastAsia="Times New Roman" w:hAnsi="Times New Roman"/>
          <w:sz w:val="18"/>
          <w:szCs w:val="18"/>
          <w:color w:val="auto"/>
        </w:rPr>
        <w:t>The Company’s revolving credit facility has committed available borrowing of up to</w:t>
      </w:r>
    </w:p>
    <w:p>
      <w:pPr>
        <w:spacing w:after="0" w:line="31" w:lineRule="exact"/>
        <w:rPr>
          <w:sz w:val="20"/>
          <w:szCs w:val="20"/>
          <w:color w:val="auto"/>
        </w:rPr>
      </w:pPr>
    </w:p>
    <w:p>
      <w:pPr>
        <w:ind w:left="60" w:right="259" w:firstLine="45"/>
        <w:spacing w:after="0" w:line="260" w:lineRule="auto"/>
        <w:rPr>
          <w:sz w:val="20"/>
          <w:szCs w:val="20"/>
          <w:color w:val="auto"/>
        </w:rPr>
      </w:pPr>
      <w:r>
        <w:rPr>
          <w:rFonts w:ascii="Times New Roman" w:cs="Times New Roman" w:eastAsia="Times New Roman" w:hAnsi="Times New Roman"/>
          <w:sz w:val="18"/>
          <w:szCs w:val="18"/>
          <w:color w:val="auto"/>
        </w:rPr>
        <w:t>$650 million and matures on March 31, 2026. As of March 31, 2023, the Company had $642.1 million of remaining borrowing availability under the revolving credit facility. The Company used $7.9 million of the revolving credit facility</w:t>
      </w:r>
    </w:p>
    <w:p>
      <w:pPr>
        <w:sectPr>
          <w:pgSz w:w="11900" w:h="16838" w:orient="portrait"/>
          <w:cols w:equalWidth="0" w:num="1">
            <w:col w:w="9019"/>
          </w:cols>
          <w:pgMar w:left="1440" w:top="513" w:right="1440" w:bottom="1440" w:gutter="0" w:footer="0" w:header="0"/>
        </w:sect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for letters of credit outstanding as of March 31, 2023. There were no outstanding borrowings under the revolving credit facility as of March 31, 2023 and December 31, 2022.</w:t>
      </w:r>
    </w:p>
    <w:p>
      <w:pPr>
        <w:spacing w:after="0" w:line="162"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On February 9, 2023, the Company amended the revolving credit facility to replace LIBOR with a new benchmark interest rate, the Secured Overnight Financing Rate (“SOFR”). There were no other significant changes to the revolving credit facility as a result of this amendment.</w:t>
      </w:r>
    </w:p>
    <w:p>
      <w:pPr>
        <w:spacing w:after="0" w:line="172" w:lineRule="exact"/>
        <w:rPr>
          <w:sz w:val="20"/>
          <w:szCs w:val="20"/>
          <w:color w:val="auto"/>
        </w:rPr>
      </w:pPr>
    </w:p>
    <w:p>
      <w:pPr>
        <w:ind w:left="60" w:right="1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Title XI Bonds: </w:t>
      </w:r>
      <w:r>
        <w:rPr>
          <w:rFonts w:ascii="Times New Roman" w:cs="Times New Roman" w:eastAsia="Times New Roman" w:hAnsi="Times New Roman"/>
          <w:sz w:val="18"/>
          <w:szCs w:val="18"/>
          <w:color w:val="auto"/>
        </w:rPr>
        <w:t>On January 27, 2023, the Company prepaid $14.3 million of outstanding principal on the 5.27 percent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Title XI Bond representing all of the remaining outstanding principal for this bond. On March 3, 2023, the Company also prepaid $12.1 million of outstanding principal on the 5.34 percent Title XI Bond representing all of the outstanding principal for this bond.</w:t>
      </w:r>
    </w:p>
    <w:p>
      <w:pPr>
        <w:spacing w:after="0" w:line="176"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Debt Security and Guarantees: </w:t>
      </w:r>
      <w:r>
        <w:rPr>
          <w:rFonts w:ascii="Times New Roman" w:cs="Times New Roman" w:eastAsia="Times New Roman" w:hAnsi="Times New Roman"/>
          <w:sz w:val="18"/>
          <w:szCs w:val="18"/>
          <w:color w:val="auto"/>
        </w:rPr>
        <w:t>All of the debt of the Company and MatNav, including related guarantees, as of March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2023 was unsecured, except for the Title XI debt.</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Debt Maturities: </w:t>
      </w:r>
      <w:r>
        <w:rPr>
          <w:rFonts w:ascii="Times New Roman" w:cs="Times New Roman" w:eastAsia="Times New Roman" w:hAnsi="Times New Roman"/>
          <w:sz w:val="18"/>
          <w:szCs w:val="18"/>
          <w:color w:val="auto"/>
        </w:rPr>
        <w:t>As of March 31, 2023, debt maturities during the next five years and thereafter are as follows:</w:t>
      </w:r>
    </w:p>
    <w:p>
      <w:pPr>
        <w:spacing w:after="0" w:line="7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(in millions)</w:t>
            </w:r>
          </w:p>
        </w:tc>
        <w:tc>
          <w:tcPr>
            <w:tcW w:w="120" w:type="dxa"/>
            <w:vAlign w:val="bottom"/>
          </w:tcPr>
          <w:p>
            <w:pPr>
              <w:spacing w:after="0"/>
              <w:rPr>
                <w:sz w:val="13"/>
                <w:szCs w:val="13"/>
                <w:color w:val="auto"/>
              </w:rPr>
            </w:pPr>
          </w:p>
        </w:tc>
        <w:tc>
          <w:tcPr>
            <w:tcW w:w="110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73"/>
        </w:trPr>
        <w:tc>
          <w:tcPr>
            <w:tcW w:w="76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0" w:type="dxa"/>
            <w:vAlign w:val="bottom"/>
          </w:tcPr>
          <w:p>
            <w:pPr>
              <w:spacing w:after="0"/>
              <w:rPr>
                <w:sz w:val="1"/>
                <w:szCs w:val="1"/>
                <w:color w:val="auto"/>
              </w:rPr>
            </w:pPr>
          </w:p>
        </w:tc>
      </w:tr>
      <w:tr>
        <w:trPr>
          <w:trHeight w:val="209"/>
        </w:trPr>
        <w:tc>
          <w:tcPr>
            <w:tcW w:w="7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2023</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16"/>
        </w:trPr>
        <w:tc>
          <w:tcPr>
            <w:tcW w:w="7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0" w:type="dxa"/>
            <w:vAlign w:val="bottom"/>
          </w:tcPr>
          <w:p>
            <w:pPr>
              <w:spacing w:after="0"/>
              <w:rPr>
                <w:sz w:val="1"/>
                <w:szCs w:val="1"/>
                <w:color w:val="auto"/>
              </w:rPr>
            </w:pPr>
          </w:p>
        </w:tc>
      </w:tr>
      <w:tr>
        <w:trPr>
          <w:trHeight w:val="209"/>
        </w:trPr>
        <w:tc>
          <w:tcPr>
            <w:tcW w:w="76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Debt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476.7</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640" w:hanging="590"/>
        <w:spacing w:after="0"/>
        <w:tabs>
          <w:tab w:leader="none" w:pos="6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The Company’s leases are described in Note 9 to the Consolidated Financial Statements included in Part II, Item 8 of the Company’s Annual Report on Form 10-K for the year ended December 31, 2022.</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Components of Lease Cost: </w:t>
      </w:r>
      <w:r>
        <w:rPr>
          <w:rFonts w:ascii="Times New Roman" w:cs="Times New Roman" w:eastAsia="Times New Roman" w:hAnsi="Times New Roman"/>
          <w:sz w:val="18"/>
          <w:szCs w:val="18"/>
          <w:color w:val="auto"/>
        </w:rPr>
        <w:t>Components of lease cost recorded in the Company’s Condensed Consolidated Statement of</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Income and Comprehensive Income for the three months ended March 31, 2023 and 2022 consisted of the following:</w:t>
      </w:r>
    </w:p>
    <w:p>
      <w:pPr>
        <w:spacing w:after="0" w:line="8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80" w:type="dxa"/>
            <w:vAlign w:val="bottom"/>
            <w:gridSpan w:val="6"/>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6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5"/>
          </w:tcPr>
          <w:p>
            <w:pPr>
              <w:jc w:val="center"/>
              <w:ind w:left="47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5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jc w:val="right"/>
              <w:ind w:right="9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6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41.8</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16"/>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2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0"/>
        </w:trPr>
        <w:tc>
          <w:tcPr>
            <w:tcW w:w="6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lease cost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Maturities of operating lease liabilities at March 31, 2023 are as follows:</w:t>
            </w: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(in millions)</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73"/>
        </w:trPr>
        <w:tc>
          <w:tcPr>
            <w:tcW w:w="6580" w:type="dxa"/>
            <w:vAlign w:val="bottom"/>
            <w:tcBorders>
              <w:bottom w:val="single" w:sz="8" w:color="auto"/>
            </w:tcBorders>
            <w:gridSpan w:val="2"/>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0" w:type="dxa"/>
            <w:vAlign w:val="bottom"/>
          </w:tcPr>
          <w:p>
            <w:pPr>
              <w:spacing w:after="0"/>
              <w:rPr>
                <w:sz w:val="1"/>
                <w:szCs w:val="1"/>
                <w:color w:val="auto"/>
              </w:rPr>
            </w:pPr>
          </w:p>
        </w:tc>
      </w:tr>
      <w:tr>
        <w:trPr>
          <w:trHeight w:val="209"/>
        </w:trPr>
        <w:tc>
          <w:tcPr>
            <w:tcW w:w="6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2023</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0" w:type="dxa"/>
            <w:vAlign w:val="bottom"/>
          </w:tcPr>
          <w:p>
            <w:pPr>
              <w:spacing w:after="0"/>
              <w:rPr>
                <w:sz w:val="1"/>
                <w:szCs w:val="1"/>
                <w:color w:val="auto"/>
              </w:rPr>
            </w:pP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16"/>
        </w:trPr>
        <w:tc>
          <w:tcPr>
            <w:tcW w:w="6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0" w:type="dxa"/>
            <w:vAlign w:val="bottom"/>
          </w:tcPr>
          <w:p>
            <w:pPr>
              <w:spacing w:after="0"/>
              <w:rPr>
                <w:sz w:val="1"/>
                <w:szCs w:val="1"/>
                <w:color w:val="auto"/>
              </w:rPr>
            </w:pPr>
          </w:p>
        </w:tc>
      </w:tr>
      <w:tr>
        <w:trPr>
          <w:trHeight w:val="210"/>
        </w:trPr>
        <w:tc>
          <w:tcPr>
            <w:tcW w:w="6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lease payments</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w:t>
            </w:r>
          </w:p>
        </w:tc>
        <w:tc>
          <w:tcPr>
            <w:tcW w:w="0" w:type="dxa"/>
            <w:vAlign w:val="bottom"/>
          </w:tcPr>
          <w:p>
            <w:pPr>
              <w:spacing w:after="0"/>
              <w:rPr>
                <w:sz w:val="1"/>
                <w:szCs w:val="1"/>
                <w:color w:val="auto"/>
              </w:rPr>
            </w:pPr>
          </w:p>
        </w:tc>
      </w:tr>
      <w:tr>
        <w:trPr>
          <w:trHeight w:val="216"/>
        </w:trPr>
        <w:tc>
          <w:tcPr>
            <w:tcW w:w="6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24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10"/>
        </w:trPr>
        <w:tc>
          <w:tcPr>
            <w:tcW w:w="6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w:t>
            </w:r>
          </w:p>
        </w:tc>
        <w:tc>
          <w:tcPr>
            <w:tcW w:w="0" w:type="dxa"/>
            <w:vAlign w:val="bottom"/>
          </w:tcPr>
          <w:p>
            <w:pPr>
              <w:spacing w:after="0"/>
              <w:rPr>
                <w:sz w:val="1"/>
                <w:szCs w:val="1"/>
                <w:color w:val="auto"/>
              </w:rPr>
            </w:pPr>
          </w:p>
        </w:tc>
      </w:tr>
      <w:tr>
        <w:trPr>
          <w:trHeight w:val="216"/>
        </w:trPr>
        <w:tc>
          <w:tcPr>
            <w:tcW w:w="6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Short-term portion</w:t>
            </w:r>
          </w:p>
        </w:tc>
        <w:tc>
          <w:tcPr>
            <w:tcW w:w="24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0" w:type="dxa"/>
            <w:vAlign w:val="bottom"/>
          </w:tcPr>
          <w:p>
            <w:pPr>
              <w:spacing w:after="0"/>
              <w:rPr>
                <w:sz w:val="1"/>
                <w:szCs w:val="1"/>
                <w:color w:val="auto"/>
              </w:rPr>
            </w:pPr>
          </w:p>
        </w:tc>
      </w:tr>
      <w:tr>
        <w:trPr>
          <w:trHeight w:val="209"/>
        </w:trPr>
        <w:tc>
          <w:tcPr>
            <w:tcW w:w="65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20" w:hanging="570"/>
        <w:spacing w:after="0"/>
        <w:tabs>
          <w:tab w:leader="none" w:pos="6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ACCUMULATED OTHER COMPREHENSIVE INCOME (LOSS)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Changes in accumulated other comprehensive income (loss) by component, net of tax, for the three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31, 2023 consisted of the following:</w:t>
      </w:r>
    </w:p>
    <w:tbl>
      <w:tblPr>
        <w:tblLayout w:type="fixed"/>
        <w:tblInd w:w="40" w:type="dxa"/>
        <w:tblCellMar>
          <w:top w:w="0" w:type="dxa"/>
          <w:left w:w="0" w:type="dxa"/>
          <w:bottom w:w="0" w:type="dxa"/>
          <w:right w:w="0" w:type="dxa"/>
        </w:tblCellMar>
      </w:tblPr>
      <w:tr>
        <w:trPr>
          <w:trHeight w:val="146"/>
        </w:trPr>
        <w:tc>
          <w:tcPr>
            <w:tcW w:w="4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Post-</w:t>
            </w:r>
          </w:p>
        </w:tc>
        <w:tc>
          <w:tcPr>
            <w:tcW w:w="100" w:type="dxa"/>
            <w:vAlign w:val="bottom"/>
          </w:tcPr>
          <w:p>
            <w:pPr>
              <w:spacing w:after="0"/>
              <w:rPr>
                <w:sz w:val="12"/>
                <w:szCs w:val="12"/>
                <w:color w:val="auto"/>
              </w:rPr>
            </w:pPr>
          </w:p>
        </w:tc>
        <w:tc>
          <w:tcPr>
            <w:tcW w:w="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120"/>
              <w:spacing w:after="0" w:line="14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4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6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7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Qualified</w:t>
            </w:r>
          </w:p>
        </w:tc>
        <w:tc>
          <w:tcPr>
            <w:tcW w:w="72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40" w:type="dxa"/>
            <w:vAlign w:val="bottom"/>
            <w:gridSpan w:val="4"/>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73"/>
        </w:trPr>
        <w:tc>
          <w:tcPr>
            <w:tcW w:w="44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20" w:type="dxa"/>
            <w:vAlign w:val="bottom"/>
          </w:tcPr>
          <w:p>
            <w:pPr>
              <w:spacing w:after="0"/>
              <w:rPr>
                <w:sz w:val="15"/>
                <w:szCs w:val="15"/>
                <w:color w:val="auto"/>
              </w:rPr>
            </w:pPr>
          </w:p>
        </w:tc>
        <w:tc>
          <w:tcPr>
            <w:tcW w:w="8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Benefits</w:t>
            </w:r>
          </w:p>
        </w:tc>
        <w:tc>
          <w:tcPr>
            <w:tcW w:w="10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720" w:type="dxa"/>
            <w:vAlign w:val="bottom"/>
            <w:gridSpan w:val="3"/>
            <w:vMerge w:val="continue"/>
          </w:tcPr>
          <w:p>
            <w:pPr>
              <w:spacing w:after="0"/>
              <w:rPr>
                <w:sz w:val="15"/>
                <w:szCs w:val="15"/>
                <w:color w:val="auto"/>
              </w:rPr>
            </w:pPr>
          </w:p>
        </w:tc>
        <w:tc>
          <w:tcPr>
            <w:tcW w:w="104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210"/>
        </w:trPr>
        <w:tc>
          <w:tcPr>
            <w:tcW w:w="4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net loss (gain)</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Foreign currency exchange</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March 31, 2023</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r>
              <w:rPr>
                <w:rFonts w:ascii="Times New Roman" w:cs="Times New Roman" w:eastAsia="Times New Roman" w:hAnsi="Times New Roman"/>
                <w:sz w:val="18"/>
                <w:szCs w:val="18"/>
                <w:u w:val="single" w:color="auto"/>
                <w:color w:val="auto"/>
              </w:rPr>
              <w:t>6</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Changes in accumulated other comprehensive income (loss) by component, net of tax, for the three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31, 2022 consisted of the following:</w:t>
      </w:r>
    </w:p>
    <w:tbl>
      <w:tblPr>
        <w:tblLayout w:type="fixed"/>
        <w:tblInd w:w="40" w:type="dxa"/>
        <w:tblCellMar>
          <w:top w:w="0" w:type="dxa"/>
          <w:left w:w="0" w:type="dxa"/>
          <w:bottom w:w="0" w:type="dxa"/>
          <w:right w:w="0" w:type="dxa"/>
        </w:tblCellMar>
      </w:tblPr>
      <w:tr>
        <w:trPr>
          <w:trHeight w:val="146"/>
        </w:trPr>
        <w:tc>
          <w:tcPr>
            <w:tcW w:w="4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Post-</w:t>
            </w:r>
          </w:p>
        </w:tc>
        <w:tc>
          <w:tcPr>
            <w:tcW w:w="100" w:type="dxa"/>
            <w:vAlign w:val="bottom"/>
          </w:tcPr>
          <w:p>
            <w:pPr>
              <w:spacing w:after="0"/>
              <w:rPr>
                <w:sz w:val="12"/>
                <w:szCs w:val="12"/>
                <w:color w:val="auto"/>
              </w:rPr>
            </w:pPr>
          </w:p>
        </w:tc>
        <w:tc>
          <w:tcPr>
            <w:tcW w:w="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20"/>
              <w:spacing w:after="0" w:line="14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4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6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7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Qualified</w:t>
            </w:r>
          </w:p>
        </w:tc>
        <w:tc>
          <w:tcPr>
            <w:tcW w:w="7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73"/>
        </w:trPr>
        <w:tc>
          <w:tcPr>
            <w:tcW w:w="44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9"/>
              </w:rPr>
              <w:t>Benefits</w:t>
            </w:r>
          </w:p>
        </w:tc>
        <w:tc>
          <w:tcPr>
            <w:tcW w:w="120" w:type="dxa"/>
            <w:vAlign w:val="bottom"/>
          </w:tcPr>
          <w:p>
            <w:pPr>
              <w:spacing w:after="0"/>
              <w:rPr>
                <w:sz w:val="15"/>
                <w:szCs w:val="15"/>
                <w:color w:val="auto"/>
              </w:rPr>
            </w:pPr>
          </w:p>
        </w:tc>
        <w:tc>
          <w:tcPr>
            <w:tcW w:w="8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Benefits</w:t>
            </w:r>
          </w:p>
        </w:tc>
        <w:tc>
          <w:tcPr>
            <w:tcW w:w="10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720" w:type="dxa"/>
            <w:vAlign w:val="bottom"/>
            <w:gridSpan w:val="3"/>
            <w:vMerge w:val="continue"/>
          </w:tcPr>
          <w:p>
            <w:pPr>
              <w:spacing w:after="0"/>
              <w:rPr>
                <w:sz w:val="15"/>
                <w:szCs w:val="15"/>
                <w:color w:val="auto"/>
              </w:rPr>
            </w:pPr>
          </w:p>
        </w:tc>
        <w:tc>
          <w:tcPr>
            <w:tcW w:w="10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209"/>
        </w:trPr>
        <w:tc>
          <w:tcPr>
            <w:tcW w:w="4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net loss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Foreign currency exchange</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2022</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ind w:left="640" w:hanging="590"/>
        <w:spacing w:after="0"/>
        <w:tabs>
          <w:tab w:leader="none" w:pos="6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162"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The Company values its financial instruments based on the fair value hierarchy of valuation techniques for fair value measurements. Level 1 inputs are unadjusted quoted prices in active markets for identical assets or liabilities at the measurement date. Level 2 inputs include quoted prices for similar assets and liabilities in active markets and inputs other than quoted prices observable for the asset or liability. Level 3 inputs are unobservable inputs for the asset or liability. If the technique used to measure fair value includes inputs from multiple levels of the fair value hierarchy, the lowest level of significant input determines the placement of the entire fair value measurement in the hierarchy.</w:t>
      </w:r>
    </w:p>
    <w:p>
      <w:pPr>
        <w:spacing w:after="0" w:line="174"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The Company uses Level 1 inputs for the fair values of its cash, cash equivalents, restricted cash and cash in the CCF, and Level 2 inputs for its variable and fixed rate debt. The fair values of cash, cash equivalents, restricted cash and cash in the CCF, and variable rate debt approximate their carrying values due to the nature of the instruments. The fair value of fixed rate debt is calculated based upon interest rates available for debt with terms and maturities similar to the Company’s existing debt arrangements.</w:t>
      </w:r>
    </w:p>
    <w:p>
      <w:pPr>
        <w:spacing w:after="0" w:line="170"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The carrying value and fair value of the Company’s financial instruments as of March 31, 2023 and December 31, 2022 are as follows:</w:t>
      </w:r>
    </w:p>
    <w:tbl>
      <w:tblPr>
        <w:tblLayout w:type="fixed"/>
        <w:tblInd w:w="40" w:type="dxa"/>
        <w:tblCellMar>
          <w:top w:w="0" w:type="dxa"/>
          <w:left w:w="0" w:type="dxa"/>
          <w:bottom w:w="0" w:type="dxa"/>
          <w:right w:w="0" w:type="dxa"/>
        </w:tblCellMar>
      </w:tblPr>
      <w:tr>
        <w:trPr>
          <w:trHeight w:val="137"/>
        </w:trPr>
        <w:tc>
          <w:tcPr>
            <w:tcW w:w="2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3"/>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20" w:type="dxa"/>
            <w:vAlign w:val="bottom"/>
          </w:tcPr>
          <w:p>
            <w:pPr>
              <w:spacing w:after="0"/>
              <w:rPr>
                <w:sz w:val="11"/>
                <w:szCs w:val="11"/>
                <w:color w:val="auto"/>
              </w:rPr>
            </w:pPr>
          </w:p>
        </w:tc>
        <w:tc>
          <w:tcPr>
            <w:tcW w:w="1020" w:type="dxa"/>
            <w:vAlign w:val="bottom"/>
            <w:gridSpan w:val="2"/>
          </w:tcPr>
          <w:p>
            <w:pPr>
              <w:jc w:val="right"/>
              <w:ind w:right="300"/>
              <w:spacing w:after="0" w:line="137"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000" w:type="dxa"/>
            <w:vAlign w:val="bottom"/>
            <w:gridSpan w:val="2"/>
          </w:tcPr>
          <w:p>
            <w:pPr>
              <w:ind w:left="160"/>
              <w:spacing w:after="0" w:line="137"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2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vMerge w:val="restart"/>
          </w:tcPr>
          <w:p>
            <w:pPr>
              <w:spacing w:after="0"/>
              <w:rPr>
                <w:sz w:val="12"/>
                <w:szCs w:val="12"/>
                <w:color w:val="auto"/>
              </w:rPr>
            </w:pPr>
          </w:p>
        </w:tc>
        <w:tc>
          <w:tcPr>
            <w:tcW w:w="118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20" w:type="dxa"/>
            <w:vAlign w:val="bottom"/>
          </w:tcPr>
          <w:p>
            <w:pPr>
              <w:spacing w:after="0"/>
              <w:rPr>
                <w:sz w:val="12"/>
                <w:szCs w:val="12"/>
                <w:color w:val="auto"/>
              </w:rPr>
            </w:pPr>
          </w:p>
        </w:tc>
        <w:tc>
          <w:tcPr>
            <w:tcW w:w="10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0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73"/>
        </w:trPr>
        <w:tc>
          <w:tcPr>
            <w:tcW w:w="3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5"/>
                <w:szCs w:val="15"/>
                <w:color w:val="auto"/>
              </w:rPr>
            </w:pPr>
          </w:p>
        </w:tc>
        <w:tc>
          <w:tcPr>
            <w:tcW w:w="10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140" w:type="dxa"/>
            <w:vAlign w:val="bottom"/>
          </w:tcPr>
          <w:p>
            <w:pPr>
              <w:spacing w:after="0"/>
              <w:rPr>
                <w:sz w:val="15"/>
                <w:szCs w:val="15"/>
                <w:color w:val="auto"/>
              </w:rPr>
            </w:pPr>
          </w:p>
        </w:tc>
        <w:tc>
          <w:tcPr>
            <w:tcW w:w="10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128"/>
        </w:trPr>
        <w:tc>
          <w:tcPr>
            <w:tcW w:w="31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ind w:right="35"/>
              <w:spacing w:after="0" w:line="129" w:lineRule="exact"/>
              <w:rPr>
                <w:sz w:val="20"/>
                <w:szCs w:val="20"/>
                <w:color w:val="auto"/>
              </w:rPr>
            </w:pPr>
            <w:r>
              <w:rPr>
                <w:rFonts w:ascii="Times New Roman" w:cs="Times New Roman" w:eastAsia="Times New Roman" w:hAnsi="Times New Roman"/>
                <w:sz w:val="14"/>
                <w:szCs w:val="14"/>
                <w:b w:val="1"/>
                <w:bCs w:val="1"/>
                <w:color w:val="auto"/>
              </w:rPr>
              <w:t>March 31, 2023</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760" w:type="dxa"/>
            <w:vAlign w:val="bottom"/>
            <w:gridSpan w:val="9"/>
          </w:tcPr>
          <w:p>
            <w:pPr>
              <w:ind w:left="660"/>
              <w:spacing w:after="0" w:line="129" w:lineRule="exact"/>
              <w:rPr>
                <w:sz w:val="20"/>
                <w:szCs w:val="20"/>
                <w:color w:val="auto"/>
              </w:rPr>
            </w:pPr>
            <w:r>
              <w:rPr>
                <w:rFonts w:ascii="Times New Roman" w:cs="Times New Roman" w:eastAsia="Times New Roman" w:hAnsi="Times New Roman"/>
                <w:sz w:val="14"/>
                <w:szCs w:val="14"/>
                <w:b w:val="1"/>
                <w:bCs w:val="1"/>
                <w:color w:val="auto"/>
              </w:rPr>
              <w:t>Fair Value Measurements at March 31, 2023</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Construction Fund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Fixed rate debt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476.7</w:t>
            </w:r>
          </w:p>
        </w:tc>
        <w:tc>
          <w:tcPr>
            <w:tcW w:w="140" w:type="dxa"/>
            <w:vAlign w:val="bottom"/>
          </w:tcPr>
          <w:p>
            <w:pPr>
              <w:spacing w:after="0"/>
              <w:rPr>
                <w:sz w:val="20"/>
                <w:szCs w:val="20"/>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397.7</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397.7</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4"/>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80" w:type="dxa"/>
            <w:vAlign w:val="bottom"/>
          </w:tcPr>
          <w:p>
            <w:pPr>
              <w:spacing w:after="0"/>
              <w:rPr>
                <w:sz w:val="24"/>
                <w:szCs w:val="24"/>
                <w:color w:val="auto"/>
              </w:rPr>
            </w:pPr>
          </w:p>
        </w:tc>
        <w:tc>
          <w:tcPr>
            <w:tcW w:w="3760" w:type="dxa"/>
            <w:vAlign w:val="bottom"/>
            <w:gridSpan w:val="9"/>
          </w:tcPr>
          <w:p>
            <w:pPr>
              <w:ind w:left="62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2022</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1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Construction Fund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Fixed rate debt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517.5</w:t>
            </w:r>
          </w:p>
        </w:tc>
        <w:tc>
          <w:tcPr>
            <w:tcW w:w="140" w:type="dxa"/>
            <w:vAlign w:val="bottom"/>
          </w:tcPr>
          <w:p>
            <w:pPr>
              <w:spacing w:after="0"/>
              <w:rPr>
                <w:sz w:val="20"/>
                <w:szCs w:val="20"/>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427.3</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720" w:hanging="670"/>
        <w:spacing w:after="0"/>
        <w:tabs>
          <w:tab w:leader="none" w:pos="7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62"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Basic earnings per share is determined by dividing net income by the weighted average common shares outstanding during the period. The calculation of diluted earnings per share includes the dilutive effect of unexercised non-qualified stock options and non-vested restricted stock units. The computation of weighted average common shares outstanding excluded a nominal amount of anti-dilutive non-qualified stock options for each period ended March 31, 2023 and 2022.</w:t>
      </w:r>
    </w:p>
    <w:p>
      <w:pPr>
        <w:spacing w:after="0" w:line="112" w:lineRule="exact"/>
        <w:rPr>
          <w:sz w:val="20"/>
          <w:szCs w:val="20"/>
          <w:color w:val="auto"/>
        </w:rPr>
      </w:pPr>
    </w:p>
    <w:p>
      <w:pPr>
        <w:ind w:left="60" w:right="479"/>
        <w:spacing w:after="0" w:line="265" w:lineRule="auto"/>
        <w:rPr>
          <w:sz w:val="20"/>
          <w:szCs w:val="20"/>
          <w:color w:val="auto"/>
        </w:rPr>
      </w:pPr>
      <w:r>
        <w:rPr>
          <w:rFonts w:ascii="Times New Roman" w:cs="Times New Roman" w:eastAsia="Times New Roman" w:hAnsi="Times New Roman"/>
          <w:sz w:val="18"/>
          <w:szCs w:val="18"/>
          <w:color w:val="auto"/>
        </w:rPr>
        <w:t>The computations for basic and diluted earnings per share for the three months ended March 31, 2023 and 2022 are as follows:</w:t>
      </w:r>
    </w:p>
    <w:tbl>
      <w:tblPr>
        <w:tblLayout w:type="fixed"/>
        <w:tblInd w:w="40" w:type="dxa"/>
        <w:tblCellMar>
          <w:top w:w="0" w:type="dxa"/>
          <w:left w:w="0" w:type="dxa"/>
          <w:bottom w:w="0" w:type="dxa"/>
          <w:right w:w="0" w:type="dxa"/>
        </w:tblCellMar>
      </w:tblPr>
      <w:tr>
        <w:trPr>
          <w:trHeight w:val="155"/>
        </w:trPr>
        <w:tc>
          <w:tcPr>
            <w:tcW w:w="3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20" w:type="dxa"/>
            <w:vAlign w:val="bottom"/>
            <w:gridSpan w:val="7"/>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7"/>
              </w:rPr>
              <w:t>Three Months Ended March 31, 2023</w:t>
            </w:r>
          </w:p>
        </w:tc>
        <w:tc>
          <w:tcPr>
            <w:tcW w:w="140" w:type="dxa"/>
            <w:vAlign w:val="bottom"/>
          </w:tcPr>
          <w:p>
            <w:pPr>
              <w:spacing w:after="0"/>
              <w:rPr>
                <w:sz w:val="13"/>
                <w:szCs w:val="13"/>
                <w:color w:val="auto"/>
              </w:rPr>
            </w:pPr>
          </w:p>
        </w:tc>
        <w:tc>
          <w:tcPr>
            <w:tcW w:w="2680" w:type="dxa"/>
            <w:vAlign w:val="bottom"/>
            <w:gridSpan w:val="7"/>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Three Months Ended March 31, 2022</w:t>
            </w:r>
          </w:p>
        </w:tc>
      </w:tr>
      <w:tr>
        <w:trPr>
          <w:trHeight w:val="122"/>
        </w:trPr>
        <w:tc>
          <w:tcPr>
            <w:tcW w:w="3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center"/>
              <w:ind w:right="160"/>
              <w:spacing w:after="0" w:line="122" w:lineRule="exact"/>
              <w:rPr>
                <w:sz w:val="20"/>
                <w:szCs w:val="20"/>
                <w:color w:val="auto"/>
              </w:rPr>
            </w:pPr>
            <w:r>
              <w:rPr>
                <w:rFonts w:ascii="Times New Roman" w:cs="Times New Roman" w:eastAsia="Times New Roman" w:hAnsi="Times New Roman"/>
                <w:sz w:val="13"/>
                <w:szCs w:val="13"/>
                <w:b w:val="1"/>
                <w:bCs w:val="1"/>
                <w:color w:val="auto"/>
                <w:w w:val="97"/>
              </w:rPr>
              <w:t>Weighted</w:t>
            </w: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ind w:right="49"/>
              <w:spacing w:after="0" w:line="122" w:lineRule="exact"/>
              <w:rPr>
                <w:sz w:val="20"/>
                <w:szCs w:val="20"/>
                <w:color w:val="auto"/>
              </w:rPr>
            </w:pPr>
            <w:r>
              <w:rPr>
                <w:rFonts w:ascii="Times New Roman" w:cs="Times New Roman" w:eastAsia="Times New Roman" w:hAnsi="Times New Roman"/>
                <w:sz w:val="13"/>
                <w:szCs w:val="13"/>
                <w:b w:val="1"/>
                <w:bCs w:val="1"/>
                <w:color w:val="auto"/>
                <w:w w:val="92"/>
              </w:rPr>
              <w:t>Per</w:t>
            </w:r>
          </w:p>
        </w:tc>
        <w:tc>
          <w:tcPr>
            <w:tcW w:w="2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center"/>
              <w:ind w:right="140"/>
              <w:spacing w:after="0" w:line="122" w:lineRule="exact"/>
              <w:rPr>
                <w:sz w:val="20"/>
                <w:szCs w:val="20"/>
                <w:color w:val="auto"/>
              </w:rPr>
            </w:pPr>
            <w:r>
              <w:rPr>
                <w:rFonts w:ascii="Times New Roman" w:cs="Times New Roman" w:eastAsia="Times New Roman" w:hAnsi="Times New Roman"/>
                <w:sz w:val="13"/>
                <w:szCs w:val="13"/>
                <w:b w:val="1"/>
                <w:bCs w:val="1"/>
                <w:color w:val="auto"/>
                <w:w w:val="97"/>
              </w:rPr>
              <w:t>Weighted</w:t>
            </w: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ind w:right="49"/>
              <w:spacing w:after="0" w:line="122" w:lineRule="exact"/>
              <w:rPr>
                <w:sz w:val="20"/>
                <w:szCs w:val="20"/>
                <w:color w:val="auto"/>
              </w:rPr>
            </w:pPr>
            <w:r>
              <w:rPr>
                <w:rFonts w:ascii="Times New Roman" w:cs="Times New Roman" w:eastAsia="Times New Roman" w:hAnsi="Times New Roman"/>
                <w:sz w:val="13"/>
                <w:szCs w:val="13"/>
                <w:b w:val="1"/>
                <w:bCs w:val="1"/>
                <w:color w:val="auto"/>
              </w:rPr>
              <w:t>Per</w:t>
            </w:r>
          </w:p>
        </w:tc>
        <w:tc>
          <w:tcPr>
            <w:tcW w:w="140" w:type="dxa"/>
            <w:vAlign w:val="bottom"/>
          </w:tcPr>
          <w:p>
            <w:pPr>
              <w:spacing w:after="0"/>
              <w:rPr>
                <w:sz w:val="10"/>
                <w:szCs w:val="10"/>
                <w:color w:val="auto"/>
              </w:rPr>
            </w:pPr>
          </w:p>
        </w:tc>
      </w:tr>
      <w:tr>
        <w:trPr>
          <w:trHeight w:val="148"/>
        </w:trPr>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120" w:type="dxa"/>
            <w:vAlign w:val="bottom"/>
          </w:tcPr>
          <w:p>
            <w:pPr>
              <w:spacing w:after="0"/>
              <w:rPr>
                <w:sz w:val="12"/>
                <w:szCs w:val="12"/>
                <w:color w:val="auto"/>
              </w:rPr>
            </w:pPr>
          </w:p>
        </w:tc>
        <w:tc>
          <w:tcPr>
            <w:tcW w:w="94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120" w:type="dxa"/>
            <w:vAlign w:val="bottom"/>
          </w:tcPr>
          <w:p>
            <w:pPr>
              <w:spacing w:after="0"/>
              <w:rPr>
                <w:sz w:val="12"/>
                <w:szCs w:val="12"/>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3"/>
              </w:rPr>
              <w:t>Common</w:t>
            </w:r>
          </w:p>
        </w:tc>
      </w:tr>
      <w:tr>
        <w:trPr>
          <w:trHeight w:val="149"/>
        </w:trPr>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2"/>
              </w:rPr>
              <w:t>Net</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3"/>
              </w:rPr>
              <w:t>Common</w:t>
            </w:r>
          </w:p>
        </w:tc>
        <w:tc>
          <w:tcPr>
            <w:tcW w:w="120" w:type="dxa"/>
            <w:vAlign w:val="bottom"/>
          </w:tcPr>
          <w:p>
            <w:pPr>
              <w:spacing w:after="0"/>
              <w:rPr>
                <w:sz w:val="12"/>
                <w:szCs w:val="12"/>
                <w:color w:val="auto"/>
              </w:rPr>
            </w:pPr>
          </w:p>
        </w:tc>
        <w:tc>
          <w:tcPr>
            <w:tcW w:w="94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2"/>
              </w:rPr>
              <w:t>Share</w:t>
            </w:r>
          </w:p>
        </w:tc>
        <w:tc>
          <w:tcPr>
            <w:tcW w:w="140" w:type="dxa"/>
            <w:vAlign w:val="bottom"/>
          </w:tcPr>
          <w:p>
            <w:pPr>
              <w:spacing w:after="0"/>
              <w:rPr>
                <w:sz w:val="12"/>
                <w:szCs w:val="12"/>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2"/>
              </w:rPr>
              <w:t>Net</w:t>
            </w: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120" w:type="dxa"/>
            <w:vAlign w:val="bottom"/>
          </w:tcPr>
          <w:p>
            <w:pPr>
              <w:spacing w:after="0"/>
              <w:rPr>
                <w:sz w:val="12"/>
                <w:szCs w:val="12"/>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Share</w:t>
            </w:r>
          </w:p>
        </w:tc>
      </w:tr>
      <w:tr>
        <w:trPr>
          <w:trHeight w:val="155"/>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 except per share amounts)</w:t>
            </w:r>
          </w:p>
        </w:tc>
        <w:tc>
          <w:tcPr>
            <w:tcW w:w="160" w:type="dxa"/>
            <w:vAlign w:val="bottom"/>
          </w:tcPr>
          <w:p>
            <w:pPr>
              <w:spacing w:after="0"/>
              <w:rPr>
                <w:sz w:val="13"/>
                <w:szCs w:val="13"/>
                <w:color w:val="auto"/>
              </w:rPr>
            </w:pPr>
          </w:p>
        </w:tc>
        <w:tc>
          <w:tcPr>
            <w:tcW w:w="8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120" w:type="dxa"/>
            <w:vAlign w:val="bottom"/>
          </w:tcPr>
          <w:p>
            <w:pPr>
              <w:spacing w:after="0"/>
              <w:rPr>
                <w:sz w:val="13"/>
                <w:szCs w:val="13"/>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40" w:type="dxa"/>
            <w:vAlign w:val="bottom"/>
          </w:tcPr>
          <w:p>
            <w:pPr>
              <w:spacing w:after="0"/>
              <w:rPr>
                <w:sz w:val="13"/>
                <w:szCs w:val="13"/>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2"/>
              </w:rPr>
              <w:t>Income</w:t>
            </w: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120" w:type="dxa"/>
            <w:vAlign w:val="bottom"/>
          </w:tcPr>
          <w:p>
            <w:pPr>
              <w:spacing w:after="0"/>
              <w:rPr>
                <w:sz w:val="13"/>
                <w:szCs w:val="13"/>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Amount</w:t>
            </w:r>
          </w:p>
        </w:tc>
      </w:tr>
      <w:tr>
        <w:trPr>
          <w:trHeight w:val="196"/>
        </w:trPr>
        <w:tc>
          <w:tcPr>
            <w:tcW w:w="3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0.94</w:t>
            </w: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339.2</w:t>
            </w: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140" w:type="dxa"/>
            <w:vAlign w:val="bottom"/>
            <w:tcBorders>
              <w:top w:val="single" w:sz="8" w:color="CCEEFF"/>
            </w:tcBorders>
            <w:shd w:val="clear" w:color="auto" w:fill="CCEEFF"/>
          </w:tcPr>
          <w:p>
            <w:pPr>
              <w:spacing w:after="0"/>
              <w:rPr>
                <w:sz w:val="17"/>
                <w:szCs w:val="17"/>
                <w:color w:val="auto"/>
              </w:rPr>
            </w:pPr>
          </w:p>
        </w:tc>
      </w:tr>
      <w:tr>
        <w:trPr>
          <w:trHeight w:val="213"/>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1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(0.06)</w:t>
            </w:r>
          </w:p>
        </w:tc>
      </w:tr>
      <w:tr>
        <w:trPr>
          <w:trHeight w:val="199"/>
        </w:trPr>
        <w:tc>
          <w:tcPr>
            <w:tcW w:w="32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0.94</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ind w:left="720" w:hanging="670"/>
        <w:spacing w:after="0"/>
        <w:tabs>
          <w:tab w:leader="none" w:pos="7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148"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The Company granted time-based restricted stock units and performance-based shares to certain of its employees totaling approximately 253,300 shares with a weighted average grant date fair value of $65.94 per share during the three months ended March 31, 2023.</w:t>
      </w:r>
    </w:p>
    <w:p>
      <w:pPr>
        <w:spacing w:after="0" w:line="176"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Total share-based compensation cost recognized in the Condensed Consolidated Statements of Income and Comprehensive Income as a component of selling, general and administrative expenses was $4.6 million and $4.7 million for the three months ended March 31, 2023 and 2022, respectively. Total unrecognized compensation cost related to unvested share-based compensation arrangements was $31.4 million at March 31, 2023, and is expected to be recognized over a weighted average period of approximately 2.2 years. Total unrecognized compensation cost may be adjusted for any unearned performance shares or forfeited shares.</w:t>
      </w:r>
    </w:p>
    <w:p>
      <w:pPr>
        <w:spacing w:after="0" w:line="399" w:lineRule="exact"/>
        <w:rPr>
          <w:sz w:val="20"/>
          <w:szCs w:val="20"/>
          <w:color w:val="auto"/>
        </w:rPr>
      </w:pPr>
    </w:p>
    <w:p>
      <w:pPr>
        <w:ind w:left="720" w:hanging="670"/>
        <w:spacing w:after="0"/>
        <w:tabs>
          <w:tab w:leader="none" w:pos="7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PENSION AND POST-RETIREMENT PLANS</w:t>
      </w:r>
    </w:p>
    <w:p>
      <w:pPr>
        <w:spacing w:after="0" w:line="148" w:lineRule="exact"/>
        <w:rPr>
          <w:sz w:val="20"/>
          <w:szCs w:val="20"/>
          <w:color w:val="auto"/>
        </w:rPr>
      </w:pPr>
    </w:p>
    <w:p>
      <w:pPr>
        <w:ind w:left="60" w:right="459"/>
        <w:spacing w:after="0" w:line="258" w:lineRule="auto"/>
        <w:rPr>
          <w:sz w:val="20"/>
          <w:szCs w:val="20"/>
          <w:color w:val="auto"/>
        </w:rPr>
      </w:pPr>
      <w:r>
        <w:rPr>
          <w:rFonts w:ascii="Times New Roman" w:cs="Times New Roman" w:eastAsia="Times New Roman" w:hAnsi="Times New Roman"/>
          <w:sz w:val="18"/>
          <w:szCs w:val="18"/>
          <w:color w:val="auto"/>
        </w:rPr>
        <w:t>The Company’s pension and post-retirement plans are described in Note 11 to the Consolidated Financial Statements included in Part II, Item 8 of the Company’s Annual Report on Form 10-K for the year ended December 31, 2022. Components of net periodic benefit cost and other amounts recognized in Other Comprehensive Income (Loss) for the qualified pension plans and the post-retirement benefit plans for the three months ended March 31, 2023 and 2022 consisted of the following:</w:t>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8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80" w:type="dxa"/>
            <w:vAlign w:val="bottom"/>
          </w:tcPr>
          <w:p>
            <w:pPr>
              <w:spacing w:after="0"/>
              <w:rPr>
                <w:sz w:val="13"/>
                <w:szCs w:val="13"/>
                <w:color w:val="auto"/>
              </w:rPr>
            </w:pPr>
          </w:p>
        </w:tc>
        <w:tc>
          <w:tcPr>
            <w:tcW w:w="1860" w:type="dxa"/>
            <w:vAlign w:val="bottom"/>
            <w:gridSpan w:val="4"/>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Post-retirement Benefits</w:t>
            </w:r>
          </w:p>
        </w:tc>
        <w:tc>
          <w:tcPr>
            <w:tcW w:w="0" w:type="dxa"/>
            <w:vAlign w:val="bottom"/>
          </w:tcPr>
          <w:p>
            <w:pPr>
              <w:spacing w:after="0"/>
              <w:rPr>
                <w:sz w:val="1"/>
                <w:szCs w:val="1"/>
                <w:color w:val="auto"/>
              </w:rPr>
            </w:pPr>
          </w:p>
        </w:tc>
      </w:tr>
      <w:tr>
        <w:trPr>
          <w:trHeight w:val="173"/>
        </w:trPr>
        <w:tc>
          <w:tcPr>
            <w:tcW w:w="4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1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4680" w:type="dxa"/>
            <w:vAlign w:val="bottom"/>
            <w:gridSpan w:val="2"/>
            <w:vMerge w:val="continue"/>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4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Components of net periodic benefit cost (benefit):</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Service cost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cost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4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net loss (gain)</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4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2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0"/>
        </w:trPr>
        <w:tc>
          <w:tcPr>
            <w:tcW w:w="46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cost (benefit)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20" w:hanging="670"/>
        <w:spacing w:after="0"/>
        <w:tabs>
          <w:tab w:leader="none" w:pos="72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44"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Environmental Matters: </w:t>
      </w:r>
      <w:r>
        <w:rPr>
          <w:rFonts w:ascii="Times New Roman" w:cs="Times New Roman" w:eastAsia="Times New Roman" w:hAnsi="Times New Roman"/>
          <w:sz w:val="18"/>
          <w:szCs w:val="18"/>
          <w:color w:val="auto"/>
        </w:rPr>
        <w:t>The Company’s Ocean Transportation business has certain risks that could result in expenditures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environmental remediation. Except as described below, the Company believes that based on all information available to it, the Company is currently in compliance, in all material respects, with applicable environmental laws and regulations.</w:t>
      </w:r>
    </w:p>
    <w:p>
      <w:pPr>
        <w:spacing w:after="0" w:line="175" w:lineRule="exact"/>
        <w:rPr>
          <w:sz w:val="20"/>
          <w:szCs w:val="20"/>
          <w:color w:val="auto"/>
        </w:rPr>
      </w:pPr>
    </w:p>
    <w:p>
      <w:pPr>
        <w:ind w:left="60" w:right="239"/>
        <w:spacing w:after="0" w:line="254" w:lineRule="auto"/>
        <w:rPr>
          <w:sz w:val="20"/>
          <w:szCs w:val="20"/>
          <w:color w:val="auto"/>
        </w:rPr>
      </w:pPr>
      <w:r>
        <w:rPr>
          <w:rFonts w:ascii="Times New Roman" w:cs="Times New Roman" w:eastAsia="Times New Roman" w:hAnsi="Times New Roman"/>
          <w:sz w:val="18"/>
          <w:szCs w:val="18"/>
          <w:color w:val="auto"/>
        </w:rPr>
        <w:t>On November 10, 2021, the California Air Resources Board (“CARB”) issued a Notice of Violation (the “NOV”) to Matson for alleged violations of the Airborne Toxic Control Measure for Auxiliary Diesel Engines Operated on Ocean-Going Vessels At-Berth in a California Port pursuant to California Code of Regulations, title 17, section 93118.3. CARB regulations require that a company’s fleet plug into shore power for at least 80 percent of visits at California ports and reduce auxiliary engine power generation by at least 80 percent. The NOV alleges that Matson’s fleet did not meet the</w:t>
      </w:r>
    </w:p>
    <w:p>
      <w:pPr>
        <w:spacing w:after="0" w:line="3" w:lineRule="exact"/>
        <w:rPr>
          <w:sz w:val="20"/>
          <w:szCs w:val="20"/>
          <w:color w:val="auto"/>
        </w:rPr>
      </w:pPr>
    </w:p>
    <w:p>
      <w:pPr>
        <w:ind w:left="60" w:right="259"/>
        <w:spacing w:after="0" w:line="253" w:lineRule="auto"/>
        <w:rPr>
          <w:sz w:val="20"/>
          <w:szCs w:val="20"/>
          <w:color w:val="auto"/>
        </w:rPr>
      </w:pPr>
      <w:r>
        <w:rPr>
          <w:rFonts w:ascii="Times New Roman" w:cs="Times New Roman" w:eastAsia="Times New Roman" w:hAnsi="Times New Roman"/>
          <w:sz w:val="18"/>
          <w:szCs w:val="18"/>
          <w:color w:val="auto"/>
        </w:rPr>
        <w:t>80 percent thresholds during visits to the Port of Long Beach in 2020. The violations were alleged to have been incurred by chartered vessels in the CLX+ service. These chartered vessels were not outfitted with alternative maritime power (“AMP”) capability which would have allowed them to plug into the shore power grid and shut down the vessel diesel generators when at dock. On April 14, 2023, the Company and CARB entered into a settlement agreement pursuant to which the Company agreed to pay approximately $2.2 million in civil penalties for 2020, 2021 and 2022 violations.</w:t>
      </w:r>
    </w:p>
    <w:p>
      <w:pPr>
        <w:spacing w:after="0" w:line="183" w:lineRule="exact"/>
        <w:rPr>
          <w:sz w:val="20"/>
          <w:szCs w:val="20"/>
          <w:color w:val="auto"/>
        </w:rPr>
      </w:pPr>
    </w:p>
    <w:p>
      <w:pPr>
        <w:ind w:left="60" w:right="1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Matters: </w:t>
      </w:r>
      <w:r>
        <w:rPr>
          <w:rFonts w:ascii="Times New Roman" w:cs="Times New Roman" w:eastAsia="Times New Roman" w:hAnsi="Times New Roman"/>
          <w:sz w:val="18"/>
          <w:szCs w:val="18"/>
          <w:color w:val="auto"/>
        </w:rPr>
        <w:t>The Company and its subsidiaries are parties to, or may be contingently liable in connection with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legal actions arising in the normal course of their businesses, the outcomes of which, in the opinion of management after consultation with counsel, would not have a material effect on the Company’s financial condition, results of operations, or cash flows.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ITEM 2. MANAGEMENT’S DISCUSSION AND ANALYSIS OF FINANCIAL CONDITION AND RESULTS OF OPERATIONS</w:t>
      </w:r>
    </w:p>
    <w:p>
      <w:pPr>
        <w:spacing w:after="0" w:line="159" w:lineRule="exact"/>
        <w:rPr>
          <w:sz w:val="20"/>
          <w:szCs w:val="20"/>
          <w:color w:val="auto"/>
        </w:rPr>
      </w:pPr>
    </w:p>
    <w:p>
      <w:pPr>
        <w:ind w:left="60" w:right="179"/>
        <w:spacing w:after="0" w:line="312" w:lineRule="auto"/>
        <w:rPr>
          <w:sz w:val="20"/>
          <w:szCs w:val="20"/>
          <w:color w:val="auto"/>
        </w:rPr>
      </w:pPr>
      <w:r>
        <w:rPr>
          <w:rFonts w:ascii="Times New Roman" w:cs="Times New Roman" w:eastAsia="Times New Roman" w:hAnsi="Times New Roman"/>
          <w:sz w:val="17"/>
          <w:szCs w:val="17"/>
          <w:color w:val="auto"/>
        </w:rPr>
        <w:t>The following discussion and analysis should be read in conjunction with the Condensed Consolidated Financial Statements and related notes, and other financial information appearing elsewhere in this Quarterly Report on Form 10-Q.</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60" w:right="319"/>
        <w:spacing w:after="0" w:line="258" w:lineRule="auto"/>
        <w:rPr>
          <w:sz w:val="20"/>
          <w:szCs w:val="20"/>
          <w:color w:val="auto"/>
        </w:rPr>
      </w:pPr>
      <w:r>
        <w:rPr>
          <w:rFonts w:ascii="Times New Roman" w:cs="Times New Roman" w:eastAsia="Times New Roman" w:hAnsi="Times New Roman"/>
          <w:sz w:val="18"/>
          <w:szCs w:val="18"/>
          <w:color w:val="auto"/>
        </w:rPr>
        <w:t>Except for historical information, the statements made in this Quarterly Report on Form 10-Q are forward-looking statements made pursuant to the safe-harbor provisions of the Private Security Litigation Reform Act of 1995. Such forward-looking statements may be contained in, among other things, SEC filings, such as reports on Forms 10-K, 10-Q and 8-K, the Annual Report to Shareholders, press releases made by the Company, the Company’s Internet Websites (including Websites of its subsidiaries), and oral statements made by officers of the Company.</w:t>
      </w:r>
    </w:p>
    <w:p>
      <w:pPr>
        <w:spacing w:after="0" w:line="183"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This report, and other statements that the Company may make, may contain forward-looking statements with respect to the Company’s future financial, business or environmental, social and governance performance, strategies or expectations. Forward-looking statements are typically identified by words or phrases such as “trend,” “potential,” “opportunity,” “pipeline,” “believe,” “comfortable,” “expect,” “anticipate,” “current,” “intention,” “estimate,” “position,” “assume,” “outlook,” “continue,” “remain,” “maintain,” “sustain,” “seek,” “achieve,” “design,” “goal,” “plan,” or similar expressions, or future or conditional verbs such as “will,” “would,” “should,” “could,” “may” or similar expressions.</w:t>
      </w:r>
    </w:p>
    <w:p>
      <w:pPr>
        <w:spacing w:after="0" w:line="187"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The Company cautions that forward-looking statements are subject to numerous assumptions, risks and uncertainties, which change over time, including, but not limited to, the risk factors that are described in Part I, Item 1A, “Risk Factors” of Matson’s Annual Report on Form 10-K for the year ended December 31, 2022. Forward-looking statements speak only as of the date they are made, and the Company assumes no duty to and does not undertake any obligation to update forward-looking statements. Actual results could differ materially from those anticipated in forward-looking statements and future results could differ materially from historical performance.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59"/>
        <w:spacing w:after="0" w:line="254"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Management’s Discussion and Analysis of Financial Condition and Results of Operations (“MD&amp;A”) is designed to provide a discussion of the Company’s financial condition, results of operations, liquidity and certain other factors that may affect its future results from the perspective of management. The discussion that follows is intended to provide information that will assist in understanding the changes in the Company’s Condensed Consolidated Financial Statements from period to period, the primary factors that accounted for those changes, and how certain accounting principles, policies and estimates affect the Company’s Condensed Consolidated Financial Statements. MD&amp;A is provided as a supplement to the Condensed Consolidated Financial Statements and notes herein, and should be read in conjunction with the Company’s </w:t>
      </w:r>
      <w:hyperlink r:id="rId27">
        <w:r>
          <w:rPr>
            <w:rFonts w:ascii="Times New Roman" w:cs="Times New Roman" w:eastAsia="Times New Roman" w:hAnsi="Times New Roman"/>
            <w:sz w:val="18"/>
            <w:szCs w:val="18"/>
            <w:u w:val="single" w:color="auto"/>
            <w:color w:val="0000EE"/>
          </w:rPr>
          <w:t>Annual Report on Form 10-K for the year ended December 31,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Company’s reports on Forms 10-Q and 8-K, and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other publicly available information.</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FIRST QUARTER 2023 DISCUSSION AND UPDATE ON BUSINESS CONDITIONS</w:t>
      </w:r>
    </w:p>
    <w:p>
      <w:pPr>
        <w:spacing w:after="0" w:line="227"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Ocean Transportation: </w:t>
      </w:r>
      <w:r>
        <w:rPr>
          <w:rFonts w:ascii="Times New Roman" w:cs="Times New Roman" w:eastAsia="Times New Roman" w:hAnsi="Times New Roman"/>
          <w:sz w:val="18"/>
          <w:szCs w:val="18"/>
          <w:color w:val="auto"/>
        </w:rPr>
        <w:t>The Company’s container volume in the Hawaii service in the first quarter 2023 was 0.8 percent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lower year-over-year. The decrease was primarily due to lower eastbound volume. During the quarter, the Company saw retail customers continue to manage inventories to weaker consumer demand levels despite continued improvement in the Hawaii economy supported by a low unemployment rate and relatively strong tourist arrivals, including a modest improvement in international tourist trends. In the near-term, Matson expects muted freight demand in Hawaii despite continued improvement in the Hawaii economy supported by strength in tourism and a low unemployment rate. There are also negative trends as a result of higher inflation and higher interest rates that create uncertainty in the economic growth trajectory.</w:t>
      </w:r>
    </w:p>
    <w:p>
      <w:pPr>
        <w:spacing w:after="0" w:line="187" w:lineRule="exact"/>
        <w:rPr>
          <w:sz w:val="20"/>
          <w:szCs w:val="20"/>
          <w:color w:val="auto"/>
        </w:rPr>
      </w:pPr>
    </w:p>
    <w:p>
      <w:pPr>
        <w:jc w:val="both"/>
        <w:ind w:left="60" w:right="279"/>
        <w:spacing w:after="0" w:line="281" w:lineRule="auto"/>
        <w:rPr>
          <w:sz w:val="20"/>
          <w:szCs w:val="20"/>
          <w:color w:val="auto"/>
        </w:rPr>
      </w:pPr>
      <w:r>
        <w:rPr>
          <w:rFonts w:ascii="Times New Roman" w:cs="Times New Roman" w:eastAsia="Times New Roman" w:hAnsi="Times New Roman"/>
          <w:sz w:val="17"/>
          <w:szCs w:val="17"/>
          <w:color w:val="auto"/>
        </w:rPr>
        <w:t>In China, the Company’s container volume in the first quarter 2023 decreased 35.4 percent year-over-year. The decrease was primarily due to (i) CCX volume in the first quarter 2022 (CCX service was discontinued in the third quarter 2022) and (ii) lower demand for the CLX and CLX+ services. Matson continued to realize a significant rate premium over the Shanghai Containerized Freight Index (“SCFI”) in the first quarter 2023 but achieved average freight rates that were</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lower than in the year ago period. Currently in the Transpacific marketplace, business conditions are mixed with general improvement in tradelane capacity and retailer inventories, but we continue to see retail customers conservatively manage inventories in light of continued economic uncertainty. As such, the Company expects its CLX and CLX+ services in the second quarter to reflect freight demand levels below normalized conditions with lower year-over-year volumes and rates. Absent an economic “hard landing” in the U.S., the Company continues to expect improved trade dynamics in the second half of 2023 as the Transpacific marketplace transitions to a more normalized level of demand. Regardless of the economic environment, the Company expects to continue to earn a significant rate premium to the SCFI reflecting our fast and reliable ocean services and unmatched destination services.</w:t>
      </w:r>
    </w:p>
    <w:p>
      <w:pPr>
        <w:spacing w:after="0" w:line="192" w:lineRule="exact"/>
        <w:rPr>
          <w:sz w:val="20"/>
          <w:szCs w:val="20"/>
          <w:color w:val="auto"/>
        </w:rPr>
      </w:pPr>
    </w:p>
    <w:p>
      <w:pPr>
        <w:jc w:val="both"/>
        <w:ind w:left="60" w:right="99"/>
        <w:spacing w:after="0" w:line="261" w:lineRule="auto"/>
        <w:rPr>
          <w:sz w:val="20"/>
          <w:szCs w:val="20"/>
          <w:color w:val="auto"/>
        </w:rPr>
      </w:pPr>
      <w:r>
        <w:rPr>
          <w:rFonts w:ascii="Times New Roman" w:cs="Times New Roman" w:eastAsia="Times New Roman" w:hAnsi="Times New Roman"/>
          <w:sz w:val="18"/>
          <w:szCs w:val="18"/>
          <w:color w:val="auto"/>
        </w:rPr>
        <w:t>In Guam, the Company’s container volume in the first quarter 2023 decreased 10.9 percent year-over-year primarily due to lower retail-related demand. In the near-term, the Company expects muted freight demand despite continued improvement in the Guam economy with increasing tourism and a low unemployment rate. There are also negative trends as a result of higher inflation and higher interest rates that create uncertainty in the economic growth trajectory.</w:t>
      </w:r>
    </w:p>
    <w:p>
      <w:pPr>
        <w:spacing w:after="0" w:line="180"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In Alaska, the Company’s container volume for the first quarter 2023 decreased 4.8 percent year-over-year due to (i) lower export seafood volume from the Alaska-Asia Express service (“AAX”) primarily due to three less sailings and (ii) lower southbound volume primarily due to lower domestic seafood and household goods volume, partially offset by higher northbound volume primarily due to two additional sailings. In the near-term, the Company expects the Alaska economy to benefit from low unemployment and increased energy-related exploration and production activity as a result of elevated oil prices, but there are negative trends as a result of higher inflation and higher interest rates that create uncertainty in the economic growth trajectory.</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contribution in the first quarter 2023 from the Company’s SSAT joint venture investment was $(1.8) million, or</w:t>
      </w:r>
    </w:p>
    <w:p>
      <w:pPr>
        <w:spacing w:after="0" w:line="27" w:lineRule="exact"/>
        <w:rPr>
          <w:sz w:val="20"/>
          <w:szCs w:val="20"/>
          <w:color w:val="auto"/>
        </w:rPr>
      </w:pPr>
    </w:p>
    <w:p>
      <w:pPr>
        <w:ind w:left="60" w:right="359"/>
        <w:spacing w:after="0" w:line="260" w:lineRule="auto"/>
        <w:rPr>
          <w:sz w:val="20"/>
          <w:szCs w:val="20"/>
          <w:color w:val="auto"/>
        </w:rPr>
      </w:pPr>
      <w:r>
        <w:rPr>
          <w:rFonts w:ascii="Times New Roman" w:cs="Times New Roman" w:eastAsia="Times New Roman" w:hAnsi="Times New Roman"/>
          <w:sz w:val="18"/>
          <w:szCs w:val="18"/>
          <w:color w:val="auto"/>
        </w:rPr>
        <w:t>$35.8 million lower than the first quarter 2022. The decrease was primarily driven by lower other terminal revenue and lower lift volume.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Logistics: </w:t>
      </w:r>
      <w:r>
        <w:rPr>
          <w:rFonts w:ascii="Times New Roman" w:cs="Times New Roman" w:eastAsia="Times New Roman" w:hAnsi="Times New Roman"/>
          <w:sz w:val="18"/>
          <w:szCs w:val="18"/>
          <w:color w:val="auto"/>
        </w:rPr>
        <w:t>In the first quarter 2023, operating income for the Company’s Logistics segment was $10.9 million, or</w:t>
      </w:r>
    </w:p>
    <w:p>
      <w:pPr>
        <w:spacing w:after="0" w:line="29" w:lineRule="exact"/>
        <w:rPr>
          <w:sz w:val="20"/>
          <w:szCs w:val="20"/>
          <w:color w:val="auto"/>
        </w:rPr>
      </w:pPr>
    </w:p>
    <w:p>
      <w:pPr>
        <w:ind w:left="60" w:right="539"/>
        <w:spacing w:after="0" w:line="255" w:lineRule="auto"/>
        <w:rPr>
          <w:sz w:val="20"/>
          <w:szCs w:val="20"/>
          <w:color w:val="auto"/>
        </w:rPr>
      </w:pPr>
      <w:r>
        <w:rPr>
          <w:rFonts w:ascii="Times New Roman" w:cs="Times New Roman" w:eastAsia="Times New Roman" w:hAnsi="Times New Roman"/>
          <w:sz w:val="18"/>
          <w:szCs w:val="18"/>
          <w:color w:val="auto"/>
        </w:rPr>
        <w:t>$5.5 million lower compared to the level achieved in the first quarter 2022. The decrease was primarily due to lower contributions from supply chain management, consistent with lower demand in the Transpacific tradelane, and transportation brokerage.</w:t>
      </w:r>
    </w:p>
    <w:p>
      <w:pPr>
        <w:spacing w:after="0" w:line="3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 – Three months ended March 31, 2023 compared with 2022:</w:t>
      </w:r>
    </w:p>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amounts)</w:t>
            </w:r>
          </w:p>
        </w:tc>
        <w:tc>
          <w:tcPr>
            <w:tcW w:w="200" w:type="dxa"/>
            <w:vAlign w:val="bottom"/>
            <w:vMerge w:val="restart"/>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8"/>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0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jc w:val="right"/>
              <w:ind w:right="35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(460.7)</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16"/>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(732.9)</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2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0"/>
        </w:trPr>
        <w:tc>
          <w:tcPr>
            <w:tcW w:w="56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(393.9)</w:t>
            </w:r>
          </w:p>
        </w:tc>
        <w:tc>
          <w:tcPr>
            <w:tcW w:w="200" w:type="dxa"/>
            <w:vAlign w:val="bottom"/>
            <w:vMerge w:val="continue"/>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0" w:type="dxa"/>
            <w:vAlign w:val="bottom"/>
          </w:tcPr>
          <w:p>
            <w:pPr>
              <w:spacing w:after="0"/>
              <w:rPr>
                <w:sz w:val="1"/>
                <w:szCs w:val="1"/>
                <w:color w:val="auto"/>
              </w:rPr>
            </w:pPr>
          </w:p>
        </w:tc>
      </w:tr>
      <w:tr>
        <w:trPr>
          <w:trHeight w:val="216"/>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(0.2)</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56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(385.6)</w:t>
            </w:r>
          </w:p>
        </w:tc>
        <w:tc>
          <w:tcPr>
            <w:tcW w:w="200" w:type="dxa"/>
            <w:vAlign w:val="bottom"/>
            <w:vMerge w:val="continue"/>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0" w:type="dxa"/>
            <w:vAlign w:val="bottom"/>
          </w:tcPr>
          <w:p>
            <w:pPr>
              <w:spacing w:after="0"/>
              <w:rPr>
                <w:sz w:val="1"/>
                <w:szCs w:val="1"/>
                <w:color w:val="auto"/>
              </w:rPr>
            </w:pPr>
          </w:p>
        </w:tc>
      </w:tr>
      <w:tr>
        <w:trPr>
          <w:trHeight w:val="216"/>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(90.6)</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2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0" w:type="dxa"/>
            <w:vAlign w:val="bottom"/>
          </w:tcPr>
          <w:p>
            <w:pPr>
              <w:spacing w:after="0"/>
              <w:rPr>
                <w:sz w:val="1"/>
                <w:szCs w:val="1"/>
                <w:color w:val="auto"/>
              </w:rPr>
            </w:pPr>
          </w:p>
        </w:tc>
      </w:tr>
      <w:tr>
        <w:trPr>
          <w:trHeight w:val="210"/>
        </w:trPr>
        <w:tc>
          <w:tcPr>
            <w:tcW w:w="56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(305.2)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0" w:type="dxa"/>
            <w:vAlign w:val="bottom"/>
            <w:gridSpan w:val="2"/>
            <w:vMerge w:val="continue"/>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0.94</w:t>
            </w:r>
          </w:p>
        </w:tc>
        <w:tc>
          <w:tcPr>
            <w:tcW w:w="180" w:type="dxa"/>
            <w:vAlign w:val="bottom"/>
            <w:vMerge w:val="continue"/>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8.29</w:t>
            </w:r>
          </w:p>
        </w:tc>
        <w:tc>
          <w:tcPr>
            <w:tcW w:w="20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(7.35)</w:t>
            </w:r>
          </w:p>
        </w:tc>
        <w:tc>
          <w:tcPr>
            <w:tcW w:w="200" w:type="dxa"/>
            <w:vAlign w:val="bottom"/>
            <w:vMerge w:val="continue"/>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(88.7)%</w:t>
            </w: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(7.29)</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Changes in operating revenue, and operating costs and expenses are further described below in the Analysis of Operating Revenue and Income by Segment.</w:t>
      </w:r>
    </w:p>
    <w:p>
      <w:pPr>
        <w:spacing w:after="0" w:line="162"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The increase in interest income for the three months ended March 31, 2023, compared to the three months ended March 31, 2022, was due to increased cash on deposit in interest bearing accounts including the CCF, and higher interest rates during the period.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79"/>
        <w:spacing w:after="0" w:line="282" w:lineRule="auto"/>
        <w:rPr>
          <w:sz w:val="20"/>
          <w:szCs w:val="20"/>
          <w:color w:val="auto"/>
        </w:rPr>
      </w:pPr>
      <w:r>
        <w:rPr>
          <w:rFonts w:ascii="Times New Roman" w:cs="Times New Roman" w:eastAsia="Times New Roman" w:hAnsi="Times New Roman"/>
          <w:sz w:val="18"/>
          <w:szCs w:val="18"/>
          <w:color w:val="auto"/>
        </w:rPr>
        <w:t>The decrease in interest expense for the three months ended March 31, 2023, compared to the three months ended March 31, 2022, was due to lower outstanding debt during the period.</w:t>
      </w:r>
    </w:p>
    <w:p>
      <w:pPr>
        <w:spacing w:after="0" w:line="162"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Other income (expense) relates to the amortization of certain components of net periodic benefit costs or gains related to the Company’s pension and post-retirement plans.</w:t>
      </w:r>
    </w:p>
    <w:p>
      <w:pPr>
        <w:spacing w:after="0" w:line="162"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Income tax expense was $10.2 million or 23.1 percent of income before taxes for the three months ended March 31, 2023, compared to $90.6 million or 21.1 percent of income before taxes for the three months ended March 31, 2022. The effective tax rate for the three months ended March 31, 2023 benefited from a 0.8 percent deduction related to foreign-derived intangible income (“FDII”) under Section 250 of the Internal Revenue Code that lowered the effective tax rate for the current period, compared to a 2.6 percent deduction related to FDII for the three months ended March 31, 2022. The reduction in the FDII for the three months ended March 31, 2023 was primarily due to lower income generated from the Company’s China service.</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ANALYSIS OF OPERATING REVENUE AND INCOME BY SEGMENT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Ocean Transportation Operating Results – Three months ended March 31, 2023 compared with 2022:</w:t>
      </w:r>
    </w:p>
    <w:p>
      <w:pPr>
        <w:spacing w:after="0" w:line="11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 w:type="dxa"/>
            <w:vAlign w:val="bottom"/>
            <w:vMerge w:val="restart"/>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8"/>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6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Ocean Transportation revenue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(392.9)</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16"/>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(527.7)</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0"/>
        </w:trPr>
        <w:tc>
          <w:tcPr>
            <w:tcW w:w="57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w:t>
            </w:r>
          </w:p>
        </w:tc>
        <w:tc>
          <w:tcPr>
            <w:tcW w:w="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w:t>
            </w:r>
          </w:p>
        </w:tc>
        <w:tc>
          <w:tcPr>
            <w:tcW w:w="100" w:type="dxa"/>
            <w:vAlign w:val="bottom"/>
            <w:vMerge w:val="continue"/>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0" w:type="dxa"/>
            <w:vAlign w:val="bottom"/>
          </w:tcPr>
          <w:p>
            <w:pPr>
              <w:spacing w:after="0"/>
              <w:rPr>
                <w:sz w:val="1"/>
                <w:szCs w:val="1"/>
                <w:color w:val="auto"/>
              </w:rPr>
            </w:pPr>
          </w:p>
        </w:tc>
      </w:tr>
      <w:tr>
        <w:trPr>
          <w:trHeight w:val="216"/>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 margin</w:t>
            </w:r>
          </w:p>
        </w:tc>
        <w:tc>
          <w:tcPr>
            <w:tcW w:w="1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5.0 %</w:t>
            </w: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44.1 %</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Volume (Forty-foot equivalent units (FEU), except for automobiles) (1)</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Hawaii containers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5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Hawaii automobiles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Alaska containers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5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China containers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(16,500)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Guam containers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34"/>
        </w:trPr>
        <w:tc>
          <w:tcPr>
            <w:tcW w:w="5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containers (2)</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55" w:lineRule="exact"/>
        <w:rPr>
          <w:sz w:val="20"/>
          <w:szCs w:val="20"/>
          <w:color w:val="auto"/>
        </w:rPr>
      </w:pPr>
    </w:p>
    <w:p>
      <w:pPr>
        <w:ind w:left="380" w:right="219" w:hanging="330"/>
        <w:spacing w:after="0" w:line="233" w:lineRule="auto"/>
        <w:tabs>
          <w:tab w:leader="none" w:pos="3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 volumes included for the period are based on the voyage departure date, but revenue and operating income are adjusted to reflect the percentage of revenue and operating income earned during the reporting period for voyages in transit at the end of each reporting period.</w:t>
      </w:r>
    </w:p>
    <w:p>
      <w:pPr>
        <w:ind w:left="380" w:hanging="330"/>
        <w:spacing w:after="0"/>
        <w:tabs>
          <w:tab w:leader="none" w:pos="3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containers from services in various islands in Micronesia and the South Pacific, and Okinawa, Japan.</w:t>
      </w:r>
    </w:p>
    <w:p>
      <w:pPr>
        <w:spacing w:after="0" w:line="192"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Ocean Transportation revenue decreased $392.9 million, or 41.6 percent, during the three months ended March 31, 2023, compared with the three months ended March 31, 2022. The decrease was primarily due to lower average freight rates and volume in China, partially offset by higher fuel-related surcharge revenue.</w:t>
      </w:r>
    </w:p>
    <w:p>
      <w:pPr>
        <w:spacing w:after="0" w:line="176"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On a year-over-year FEU basis, Hawaii container volume decreased 0.8 percent primarily due to lower eastbound volume; Alaska volume decreased 4.8 percent due to (i) lower export seafood volume from the AAX primarily due to three less sailings and (ii) lower southbound volume primarily due to lower domestic seafood and household goods volume, partially offset by higher northbound volume primarily due to two additional sailings; China volume was 35.4 percent lower primarily due to (a) CCX volume in the first quarter 2022 (CCX service was discontinued in the third quarter 2022) and (b) lower demand for the CLX and CLX+ services; Guam volume was 10.9 percent lower primarily due to lower retail-related demand; and Other containers volume decreased 22.6 percent.</w:t>
      </w:r>
    </w:p>
    <w:p>
      <w:pPr>
        <w:spacing w:after="0" w:line="189"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Ocean Transportation operating income decreased $388.4 million during the three months ended March 31, 2023, compared with the three months ended March 31, 2022. The decrease was primarily due to lower freight rates and volume in China and a lower contribution from SSAT, partially offset by lower operating costs and expenses (including fuel-related expenses) primarily related to the discontinuation of the CCX service.</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SSAT terminal joint venture investment contributed $(1.8) million during the three months ended</w:t>
      </w:r>
    </w:p>
    <w:p>
      <w:pPr>
        <w:spacing w:after="0" w:line="27" w:lineRule="exact"/>
        <w:rPr>
          <w:sz w:val="20"/>
          <w:szCs w:val="20"/>
          <w:color w:val="auto"/>
        </w:rPr>
      </w:pPr>
    </w:p>
    <w:p>
      <w:pPr>
        <w:ind w:left="60" w:right="79"/>
        <w:spacing w:after="0" w:line="260" w:lineRule="auto"/>
        <w:rPr>
          <w:sz w:val="20"/>
          <w:szCs w:val="20"/>
          <w:color w:val="auto"/>
        </w:rPr>
      </w:pPr>
      <w:r>
        <w:rPr>
          <w:rFonts w:ascii="Times New Roman" w:cs="Times New Roman" w:eastAsia="Times New Roman" w:hAnsi="Times New Roman"/>
          <w:sz w:val="18"/>
          <w:szCs w:val="18"/>
          <w:color w:val="auto"/>
        </w:rPr>
        <w:t>March 31, 2023, compared to a contribution of $34.0 million during the three months ended March 31, 2022. The decrease was primarily driven by lower other terminal revenue and lower lift volume.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Logistics Operating Results: Three months ended March 31, 2023 compared with 2022:</w:t>
      </w:r>
    </w:p>
    <w:p>
      <w:pPr>
        <w:spacing w:after="0" w:line="11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 w:type="dxa"/>
            <w:vAlign w:val="bottom"/>
            <w:vMerge w:val="restart"/>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8"/>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8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Logistics revenue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(67.8)</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(30.6)%</w:t>
            </w:r>
          </w:p>
        </w:tc>
        <w:tc>
          <w:tcPr>
            <w:tcW w:w="0" w:type="dxa"/>
            <w:vAlign w:val="bottom"/>
          </w:tcPr>
          <w:p>
            <w:pPr>
              <w:spacing w:after="0"/>
              <w:rPr>
                <w:sz w:val="1"/>
                <w:szCs w:val="1"/>
                <w:color w:val="auto"/>
              </w:rPr>
            </w:pPr>
          </w:p>
        </w:tc>
      </w:tr>
      <w:tr>
        <w:trPr>
          <w:trHeight w:val="216"/>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(30.4)%</w:t>
            </w:r>
          </w:p>
        </w:tc>
        <w:tc>
          <w:tcPr>
            <w:tcW w:w="0" w:type="dxa"/>
            <w:vAlign w:val="bottom"/>
          </w:tcPr>
          <w:p>
            <w:pPr>
              <w:spacing w:after="0"/>
              <w:rPr>
                <w:sz w:val="1"/>
                <w:szCs w:val="1"/>
                <w:color w:val="auto"/>
              </w:rPr>
            </w:pPr>
          </w:p>
        </w:tc>
      </w:tr>
      <w:tr>
        <w:trPr>
          <w:trHeight w:val="20"/>
        </w:trPr>
        <w:tc>
          <w:tcPr>
            <w:tcW w:w="59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vMerge w:val="continue"/>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(33.5)%</w:t>
            </w:r>
          </w:p>
        </w:tc>
        <w:tc>
          <w:tcPr>
            <w:tcW w:w="0" w:type="dxa"/>
            <w:vAlign w:val="bottom"/>
          </w:tcPr>
          <w:p>
            <w:pPr>
              <w:spacing w:after="0"/>
              <w:rPr>
                <w:sz w:val="1"/>
                <w:szCs w:val="1"/>
                <w:color w:val="auto"/>
              </w:rPr>
            </w:pPr>
          </w:p>
        </w:tc>
      </w:tr>
      <w:tr>
        <w:trPr>
          <w:trHeight w:val="234"/>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 margin</w:t>
            </w:r>
          </w:p>
        </w:tc>
        <w:tc>
          <w:tcPr>
            <w:tcW w:w="12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7.1 %</w:t>
            </w:r>
          </w:p>
        </w:tc>
        <w:tc>
          <w:tcPr>
            <w:tcW w:w="12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7.4 %</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60" w:right="119"/>
        <w:spacing w:after="0" w:line="266" w:lineRule="auto"/>
        <w:rPr>
          <w:sz w:val="20"/>
          <w:szCs w:val="20"/>
          <w:color w:val="auto"/>
        </w:rPr>
      </w:pPr>
      <w:r>
        <w:rPr>
          <w:rFonts w:ascii="Times New Roman" w:cs="Times New Roman" w:eastAsia="Times New Roman" w:hAnsi="Times New Roman"/>
          <w:sz w:val="18"/>
          <w:szCs w:val="18"/>
          <w:color w:val="auto"/>
        </w:rPr>
        <w:t>Logistics revenue decreased $67.8 million, or 30.6 percent, during the three months ended March 31, 2023, compared with the three months ended March 31, 2022. The decrease was primarily due to lower revenue in transportation brokerage and supply chain management.</w:t>
      </w:r>
    </w:p>
    <w:p>
      <w:pPr>
        <w:spacing w:after="0" w:line="176" w:lineRule="exact"/>
        <w:rPr>
          <w:sz w:val="20"/>
          <w:szCs w:val="20"/>
          <w:color w:val="auto"/>
        </w:rPr>
      </w:pPr>
    </w:p>
    <w:p>
      <w:pPr>
        <w:ind w:left="60" w:right="539"/>
        <w:spacing w:after="0" w:line="289" w:lineRule="auto"/>
        <w:rPr>
          <w:sz w:val="20"/>
          <w:szCs w:val="20"/>
          <w:color w:val="auto"/>
        </w:rPr>
      </w:pPr>
      <w:r>
        <w:rPr>
          <w:rFonts w:ascii="Times New Roman" w:cs="Times New Roman" w:eastAsia="Times New Roman" w:hAnsi="Times New Roman"/>
          <w:sz w:val="17"/>
          <w:szCs w:val="17"/>
          <w:color w:val="auto"/>
        </w:rPr>
        <w:t>Logistics operating income decreased $5.5 million, or 33.5 percent, during the three months ended March 31, 2023, compared with the three months ended March 31, 2022. The decrease was primarily due to lower contributions from supply chain management, consistent with lower demand in the Transpacific tradelane, and transportation brokerage.</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Sources of liquidity available to the Company as of March 31, 2023, compared to December 31, 2022 were as follows:</w:t>
      </w:r>
    </w:p>
    <w:p>
      <w:pPr>
        <w:spacing w:after="0" w:line="221" w:lineRule="exact"/>
        <w:rPr>
          <w:sz w:val="20"/>
          <w:szCs w:val="20"/>
          <w:color w:val="auto"/>
        </w:rPr>
      </w:pPr>
    </w:p>
    <w:p>
      <w:pPr>
        <w:ind w:left="6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Cash Equivalents, Restricted Cash and Accounts Receivable: </w:t>
      </w:r>
      <w:r>
        <w:rPr>
          <w:rFonts w:ascii="Times New Roman" w:cs="Times New Roman" w:eastAsia="Times New Roman" w:hAnsi="Times New Roman"/>
          <w:sz w:val="18"/>
          <w:szCs w:val="18"/>
          <w:color w:val="auto"/>
        </w:rPr>
        <w:t>Cash and cash equivalents, restricted cash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accounts receivable as of March 31, 2023, compared to December 31, 2022 were as follows:</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3"/>
                <w:szCs w:val="13"/>
                <w:color w:val="auto"/>
              </w:rPr>
            </w:pPr>
          </w:p>
        </w:tc>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62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0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 (1)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240" w:type="dxa"/>
            <w:vAlign w:val="bottom"/>
            <w:tcBorders>
              <w:bottom w:val="single" w:sz="8" w:color="auto"/>
            </w:tcBorders>
          </w:tcPr>
          <w:p>
            <w:pPr>
              <w:spacing w:after="0"/>
              <w:rPr>
                <w:sz w:val="10"/>
                <w:szCs w:val="10"/>
                <w:color w:val="auto"/>
              </w:rPr>
            </w:pPr>
          </w:p>
        </w:tc>
        <w:tc>
          <w:tcPr>
            <w:tcW w:w="3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80" w:right="739" w:hanging="330"/>
        <w:spacing w:after="0" w:line="261" w:lineRule="auto"/>
        <w:tabs>
          <w:tab w:leader="none" w:pos="3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2023 and December 31, 2022, $209.9 million and $9.9 million of eligible accounts receivable were assigned to the CCF, respectively.</w:t>
      </w:r>
    </w:p>
    <w:p>
      <w:pPr>
        <w:spacing w:after="0" w:line="167" w:lineRule="exact"/>
        <w:rPr>
          <w:sz w:val="20"/>
          <w:szCs w:val="20"/>
          <w:color w:val="auto"/>
        </w:rPr>
      </w:pPr>
    </w:p>
    <w:p>
      <w:pPr>
        <w:ind w:left="60" w:right="799"/>
        <w:spacing w:after="0" w:line="282" w:lineRule="auto"/>
        <w:rPr>
          <w:sz w:val="20"/>
          <w:szCs w:val="20"/>
          <w:color w:val="auto"/>
        </w:rPr>
      </w:pPr>
      <w:r>
        <w:rPr>
          <w:rFonts w:ascii="Times New Roman" w:cs="Times New Roman" w:eastAsia="Times New Roman" w:hAnsi="Times New Roman"/>
          <w:sz w:val="18"/>
          <w:szCs w:val="18"/>
          <w:color w:val="auto"/>
        </w:rPr>
        <w:t>Changes in the Company’s cash, cash equivalents and restricted cash for the three months ended March 31, 2023, compared to the three months ended March 31, 2022 were as follows:</w:t>
      </w:r>
    </w:p>
    <w:p>
      <w:pPr>
        <w:spacing w:after="0" w:line="4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5"/>
                <w:szCs w:val="15"/>
                <w:color w:val="auto"/>
              </w:rPr>
            </w:pPr>
          </w:p>
        </w:tc>
        <w:tc>
          <w:tcPr>
            <w:tcW w:w="2400" w:type="dxa"/>
            <w:vAlign w:val="bottom"/>
            <w:gridSpan w:val="8"/>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360" w:type="dxa"/>
            <w:vAlign w:val="bottom"/>
            <w:gridSpan w:val="3"/>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2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 (1)</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96.7</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273.9</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 (2)</w:t>
            </w:r>
          </w:p>
        </w:tc>
        <w:tc>
          <w:tcPr>
            <w:tcW w:w="16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(153.5)</w:t>
            </w:r>
          </w:p>
        </w:tc>
        <w:tc>
          <w:tcPr>
            <w:tcW w:w="16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(46.4)</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financing activities (3)</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(104.5)</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(117.1)</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Net (decrease) increase in cash, cash equivalents and restricted cash</w:t>
            </w: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(161.3)</w:t>
            </w: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110.4</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beginning of the period</w:t>
            </w: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253.7</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287.7</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end of the period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92.4</w:t>
            </w:r>
          </w:p>
        </w:tc>
        <w:tc>
          <w:tcPr>
            <w:tcW w:w="16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398.1</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(305.7)</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240" w:type="dxa"/>
            <w:vAlign w:val="bottom"/>
            <w:tcBorders>
              <w:bottom w:val="single" w:sz="8" w:color="auto"/>
            </w:tcBorders>
          </w:tcPr>
          <w:p>
            <w:pPr>
              <w:spacing w:after="0"/>
              <w:rPr>
                <w:sz w:val="4"/>
                <w:szCs w:val="4"/>
                <w:color w:val="auto"/>
              </w:rPr>
            </w:pPr>
          </w:p>
        </w:tc>
        <w:tc>
          <w:tcPr>
            <w:tcW w:w="3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(1) Changes in net cash provided by operating activities:</w:t>
      </w:r>
    </w:p>
    <w:p>
      <w:pPr>
        <w:spacing w:after="0" w:line="214"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Changes in net cash provided by operating activities for the three months ended March 31, 2023, compared to the three months ended March 31, 2022, were due to the following:</w:t>
      </w:r>
    </w:p>
    <w:p>
      <w:pPr>
        <w:spacing w:after="0" w:line="4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5"/>
                <w:szCs w:val="15"/>
                <w:color w:val="auto"/>
              </w:rPr>
            </w:pPr>
          </w:p>
        </w:tc>
        <w:tc>
          <w:tcPr>
            <w:tcW w:w="70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9"/>
        </w:trPr>
        <w:tc>
          <w:tcPr>
            <w:tcW w:w="7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w:t>
            </w:r>
          </w:p>
        </w:tc>
      </w:tr>
      <w:tr>
        <w:trPr>
          <w:trHeight w:val="216"/>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Non-cash depreciation and amortization</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and distributions from SSAT, net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16"/>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r>
      <w:tr>
        <w:trPr>
          <w:trHeight w:val="216"/>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accruals and other liabilities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amortization of operating lease right of use assets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dry-docking payments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deferred dry-docking amortization</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8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0"/>
        </w:trPr>
        <w:tc>
          <w:tcPr>
            <w:tcW w:w="80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r>
              <w:rPr>
                <w:rFonts w:ascii="Times New Roman" w:cs="Times New Roman" w:eastAsia="Times New Roman" w:hAnsi="Times New Roman"/>
                <w:sz w:val="18"/>
                <w:szCs w:val="18"/>
                <w:u w:val="single" w:color="auto"/>
                <w:color w:val="auto"/>
              </w:rPr>
              <w:t>2)</w:t>
            </w:r>
          </w:p>
        </w:tc>
      </w:tr>
      <w:tr>
        <w:trPr>
          <w:trHeight w:val="20"/>
        </w:trPr>
        <w:tc>
          <w:tcPr>
            <w:tcW w:w="7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Net income was $34.0 million for the three months ended March 31, 2023, compared to $339.2 million for the three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months ended March 31, 2022, as described above. Loss from SSAT was $(1.8) million for the three months ended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31, 2023, compared to $34.0 million for the three months ended March 31, 2022. The decrease in contribution from</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SSAT was due to lower other terminal revenue and lower lift volume during the three months ended March 31, 2023 as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compared to the same prior year period. There were no distributions from SSAT during the three months ended March 31,</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2023 and 2022. Changes in accounts receivable were primarily due to the timing of collections associated with those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receivables. Changes in prepaid expenses and other assets were primarily due to increased prepaid income taxes, 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increased prepaid fuel and other operating expenses for the three months ended March 31, 2023 as compared to the same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prior year period. Changes in accounts payable, accruals and other liabilities were due to the timing of payments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associated with those liabilities. Changes in operating lease liabilities were primarily due to new operating lease additions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and renewals, partially offset by operating lease terminations during the three months ended March 31, 2023, compared 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same prior year period. Deferred dry-docking payments for the three months ended March 31, 2023 were $2.4 million,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compared to $8.6 million for the three months ended March 31, 2022. The decrease in deferred dry-docking payments was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due to less dry-dock related activity during the three months ended March 31, 2023 as compared to the same prior year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period.</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(2) Changes in net cash used in investing activities:</w:t>
      </w:r>
    </w:p>
    <w:p>
      <w:pPr>
        <w:spacing w:after="0" w:line="227"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Changes in net cash used in investing activities for the three months ended March 31, 2023, compared to the three months ended March 31, 2022, were due to the following:</w:t>
      </w:r>
    </w:p>
    <w:p>
      <w:pPr>
        <w:spacing w:after="0" w:line="4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5"/>
                <w:szCs w:val="15"/>
                <w:color w:val="auto"/>
              </w:rPr>
            </w:pPr>
          </w:p>
        </w:tc>
        <w:tc>
          <w:tcPr>
            <w:tcW w:w="70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0"/>
        </w:trPr>
        <w:tc>
          <w:tcPr>
            <w:tcW w:w="7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deposits and interest into the CCF</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r>
      <w:tr>
        <w:trPr>
          <w:trHeight w:val="216"/>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Withdrawals from CCF</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for asset acquisition</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Capitalized vessel construction expenditures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capital expenditures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8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Proceeds from disposal of property and equipment, net, and other</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09"/>
        </w:trPr>
        <w:tc>
          <w:tcPr>
            <w:tcW w:w="80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r>
      <w:tr>
        <w:trPr>
          <w:trHeight w:val="20"/>
        </w:trPr>
        <w:tc>
          <w:tcPr>
            <w:tcW w:w="7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The Company deposited $100.0 million of cash and accumulated $5.5 million of interest in the CCF and made no withdrawals from the CCF during the three months ended March 31, 2023, compared to $10.7 million of cash deposited into the CCF and $10.7 million withdrawn from the CCF during the three months ended March 31, 2022. Deposits and interest into the CCF are intended to fund long-term investment in the construction of new vessels. During the three months ended March 31, 2023, the Company paid $12.4 million related to an asset acquisition. No asset acquisitions were made during the three months ended March 31, 2022. Capitalized vessel construction expenditures (including capitalized interest) were $0.4 million for the three months ended March 31, 2023, compared to $9.4 million for the three months ended March 31, 2022. Other capital expenditures payments were $35.5 million for the three months ended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261" w:lineRule="auto"/>
        <w:rPr>
          <w:sz w:val="20"/>
          <w:szCs w:val="20"/>
          <w:color w:val="auto"/>
        </w:rPr>
      </w:pPr>
      <w:r>
        <w:rPr>
          <w:rFonts w:ascii="Times New Roman" w:cs="Times New Roman" w:eastAsia="Times New Roman" w:hAnsi="Times New Roman"/>
          <w:sz w:val="18"/>
          <w:szCs w:val="18"/>
          <w:color w:val="auto"/>
        </w:rPr>
        <w:t>March 31, 2023, compared to $37.4 million for the three months ended March 31, 2022. Other capital expenditures primarily relates to the acquisition of containers, chassis and other equipment; vessel related expenditures; and expenditures on other capital related projects. The Company purchased fewer containers, chassis and other equipment during the three months ended March 31, 2023 as compared to the same prior year period.</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(3) Changes in net cash used in financing activities:</w:t>
      </w:r>
    </w:p>
    <w:p>
      <w:pPr>
        <w:spacing w:after="0" w:line="227"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Changes in net cash used in financing activities for the three months ended March 31, 2023, compared to the three months ended March 31, 2022, were due to the following:</w:t>
      </w:r>
    </w:p>
    <w:p>
      <w:pPr>
        <w:sectPr>
          <w:pgSz w:w="11900" w:h="16838" w:orient="portrait"/>
          <w:cols w:equalWidth="0" w:num="1">
            <w:col w:w="9019"/>
          </w:cols>
          <w:pgMar w:left="1440" w:top="513" w:right="1440" w:bottom="1440" w:gutter="0" w:footer="0" w:header="0"/>
        </w:sectPr>
      </w:pPr>
    </w:p>
    <w:p>
      <w:pPr>
        <w:spacing w:after="0" w:line="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7620</wp:posOffset>
            </wp:positionV>
            <wp:extent cx="564896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5648960" cy="145415"/>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Repurchase of Matson common stock</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Repayments of fixed interest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right="2176"/>
        <w:spacing w:after="0" w:line="255" w:lineRule="auto"/>
        <w:rPr>
          <w:sz w:val="20"/>
          <w:szCs w:val="20"/>
          <w:color w:val="auto"/>
        </w:rPr>
      </w:pPr>
      <w:r>
        <w:rPr>
          <w:rFonts w:ascii="Times New Roman" w:cs="Times New Roman" w:eastAsia="Times New Roman" w:hAnsi="Times New Roman"/>
          <w:sz w:val="18"/>
          <w:szCs w:val="18"/>
          <w:color w:val="auto"/>
        </w:rPr>
        <w:t>Withholding tax related to net share settlements of restricted stock units Dividends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-4445</wp:posOffset>
            </wp:positionV>
            <wp:extent cx="564896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left="184"/>
        <w:spacing w:after="0"/>
        <w:rPr>
          <w:sz w:val="20"/>
          <w:szCs w:val="20"/>
          <w:color w:val="auto"/>
        </w:rPr>
      </w:pPr>
      <w:r>
        <w:rPr>
          <w:rFonts w:ascii="Times New Roman" w:cs="Times New Roman" w:eastAsia="Times New Roman" w:hAnsi="Times New Roman"/>
          <w:sz w:val="14"/>
          <w:szCs w:val="14"/>
          <w:b w:val="1"/>
          <w:bCs w:val="1"/>
          <w:color w:val="auto"/>
        </w:rPr>
        <w:t>Change</w:t>
      </w:r>
    </w:p>
    <w:p>
      <w:pPr>
        <w:spacing w:after="0" w:line="27" w:lineRule="exact"/>
        <w:rPr>
          <w:sz w:val="20"/>
          <w:szCs w:val="20"/>
          <w:color w:val="auto"/>
        </w:rPr>
      </w:pPr>
    </w:p>
    <w:p>
      <w:pPr>
        <w:ind w:left="484" w:hanging="484"/>
        <w:spacing w:after="0"/>
        <w:tabs>
          <w:tab w:leader="none" w:pos="48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30.4</w:t>
      </w:r>
    </w:p>
    <w:p>
      <w:pPr>
        <w:spacing w:after="0" w:line="7" w:lineRule="exact"/>
        <w:rPr>
          <w:rFonts w:ascii="Times New Roman" w:cs="Times New Roman" w:eastAsia="Times New Roman" w:hAnsi="Times New Roman"/>
          <w:sz w:val="18"/>
          <w:szCs w:val="18"/>
          <w:color w:val="auto"/>
        </w:rPr>
      </w:pPr>
    </w:p>
    <w:p>
      <w:pPr>
        <w:ind w:left="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(26.4)</w:t>
      </w:r>
    </w:p>
    <w:p>
      <w:pPr>
        <w:spacing w:after="0" w:line="20" w:lineRule="exact"/>
        <w:rPr>
          <w:rFonts w:ascii="Times New Roman" w:cs="Times New Roman" w:eastAsia="Times New Roman" w:hAnsi="Times New Roman"/>
          <w:sz w:val="18"/>
          <w:szCs w:val="18"/>
          <w:color w:val="auto"/>
        </w:rPr>
      </w:pPr>
    </w:p>
    <w:p>
      <w:pPr>
        <w:ind w:left="5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w:t>
      </w:r>
    </w:p>
    <w:p>
      <w:pPr>
        <w:spacing w:after="0" w:line="9" w:lineRule="exact"/>
        <w:rPr>
          <w:rFonts w:ascii="Times New Roman" w:cs="Times New Roman" w:eastAsia="Times New Roman" w:hAnsi="Times New Roman"/>
          <w:sz w:val="18"/>
          <w:szCs w:val="18"/>
          <w:color w:val="auto"/>
        </w:rPr>
      </w:pPr>
    </w:p>
    <w:p>
      <w:pPr>
        <w:ind w:left="5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w:t>
      </w:r>
    </w:p>
    <w:p>
      <w:pPr>
        <w:spacing w:after="0" w:line="9" w:lineRule="exact"/>
        <w:rPr>
          <w:sz w:val="20"/>
          <w:szCs w:val="20"/>
          <w:color w:val="auto"/>
        </w:rPr>
      </w:pPr>
    </w:p>
    <w:p>
      <w:pPr>
        <w:ind w:left="484" w:hanging="484"/>
        <w:spacing w:after="0"/>
        <w:tabs>
          <w:tab w:leader="none" w:pos="48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5403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pacing w:after="0" w:line="166" w:lineRule="exact"/>
        <w:rPr>
          <w:sz w:val="20"/>
          <w:szCs w:val="20"/>
          <w:color w:val="auto"/>
        </w:rPr>
      </w:pPr>
    </w:p>
    <w:p>
      <w:pPr>
        <w:sectPr>
          <w:pgSz w:w="11900" w:h="16838" w:orient="portrait"/>
          <w:cols w:equalWidth="0" w:num="2">
            <w:col w:w="7376" w:space="720"/>
            <w:col w:w="923"/>
          </w:cols>
          <w:pgMar w:left="1440" w:top="513" w:right="1440" w:bottom="1440" w:gutter="0" w:footer="0" w:header="0"/>
          <w:type w:val="continuous"/>
        </w:sectPr>
      </w:pPr>
    </w:p>
    <w:p>
      <w:pPr>
        <w:ind w:left="60" w:right="239"/>
        <w:spacing w:after="0" w:line="253" w:lineRule="auto"/>
        <w:rPr>
          <w:sz w:val="20"/>
          <w:szCs w:val="20"/>
          <w:color w:val="auto"/>
        </w:rPr>
      </w:pPr>
      <w:r>
        <w:rPr>
          <w:rFonts w:ascii="Times New Roman" w:cs="Times New Roman" w:eastAsia="Times New Roman" w:hAnsi="Times New Roman"/>
          <w:sz w:val="18"/>
          <w:szCs w:val="18"/>
          <w:color w:val="auto"/>
        </w:rPr>
        <w:t>During the three months ended March 31, 2023, the Company paid $40.0 million to repurchase Matson common stock, compared to $70.4 million during the three months ended March 31, 2022. During the three months ended March 31, 2023, the Company prepaid $26.4 million of Title XI debt and paid $14.4 million in scheduled fixed debt payments, compared to $14.4 million in scheduled fixed debt payments during the three months ended March 31, 2022. During the three months ended March 31, 2023, the Company paid $12.4 million in payroll taxes related to vested restricted stock units, compared to $19.4 million for the three months ended March 31, 2022. The decrease in withholding tax was primarily due to the decrease of the Company’s stock price as of the vesting date of the restricted stock units. During the three months ended March 31, 2023, the Company paid $11.3 million in dividends, compared to $12.9 million during the three months ended March 31, 2022. The decrease in dividend payments was due to the reduction in common stock outstanding, offset by an increase in dividends declared per share of common stock by the Company.</w:t>
      </w:r>
    </w:p>
    <w:p>
      <w:pPr>
        <w:spacing w:after="0" w:line="190" w:lineRule="exact"/>
        <w:rPr>
          <w:sz w:val="20"/>
          <w:szCs w:val="20"/>
          <w:color w:val="auto"/>
        </w:rPr>
      </w:pPr>
    </w:p>
    <w:p>
      <w:pPr>
        <w:ind w:left="60" w:right="439"/>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 Construction Fund: </w:t>
      </w:r>
      <w:r>
        <w:rPr>
          <w:rFonts w:ascii="Times New Roman" w:cs="Times New Roman" w:eastAsia="Times New Roman" w:hAnsi="Times New Roman"/>
          <w:sz w:val="18"/>
          <w:szCs w:val="18"/>
          <w:color w:val="auto"/>
        </w:rPr>
        <w:t>Cash on deposit in the capital construction fund as of March 31, 2023 and December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2022 was as follows:</w:t>
      </w:r>
    </w:p>
    <w:tbl>
      <w:tblPr>
        <w:tblLayout w:type="fixed"/>
        <w:tblInd w:w="40" w:type="dxa"/>
        <w:tblCellMar>
          <w:top w:w="0" w:type="dxa"/>
          <w:left w:w="0" w:type="dxa"/>
          <w:bottom w:w="0" w:type="dxa"/>
          <w:right w:w="0" w:type="dxa"/>
        </w:tblCellMar>
      </w:tblPr>
      <w:tr>
        <w:trPr>
          <w:trHeight w:val="138"/>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1"/>
                <w:szCs w:val="11"/>
                <w:color w:val="auto"/>
              </w:rPr>
            </w:pPr>
          </w:p>
        </w:tc>
        <w:tc>
          <w:tcPr>
            <w:tcW w:w="104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7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6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Construction Fund:</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Cash on deposit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623.7</w:t>
            </w:r>
          </w:p>
        </w:tc>
        <w:tc>
          <w:tcPr>
            <w:tcW w:w="200" w:type="dxa"/>
            <w:vAlign w:val="bottom"/>
          </w:tcPr>
          <w:p>
            <w:pPr>
              <w:spacing w:after="0"/>
              <w:rPr>
                <w:sz w:val="18"/>
                <w:szCs w:val="18"/>
                <w:color w:val="auto"/>
              </w:rPr>
            </w:pP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518.2</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Assigned accounts receivables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During the three months ended March 31, 2023, the Company deposited $100.0 million of cash and accumulated</w:t>
      </w:r>
    </w:p>
    <w:p>
      <w:pPr>
        <w:spacing w:after="0" w:line="27"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$5.5 million of interest into the CCF. Cash on deposit in the CCF is currently held in a U.S. Treasury obligations fund with daily liquidity. At March 31, 2023, securities held within the fund had a weighted average life of 35 days. CCF cash is classified as a long-term asset on the Company’s Condensed Consolidated Balance Sheets, as the Company intends to use qualified cash withdrawals to fund long-term investment in the construction of new vessels.</w:t>
      </w:r>
    </w:p>
    <w:p>
      <w:pPr>
        <w:spacing w:after="0" w:line="189"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2023, the Company pledged $200.0 million of accounts receivable into the CCF. Assigned accounts receivable in the CCF are classified as part of accounts receivable on the Company’s Condensed Consolidated Balance sheets due to the nature of the assignment.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Debt: </w:t>
      </w:r>
      <w:r>
        <w:rPr>
          <w:rFonts w:ascii="Times New Roman" w:cs="Times New Roman" w:eastAsia="Times New Roman" w:hAnsi="Times New Roman"/>
          <w:sz w:val="18"/>
          <w:szCs w:val="18"/>
          <w:color w:val="auto"/>
        </w:rPr>
        <w:t>Total Debt as of March 31, 2023 and December 31, 2022 is as follows:</w:t>
      </w:r>
    </w:p>
    <w:p>
      <w:pPr>
        <w:spacing w:after="0" w:line="14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6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62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interest debt</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476.7</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Debt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476.7</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517.5</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Total Debt decreased by $40.8 million during the three months ended March 31, 2023. The decrease in fixed interest debt was due to prepayments of $26.4 million of outstanding principal of Title XI debt, and scheduled repayments of private placement term loans and Title XI debt during the three months ended March 31, 2023.</w:t>
      </w:r>
    </w:p>
    <w:p>
      <w:pPr>
        <w:spacing w:after="0" w:line="176" w:lineRule="exact"/>
        <w:rPr>
          <w:sz w:val="20"/>
          <w:szCs w:val="20"/>
          <w:color w:val="auto"/>
        </w:rPr>
      </w:pPr>
    </w:p>
    <w:p>
      <w:pPr>
        <w:ind w:left="60" w:right="399"/>
        <w:spacing w:after="0" w:line="312" w:lineRule="auto"/>
        <w:rPr>
          <w:sz w:val="20"/>
          <w:szCs w:val="20"/>
          <w:color w:val="auto"/>
        </w:rPr>
      </w:pPr>
      <w:r>
        <w:rPr>
          <w:rFonts w:ascii="Times New Roman" w:cs="Times New Roman" w:eastAsia="Times New Roman" w:hAnsi="Times New Roman"/>
          <w:sz w:val="17"/>
          <w:szCs w:val="17"/>
          <w:color w:val="auto"/>
        </w:rPr>
        <w:t>As of March 31, 2023, the Company had $642.1 million of remaining borrowing availability under the revolving credit facility, with a maturity date of March 31, 2026. The Company’s debt is described in Note 6 of Part I, Item 1 above.</w:t>
      </w:r>
    </w:p>
    <w:p>
      <w:pPr>
        <w:sectPr>
          <w:pgSz w:w="11900" w:h="16838" w:orient="portrait"/>
          <w:cols w:equalWidth="0" w:num="1">
            <w:col w:w="9019"/>
          </w:cols>
          <w:pgMar w:left="1440" w:top="513" w:right="1440" w:bottom="1440" w:gutter="0" w:footer="0" w:header="0"/>
          <w:type w:val="continuous"/>
        </w:sect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right="11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Working Capital: </w:t>
      </w:r>
      <w:r>
        <w:rPr>
          <w:rFonts w:ascii="Times New Roman" w:cs="Times New Roman" w:eastAsia="Times New Roman" w:hAnsi="Times New Roman"/>
          <w:sz w:val="18"/>
          <w:szCs w:val="18"/>
          <w:color w:val="auto"/>
        </w:rPr>
        <w:t>The Company had a working capital surplus of $30.9 million and $178.0 million at March 31, 2023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2022, respectively. Working capital is primarily impacted by the amount of net cash provided by operating activities, the amount of capital expenditures, the timing of collections associated with accounts receivable, prepaid expenses and other assets, and by the amount and timing of payments associated with accounts payable, accruals, income taxes and other liabilities. The decrease in working capital surplus at March 31, 2023 is primarily due to the decrease in cash generated from operating activities, and cash deposited into the CCF during the three months ended March 31, 2023.</w:t>
      </w:r>
    </w:p>
    <w:p>
      <w:pPr>
        <w:spacing w:after="0" w:line="182" w:lineRule="exact"/>
        <w:rPr>
          <w:sz w:val="20"/>
          <w:szCs w:val="20"/>
          <w:color w:val="auto"/>
        </w:rPr>
      </w:pPr>
    </w:p>
    <w:p>
      <w:pPr>
        <w:ind w:left="60" w:right="179"/>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Capital Expenditures: </w:t>
      </w:r>
      <w:r>
        <w:rPr>
          <w:rFonts w:ascii="Times New Roman" w:cs="Times New Roman" w:eastAsia="Times New Roman" w:hAnsi="Times New Roman"/>
          <w:sz w:val="18"/>
          <w:szCs w:val="18"/>
          <w:color w:val="auto"/>
        </w:rPr>
        <w:t>There were no material changes during the quarter ended March 31, 2023 to the Company’s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expected capital expenditures for the years ending December 31, 2023 and 2024 that are described in Part II, Item 7 of the Company’s </w:t>
      </w:r>
      <w:hyperlink r:id="rId27">
        <w:r>
          <w:rPr>
            <w:rFonts w:ascii="Times New Roman" w:cs="Times New Roman" w:eastAsia="Times New Roman" w:hAnsi="Times New Roman"/>
            <w:sz w:val="18"/>
            <w:szCs w:val="18"/>
            <w:u w:val="single" w:color="auto"/>
            <w:color w:val="0000EE"/>
          </w:rPr>
          <w:t>Annual Report on Form 10-K for the year ended December 31, 2022</w:t>
        </w:r>
      </w:hyperlink>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60" w:right="119"/>
        <w:spacing w:after="0" w:line="266"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following represents the estimated timing of future milestone payments under the vessel construction agreements as of </w:t>
      </w:r>
      <w:hyperlink r:id="rId27">
        <w:r>
          <w:rPr>
            <w:rFonts w:ascii="Times New Roman" w:cs="Times New Roman" w:eastAsia="Times New Roman" w:hAnsi="Times New Roman"/>
            <w:sz w:val="18"/>
            <w:szCs w:val="18"/>
            <w:color w:val="auto"/>
          </w:rPr>
          <w:t xml:space="preserve">March 31, 2023, as described in Part II, Item 7 of the Company’s </w:t>
        </w:r>
        <w:r>
          <w:rPr>
            <w:rFonts w:ascii="Times New Roman" w:cs="Times New Roman" w:eastAsia="Times New Roman" w:hAnsi="Times New Roman"/>
            <w:sz w:val="18"/>
            <w:szCs w:val="18"/>
            <w:u w:val="single" w:color="auto"/>
            <w:color w:val="0000EE"/>
          </w:rPr>
          <w:t>Annual Report on Form 10-K for the year ended</w:t>
        </w:r>
      </w:hyperlink>
      <w:r>
        <w:rPr>
          <w:rFonts w:ascii="Times New Roman" w:cs="Times New Roman" w:eastAsia="Times New Roman" w:hAnsi="Times New Roman"/>
          <w:sz w:val="18"/>
          <w:szCs w:val="18"/>
          <w:color w:val="auto"/>
        </w:rPr>
        <w:t xml:space="preserve"> </w:t>
      </w:r>
      <w:hyperlink r:id="rId27">
        <w:r>
          <w:rPr>
            <w:rFonts w:ascii="Times New Roman" w:cs="Times New Roman" w:eastAsia="Times New Roman" w:hAnsi="Times New Roman"/>
            <w:sz w:val="18"/>
            <w:szCs w:val="18"/>
            <w:u w:val="single" w:color="auto"/>
            <w:color w:val="0000EE"/>
          </w:rPr>
          <w:t>December 31, 2022</w:t>
        </w:r>
        <w:r>
          <w:rPr>
            <w:rFonts w:ascii="Times New Roman" w:cs="Times New Roman" w:eastAsia="Times New Roman" w:hAnsi="Times New Roman"/>
            <w:sz w:val="18"/>
            <w:szCs w:val="18"/>
            <w:color w:val="000000"/>
          </w:rPr>
          <w:t>:</w:t>
        </w:r>
      </w:hyperlink>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7"/>
          </w:tcPr>
          <w:p>
            <w:pPr>
              <w:ind w:left="220"/>
              <w:spacing w:after="0"/>
              <w:rPr>
                <w:sz w:val="20"/>
                <w:szCs w:val="20"/>
                <w:color w:val="auto"/>
              </w:rPr>
            </w:pPr>
            <w:r>
              <w:rPr>
                <w:rFonts w:ascii="Times New Roman" w:cs="Times New Roman" w:eastAsia="Times New Roman" w:hAnsi="Times New Roman"/>
                <w:sz w:val="14"/>
                <w:szCs w:val="14"/>
                <w:b w:val="1"/>
                <w:bCs w:val="1"/>
                <w:color w:val="auto"/>
              </w:rPr>
              <w:t>Future Milestone Payments By Period</w:t>
            </w:r>
          </w:p>
        </w:tc>
        <w:tc>
          <w:tcPr>
            <w:tcW w:w="4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4740" w:type="dxa"/>
            <w:vAlign w:val="bottom"/>
            <w:gridSpan w:val="2"/>
            <w:vMerge w:val="continue"/>
          </w:tcPr>
          <w:p>
            <w:pPr>
              <w:spacing w:after="0"/>
              <w:rPr>
                <w:sz w:val="12"/>
                <w:szCs w:val="12"/>
                <w:color w:val="auto"/>
              </w:rPr>
            </w:pPr>
          </w:p>
        </w:tc>
        <w:tc>
          <w:tcPr>
            <w:tcW w:w="132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Remainder of 2023</w:t>
            </w:r>
          </w:p>
        </w:tc>
        <w:tc>
          <w:tcPr>
            <w:tcW w:w="1540" w:type="dxa"/>
            <w:vAlign w:val="bottom"/>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2024-2025  2026-2027</w:t>
            </w:r>
          </w:p>
        </w:tc>
        <w:tc>
          <w:tcPr>
            <w:tcW w:w="6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Thereafter</w:t>
            </w:r>
          </w:p>
        </w:tc>
        <w:tc>
          <w:tcPr>
            <w:tcW w:w="14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Aloha Class Containerships</w:t>
            </w: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422</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464</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$ 949</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Repurchase of Shares: </w:t>
      </w:r>
      <w:r>
        <w:rPr>
          <w:rFonts w:ascii="Times New Roman" w:cs="Times New Roman" w:eastAsia="Times New Roman" w:hAnsi="Times New Roman"/>
          <w:sz w:val="18"/>
          <w:szCs w:val="18"/>
          <w:color w:val="auto"/>
        </w:rPr>
        <w:t>During the three months ended March 31, 2023, the Company repurchased approximately</w:t>
      </w:r>
    </w:p>
    <w:p>
      <w:pPr>
        <w:spacing w:after="0" w:line="31" w:lineRule="exact"/>
        <w:rPr>
          <w:sz w:val="20"/>
          <w:szCs w:val="20"/>
          <w:color w:val="auto"/>
        </w:rPr>
      </w:pPr>
    </w:p>
    <w:p>
      <w:pPr>
        <w:ind w:left="60" w:right="379"/>
        <w:spacing w:after="0" w:line="253" w:lineRule="auto"/>
        <w:rPr>
          <w:sz w:val="20"/>
          <w:szCs w:val="20"/>
          <w:color w:val="auto"/>
        </w:rPr>
      </w:pPr>
      <w:r>
        <w:rPr>
          <w:rFonts w:ascii="Times New Roman" w:cs="Times New Roman" w:eastAsia="Times New Roman" w:hAnsi="Times New Roman"/>
          <w:sz w:val="18"/>
          <w:szCs w:val="18"/>
          <w:color w:val="auto"/>
        </w:rPr>
        <w:t>0.7 million shares for a total cost of $42.1 million. The maximum number of remaining shares that may be purchased under the Company’s share repurchase program was approximately 0.9 million shares at March 31, 2023. On April 27, 2023, the Company’s Board of Directors approved an additional 3.0 million shares to the Company’s existing share repurchase program and extended the program to December 31, 2025.</w:t>
      </w:r>
    </w:p>
    <w:p>
      <w:pPr>
        <w:spacing w:after="0" w:line="185" w:lineRule="exact"/>
        <w:rPr>
          <w:sz w:val="20"/>
          <w:szCs w:val="20"/>
          <w:color w:val="auto"/>
        </w:rPr>
      </w:pPr>
    </w:p>
    <w:p>
      <w:pPr>
        <w:ind w:left="60" w:right="179"/>
        <w:spacing w:after="0" w:line="268"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b w:val="1"/>
          <w:bCs w:val="1"/>
          <w:i w:val="1"/>
          <w:iCs w:val="1"/>
          <w:color w:val="auto"/>
        </w:rPr>
        <w:t xml:space="preserve">Other Material Cash Requirements: </w:t>
      </w:r>
      <w:r>
        <w:rPr>
          <w:rFonts w:ascii="Times New Roman" w:cs="Times New Roman" w:eastAsia="Times New Roman" w:hAnsi="Times New Roman"/>
          <w:sz w:val="18"/>
          <w:szCs w:val="18"/>
          <w:color w:val="auto"/>
        </w:rPr>
        <w:t>There were no other material changes during the quarter ended March 31, 2023 to</w:t>
      </w:r>
      <w:r>
        <w:rPr>
          <w:rFonts w:ascii="Times New Roman" w:cs="Times New Roman" w:eastAsia="Times New Roman" w:hAnsi="Times New Roman"/>
          <w:sz w:val="18"/>
          <w:szCs w:val="18"/>
          <w:b w:val="1"/>
          <w:bCs w:val="1"/>
          <w:i w:val="1"/>
          <w:iCs w:val="1"/>
          <w:color w:val="auto"/>
        </w:rPr>
        <w:t xml:space="preserve"> </w:t>
      </w:r>
      <w:hyperlink r:id="rId27">
        <w:r>
          <w:rPr>
            <w:rFonts w:ascii="Times New Roman" w:cs="Times New Roman" w:eastAsia="Times New Roman" w:hAnsi="Times New Roman"/>
            <w:sz w:val="18"/>
            <w:szCs w:val="18"/>
            <w:color w:val="auto"/>
          </w:rPr>
          <w:t xml:space="preserve">the Company’s other cash requirements that are described in Part II, Item 7 of the Company’s </w:t>
        </w:r>
        <w:r>
          <w:rPr>
            <w:rFonts w:ascii="Times New Roman" w:cs="Times New Roman" w:eastAsia="Times New Roman" w:hAnsi="Times New Roman"/>
            <w:sz w:val="18"/>
            <w:szCs w:val="18"/>
            <w:u w:val="single" w:color="auto"/>
            <w:color w:val="0000EE"/>
          </w:rPr>
          <w:t>Annual Report on Form 10-</w:t>
        </w:r>
      </w:hyperlink>
      <w:hyperlink r:id="rId27">
        <w:r>
          <w:rPr>
            <w:rFonts w:ascii="Times New Roman" w:cs="Times New Roman" w:eastAsia="Times New Roman" w:hAnsi="Times New Roman"/>
            <w:sz w:val="18"/>
            <w:szCs w:val="18"/>
            <w:u w:val="single" w:color="auto"/>
            <w:color w:val="0000EE"/>
          </w:rPr>
          <w:t>K for the year ended December 31, 2022</w:t>
        </w:r>
        <w:r>
          <w:rPr>
            <w:rFonts w:ascii="Times New Roman" w:cs="Times New Roman" w:eastAsia="Times New Roman" w:hAnsi="Times New Roman"/>
            <w:sz w:val="18"/>
            <w:szCs w:val="18"/>
            <w:color w:val="000000"/>
          </w:rPr>
          <w:t>.</w:t>
        </w:r>
      </w:hyperlink>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left="60" w:right="11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have been no changes during this quarter to the Company’s critical accounting policies and estimates as discussed in Part II, Item 7 of the Company’s </w:t>
      </w:r>
      <w:hyperlink r:id="rId27">
        <w:r>
          <w:rPr>
            <w:rFonts w:ascii="Times New Roman" w:cs="Times New Roman" w:eastAsia="Times New Roman" w:hAnsi="Times New Roman"/>
            <w:sz w:val="18"/>
            <w:szCs w:val="18"/>
            <w:u w:val="single" w:color="auto"/>
            <w:color w:val="0000EE"/>
          </w:rPr>
          <w:t>Annual Report on Form 10-K for the year ended December 31, 2022</w:t>
        </w:r>
      </w:hyperlink>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ind w:left="60" w:right="379"/>
        <w:spacing w:after="0" w:line="266" w:lineRule="auto"/>
        <w:rPr>
          <w:sz w:val="20"/>
          <w:szCs w:val="20"/>
          <w:color w:val="auto"/>
        </w:rPr>
      </w:pPr>
      <w:r>
        <w:rPr>
          <w:rFonts w:ascii="Times New Roman" w:cs="Times New Roman" w:eastAsia="Times New Roman" w:hAnsi="Times New Roman"/>
          <w:sz w:val="18"/>
          <w:szCs w:val="18"/>
          <w:color w:val="auto"/>
        </w:rPr>
        <w:t>The Company’s first quarter 2023 cash dividend of $0.31 per share was paid on March 2, 2023. On April 27, 2023, the Company’s Board of Directors declared a cash dividend of $0.31 per share payable on June 1, 2023 to shareholders of record on May 11, 2023.</w:t>
      </w:r>
    </w:p>
    <w:p>
      <w:pPr>
        <w:spacing w:after="0" w:line="3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3. QUANTITATIVE AND QUALITATIVE DISCLOSURES ABOUT MARKET RISK</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have been no material changes to the Company’s market risk position from the information provided under</w:t>
      </w:r>
    </w:p>
    <w:p>
      <w:pPr>
        <w:spacing w:after="0" w:line="27" w:lineRule="exact"/>
        <w:rPr>
          <w:sz w:val="20"/>
          <w:szCs w:val="20"/>
          <w:color w:val="auto"/>
        </w:rPr>
      </w:pPr>
    </w:p>
    <w:p>
      <w:pPr>
        <w:ind w:left="60" w:right="59"/>
        <w:spacing w:after="0" w:line="260" w:lineRule="auto"/>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auto"/>
          </w:rPr>
          <w:t xml:space="preserve">Part II, Item 7A, “Quantitative and Qualitative Disclosures About Market Risk,” of its </w:t>
        </w:r>
        <w:r>
          <w:rPr>
            <w:rFonts w:ascii="Times New Roman" w:cs="Times New Roman" w:eastAsia="Times New Roman" w:hAnsi="Times New Roman"/>
            <w:sz w:val="18"/>
            <w:szCs w:val="18"/>
            <w:u w:val="single" w:color="auto"/>
            <w:color w:val="0000EE"/>
          </w:rPr>
          <w:t>Annual Report on Form 10-K for the</w:t>
        </w:r>
      </w:hyperlink>
      <w:r>
        <w:rPr>
          <w:rFonts w:ascii="Times New Roman" w:cs="Times New Roman" w:eastAsia="Times New Roman" w:hAnsi="Times New Roman"/>
          <w:sz w:val="18"/>
          <w:szCs w:val="18"/>
          <w:color w:val="auto"/>
        </w:rPr>
        <w:t xml:space="preserve"> </w:t>
      </w:r>
      <w:hyperlink r:id="rId27">
        <w:r>
          <w:rPr>
            <w:rFonts w:ascii="Times New Roman" w:cs="Times New Roman" w:eastAsia="Times New Roman" w:hAnsi="Times New Roman"/>
            <w:sz w:val="18"/>
            <w:szCs w:val="18"/>
            <w:u w:val="single" w:color="auto"/>
            <w:color w:val="0000EE"/>
          </w:rPr>
          <w:t>year ended December 31, 2022</w:t>
        </w:r>
        <w:r>
          <w:rPr>
            <w:rFonts w:ascii="Times New Roman" w:cs="Times New Roman" w:eastAsia="Times New Roman" w:hAnsi="Times New Roman"/>
            <w:sz w:val="18"/>
            <w:szCs w:val="18"/>
            <w:color w:val="000000"/>
          </w:rPr>
          <w:t>.</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4.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and Chief Financial Officer, has evaluated the effectiveness of the Company’s disclosure controls and procedures (as defined in Rules 13a-15(e) and 15d-15(e) under the Securities Exchange Act of 1934, as amended (the “Exchange Act”)) as of the end of the period covered by this report. Based on such evaluation, the Company’s Chief Executive Officer and Chief Financial Officer have concluded that, as of March 31, 2023, the Company’s disclosure controls and procedures are effective.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left="60" w:right="179"/>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Rules 13a-15(f) and 15d-15(f) under the Exchange Act) that occurred during the three months ended March 31, 2023, that have materially affected, or are reasonably likely to materially affect, the Company’s internal control over financial reporting.</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 LEGAL PROCEEDINGS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Environmental Matters: </w:t>
      </w:r>
      <w:r>
        <w:rPr>
          <w:rFonts w:ascii="Times New Roman" w:cs="Times New Roman" w:eastAsia="Times New Roman" w:hAnsi="Times New Roman"/>
          <w:sz w:val="18"/>
          <w:szCs w:val="18"/>
          <w:color w:val="auto"/>
        </w:rPr>
        <w:t>The Company’s Ocean Transportation business has certain risks that could result in expenditures</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environmental remediation. Except as described below, the Company believes that based on all information available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it, the Company is currently in compliance, in all material respects, with applicable environmental laws and regulations.</w:t>
      </w:r>
    </w:p>
    <w:p>
      <w:pPr>
        <w:spacing w:after="0" w:line="207" w:lineRule="exact"/>
        <w:rPr>
          <w:sz w:val="20"/>
          <w:szCs w:val="20"/>
          <w:color w:val="auto"/>
        </w:rPr>
      </w:pPr>
    </w:p>
    <w:p>
      <w:pPr>
        <w:ind w:left="60" w:right="379"/>
        <w:spacing w:after="0" w:line="258" w:lineRule="auto"/>
        <w:rPr>
          <w:sz w:val="20"/>
          <w:szCs w:val="20"/>
          <w:color w:val="auto"/>
        </w:rPr>
      </w:pPr>
      <w:r>
        <w:rPr>
          <w:rFonts w:ascii="Times New Roman" w:cs="Times New Roman" w:eastAsia="Times New Roman" w:hAnsi="Times New Roman"/>
          <w:sz w:val="18"/>
          <w:szCs w:val="18"/>
          <w:color w:val="auto"/>
        </w:rPr>
        <w:t>In accordance with SEC rules, with respect to administrative or judicial proceedings involving the environment, the Company has determined it will disclose any such proceeding if it reasonably believes such proceeding will result in monetary sanctions, exclusive of interest and costs, at or in excess of $1 million. The Company believes that such threshold is reasonably designed to result in disclosure of environmental proceedings that are material to its business or financial condition.</w:t>
      </w:r>
    </w:p>
    <w:p>
      <w:pPr>
        <w:spacing w:after="0" w:line="183" w:lineRule="exact"/>
        <w:rPr>
          <w:sz w:val="20"/>
          <w:szCs w:val="20"/>
          <w:color w:val="auto"/>
        </w:rPr>
      </w:pPr>
    </w:p>
    <w:p>
      <w:pPr>
        <w:ind w:left="60" w:right="239"/>
        <w:spacing w:after="0" w:line="254" w:lineRule="auto"/>
        <w:rPr>
          <w:sz w:val="20"/>
          <w:szCs w:val="20"/>
          <w:color w:val="auto"/>
        </w:rPr>
      </w:pPr>
      <w:r>
        <w:rPr>
          <w:rFonts w:ascii="Times New Roman" w:cs="Times New Roman" w:eastAsia="Times New Roman" w:hAnsi="Times New Roman"/>
          <w:sz w:val="18"/>
          <w:szCs w:val="18"/>
          <w:color w:val="auto"/>
        </w:rPr>
        <w:t>On November 10, 2021, the California Air Resources Board (“CARB”) issued a Notice of Violation (the “NOV”) to Matson for alleged violations of the Airborne Toxic Control Measure for Auxiliary Diesel Engines Operated on Ocean-Going Vessels At-Berth in a California Port pursuant to California Code of Regulations, title 17, section 93118.3. CARB regulations require that a company’s fleet plug into shore power for at least 80 percent of visits at California ports and reduce auxiliary engine power generation by at least 80 percent. The NOV alleges that Matson’s fleet did not meet the</w:t>
      </w:r>
    </w:p>
    <w:p>
      <w:pPr>
        <w:spacing w:after="0" w:line="3" w:lineRule="exact"/>
        <w:rPr>
          <w:sz w:val="20"/>
          <w:szCs w:val="20"/>
          <w:color w:val="auto"/>
        </w:rPr>
      </w:pPr>
    </w:p>
    <w:p>
      <w:pPr>
        <w:ind w:left="60" w:right="259"/>
        <w:spacing w:after="0" w:line="253" w:lineRule="auto"/>
        <w:rPr>
          <w:sz w:val="20"/>
          <w:szCs w:val="20"/>
          <w:color w:val="auto"/>
        </w:rPr>
      </w:pPr>
      <w:r>
        <w:rPr>
          <w:rFonts w:ascii="Times New Roman" w:cs="Times New Roman" w:eastAsia="Times New Roman" w:hAnsi="Times New Roman"/>
          <w:sz w:val="18"/>
          <w:szCs w:val="18"/>
          <w:color w:val="auto"/>
        </w:rPr>
        <w:t>80 percent thresholds during visits to the Port of Long Beach in 2020. The violations were alleged to have been incurred by chartered vessels in the CLX+ service. These chartered vessels were not outfitted with alternative maritime power (“AMP”) capability which would have allowed them to plug into the shore power grid and shut down the vessel diesel generators when at dock. On April 14, 2023, the Company and CARB entered into a settlement agreement pursuant to which the Company agreed to pay approximately $2.2 million in civil penalties for 2020, 2021 and 2022 violations.</w:t>
      </w:r>
    </w:p>
    <w:p>
      <w:pPr>
        <w:spacing w:after="0" w:line="185"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Matters: </w:t>
      </w:r>
      <w:r>
        <w:rPr>
          <w:rFonts w:ascii="Times New Roman" w:cs="Times New Roman" w:eastAsia="Times New Roman" w:hAnsi="Times New Roman"/>
          <w:sz w:val="18"/>
          <w:szCs w:val="18"/>
          <w:color w:val="auto"/>
        </w:rPr>
        <w:t>The Company and its subsidiaries are parties to, or may be contingently liable in connection with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legal actions arising in the normal course of their businesses, the outcomes of which, in the opinion of management after consultation with counsel, would not have a material effect on the Company’s financial condition, results of operations, or cash flows.</w:t>
      </w:r>
    </w:p>
    <w:p>
      <w:pPr>
        <w:spacing w:after="0" w:line="3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p>
    <w:p>
      <w:pPr>
        <w:spacing w:after="0" w:line="229" w:lineRule="exact"/>
        <w:rPr>
          <w:sz w:val="20"/>
          <w:szCs w:val="20"/>
          <w:color w:val="auto"/>
        </w:rPr>
      </w:pPr>
    </w:p>
    <w:p>
      <w:pPr>
        <w:ind w:left="60" w:right="31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were no material changes to the Company’s risk factors previously described in Part I, Item 1A, “Risk Factors” of the Company’s </w:t>
      </w:r>
      <w:hyperlink r:id="rId27">
        <w:r>
          <w:rPr>
            <w:rFonts w:ascii="Times New Roman" w:cs="Times New Roman" w:eastAsia="Times New Roman" w:hAnsi="Times New Roman"/>
            <w:sz w:val="18"/>
            <w:szCs w:val="18"/>
            <w:u w:val="single" w:color="auto"/>
            <w:color w:val="0000EE"/>
          </w:rPr>
          <w:t>Annual Report on Form 10-K for the year ended December 31, 2022</w:t>
        </w:r>
      </w:hyperlink>
      <w:r>
        <w:rPr>
          <w:rFonts w:ascii="Times New Roman" w:cs="Times New Roman" w:eastAsia="Times New Roman" w:hAnsi="Times New Roman"/>
          <w:sz w:val="18"/>
          <w:szCs w:val="18"/>
          <w:color w:val="auto"/>
        </w:rPr>
        <w: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2. 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 Purchases of Equity Securities by the Issuer and Affiliated Purchases.</w:t>
      </w:r>
    </w:p>
    <w:p>
      <w:pPr>
        <w:spacing w:after="0" w:line="225" w:lineRule="exact"/>
        <w:rPr>
          <w:sz w:val="20"/>
          <w:szCs w:val="20"/>
          <w:color w:val="auto"/>
        </w:rPr>
      </w:pPr>
    </w:p>
    <w:p>
      <w:pPr>
        <w:ind w:left="60" w:right="419"/>
        <w:spacing w:after="0" w:line="261" w:lineRule="auto"/>
        <w:rPr>
          <w:sz w:val="20"/>
          <w:szCs w:val="20"/>
          <w:color w:val="auto"/>
        </w:rPr>
      </w:pPr>
      <w:r>
        <w:rPr>
          <w:rFonts w:ascii="Times New Roman" w:cs="Times New Roman" w:eastAsia="Times New Roman" w:hAnsi="Times New Roman"/>
          <w:sz w:val="18"/>
          <w:szCs w:val="18"/>
          <w:color w:val="auto"/>
        </w:rPr>
        <w:t>The following is the summary of Matson shares that were repurchased under the Company’s share repurchase program during the three months ended March 31, 2023:</w:t>
      </w:r>
    </w:p>
    <w:tbl>
      <w:tblPr>
        <w:tblLayout w:type="fixed"/>
        <w:tblInd w:w="40" w:type="dxa"/>
        <w:tblCellMar>
          <w:top w:w="0" w:type="dxa"/>
          <w:left w:w="0" w:type="dxa"/>
          <w:bottom w:w="0" w:type="dxa"/>
          <w:right w:w="0" w:type="dxa"/>
        </w:tblCellMar>
      </w:tblPr>
      <w:tr>
        <w:trPr>
          <w:trHeight w:val="137"/>
        </w:trPr>
        <w:tc>
          <w:tcPr>
            <w:tcW w:w="22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Total Number of</w:t>
            </w:r>
          </w:p>
        </w:tc>
        <w:tc>
          <w:tcPr>
            <w:tcW w:w="140" w:type="dxa"/>
            <w:vAlign w:val="bottom"/>
          </w:tcPr>
          <w:p>
            <w:pPr>
              <w:spacing w:after="0"/>
              <w:rPr>
                <w:sz w:val="11"/>
                <w:szCs w:val="11"/>
                <w:color w:val="auto"/>
              </w:rPr>
            </w:pPr>
          </w:p>
        </w:tc>
        <w:tc>
          <w:tcPr>
            <w:tcW w:w="1260" w:type="dxa"/>
            <w:vAlign w:val="bottom"/>
            <w:gridSpan w:val="2"/>
          </w:tcPr>
          <w:p>
            <w:pPr>
              <w:jc w:val="center"/>
              <w:ind w:right="20"/>
              <w:spacing w:after="0" w:line="137" w:lineRule="exact"/>
              <w:rPr>
                <w:sz w:val="20"/>
                <w:szCs w:val="20"/>
                <w:color w:val="auto"/>
              </w:rPr>
            </w:pPr>
            <w:r>
              <w:rPr>
                <w:rFonts w:ascii="Times New Roman" w:cs="Times New Roman" w:eastAsia="Times New Roman" w:hAnsi="Times New Roman"/>
                <w:sz w:val="14"/>
                <w:szCs w:val="14"/>
                <w:b w:val="1"/>
                <w:bCs w:val="1"/>
                <w:color w:val="auto"/>
              </w:rPr>
              <w:t>Maximum Number</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40" w:type="dxa"/>
            <w:vAlign w:val="bottom"/>
          </w:tcPr>
          <w:p>
            <w:pPr>
              <w:spacing w:after="0"/>
              <w:rPr>
                <w:sz w:val="12"/>
                <w:szCs w:val="12"/>
                <w:color w:val="auto"/>
              </w:rPr>
            </w:pPr>
          </w:p>
        </w:tc>
        <w:tc>
          <w:tcPr>
            <w:tcW w:w="12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of Shares that May</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40" w:type="dxa"/>
            <w:vAlign w:val="bottom"/>
          </w:tcPr>
          <w:p>
            <w:pPr>
              <w:spacing w:after="0"/>
              <w:rPr>
                <w:sz w:val="12"/>
                <w:szCs w:val="12"/>
                <w:color w:val="auto"/>
              </w:rPr>
            </w:pPr>
          </w:p>
        </w:tc>
        <w:tc>
          <w:tcPr>
            <w:tcW w:w="12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Be Purchased</w:t>
            </w:r>
          </w:p>
        </w:tc>
        <w:tc>
          <w:tcPr>
            <w:tcW w:w="0" w:type="dxa"/>
            <w:vAlign w:val="bottom"/>
          </w:tcPr>
          <w:p>
            <w:pPr>
              <w:spacing w:after="0"/>
              <w:rPr>
                <w:sz w:val="1"/>
                <w:szCs w:val="1"/>
                <w:color w:val="auto"/>
              </w:rPr>
            </w:pPr>
          </w:p>
        </w:tc>
      </w:tr>
      <w:tr>
        <w:trPr>
          <w:trHeight w:val="148"/>
        </w:trPr>
        <w:tc>
          <w:tcPr>
            <w:tcW w:w="3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80" w:type="dxa"/>
            <w:vAlign w:val="bottom"/>
            <w:gridSpan w:val="3"/>
            <w:vMerge w:val="continue"/>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40" w:type="dxa"/>
            <w:vAlign w:val="bottom"/>
          </w:tcPr>
          <w:p>
            <w:pPr>
              <w:spacing w:after="0"/>
              <w:rPr>
                <w:sz w:val="12"/>
                <w:szCs w:val="12"/>
                <w:color w:val="auto"/>
              </w:rPr>
            </w:pPr>
          </w:p>
        </w:tc>
        <w:tc>
          <w:tcPr>
            <w:tcW w:w="12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73"/>
        </w:trPr>
        <w:tc>
          <w:tcPr>
            <w:tcW w:w="3960" w:type="dxa"/>
            <w:vAlign w:val="bottom"/>
            <w:gridSpan w:val="2"/>
            <w:vMerge w:val="continue"/>
          </w:tcPr>
          <w:p>
            <w:pPr>
              <w:spacing w:after="0"/>
              <w:rPr>
                <w:sz w:val="15"/>
                <w:szCs w:val="15"/>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 (1)</w:t>
            </w:r>
          </w:p>
        </w:tc>
        <w:tc>
          <w:tcPr>
            <w:tcW w:w="140" w:type="dxa"/>
            <w:vAlign w:val="bottom"/>
          </w:tcPr>
          <w:p>
            <w:pPr>
              <w:spacing w:after="0"/>
              <w:rPr>
                <w:sz w:val="15"/>
                <w:szCs w:val="15"/>
                <w:color w:val="auto"/>
              </w:rPr>
            </w:pPr>
          </w:p>
        </w:tc>
        <w:tc>
          <w:tcPr>
            <w:tcW w:w="12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209"/>
        </w:trPr>
        <w:tc>
          <w:tcPr>
            <w:tcW w:w="39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 31, 2023</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284,000</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63.08</w:t>
            </w:r>
          </w:p>
        </w:tc>
        <w:tc>
          <w:tcPr>
            <w:tcW w:w="1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284,000</w:t>
            </w:r>
          </w:p>
        </w:tc>
        <w:tc>
          <w:tcPr>
            <w:tcW w:w="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1,249,371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 – 28, 2023</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6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68.16</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1,099,371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 31, 2023</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219,000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62.09</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219,000</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880,371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653,000</w:t>
            </w:r>
          </w:p>
        </w:tc>
        <w:tc>
          <w:tcPr>
            <w:tcW w:w="16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63.92</w:t>
            </w:r>
          </w:p>
        </w:tc>
        <w:tc>
          <w:tcPr>
            <w:tcW w:w="16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653,000</w:t>
            </w:r>
          </w:p>
        </w:tc>
        <w:tc>
          <w:tcPr>
            <w:tcW w:w="1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17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80" w:right="99" w:hanging="330"/>
        <w:spacing w:after="0" w:line="229" w:lineRule="auto"/>
        <w:tabs>
          <w:tab w:leader="none" w:pos="3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June 24, 2021, the Company announced that Matson’s Board of Directors had approved a share repurchase program of up to 3.0 million shares of common stock from August 3, 2021 through August 2, 2024. On January 27, 2022, the Company’s Board of Directors approved an addition of 3.0 million shares to the Company’s existing share repurchase program. On August 23, 2022, the Company’s Board of Directors approved an addition of 3.0 million shares to the Company’s existing share repurchase program. On April 27, 2023, the Company’s Board of Directors approved an addition of 3.0 million shares to the Company’s existing share repurchase program, for a total of 12.0 million shares of common stock in the program since it was established, and extended the program to December 31, 2025. Shares will be repurchased in the open market from time to time, and may be made pursuant to a trading plan in accordance with Rule 10b5-1 of the Security Exchange Act of 1934.</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3. DEFAULTS UPON SENIOR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5. OTHER INFORMATION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6. EXHIBITS</w:t>
      </w:r>
    </w:p>
    <w:p>
      <w:pPr>
        <w:spacing w:after="0" w:line="256"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77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pursuant to Rule 13a-14(a) or 15d-14(a) of the Securities Exchange</w:t>
            </w:r>
          </w:p>
        </w:tc>
      </w:tr>
      <w:tr>
        <w:trPr>
          <w:trHeight w:val="237"/>
        </w:trPr>
        <w:tc>
          <w:tcPr>
            <w:tcW w:w="1060" w:type="dxa"/>
            <w:vAlign w:val="bottom"/>
          </w:tcPr>
          <w:p>
            <w:pPr>
              <w:spacing w:after="0"/>
              <w:rPr>
                <w:sz w:val="20"/>
                <w:szCs w:val="20"/>
                <w:color w:val="auto"/>
              </w:rPr>
            </w:pPr>
          </w:p>
        </w:tc>
        <w:tc>
          <w:tcPr>
            <w:tcW w:w="778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Act of 1934.</w:t>
            </w:r>
          </w:p>
        </w:tc>
      </w:tr>
      <w:tr>
        <w:trPr>
          <w:trHeight w:val="20"/>
        </w:trPr>
        <w:tc>
          <w:tcPr>
            <w:tcW w:w="106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778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 Rule 13a-14(a) or 15d-14(a) of the Securities Exchange</w:t>
            </w:r>
          </w:p>
        </w:tc>
      </w:tr>
      <w:tr>
        <w:trPr>
          <w:trHeight w:val="237"/>
        </w:trPr>
        <w:tc>
          <w:tcPr>
            <w:tcW w:w="1060" w:type="dxa"/>
            <w:vAlign w:val="bottom"/>
          </w:tcPr>
          <w:p>
            <w:pPr>
              <w:spacing w:after="0"/>
              <w:rPr>
                <w:sz w:val="20"/>
                <w:szCs w:val="20"/>
                <w:color w:val="auto"/>
              </w:rPr>
            </w:pPr>
          </w:p>
        </w:tc>
        <w:tc>
          <w:tcPr>
            <w:tcW w:w="772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Act of 1934.</w:t>
            </w:r>
          </w:p>
        </w:tc>
        <w:tc>
          <w:tcPr>
            <w:tcW w:w="60" w:type="dxa"/>
            <w:vAlign w:val="bottom"/>
          </w:tcPr>
          <w:p>
            <w:pPr>
              <w:spacing w:after="0"/>
              <w:rPr>
                <w:sz w:val="20"/>
                <w:szCs w:val="20"/>
                <w:color w:val="auto"/>
              </w:rPr>
            </w:pPr>
          </w:p>
        </w:tc>
      </w:tr>
      <w:tr>
        <w:trPr>
          <w:trHeight w:val="20"/>
        </w:trPr>
        <w:tc>
          <w:tcPr>
            <w:tcW w:w="106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46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778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and Chief Financial Officer pursuant to 18 U.S.C. Section 1350.</w:t>
            </w:r>
          </w:p>
        </w:tc>
      </w:tr>
      <w:tr>
        <w:trPr>
          <w:trHeight w:val="50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754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w:t>
            </w:r>
          </w:p>
        </w:tc>
        <w:tc>
          <w:tcPr>
            <w:tcW w:w="240" w:type="dxa"/>
            <w:vAlign w:val="bottom"/>
            <w:gridSpan w:val="2"/>
          </w:tcPr>
          <w:p>
            <w:pPr>
              <w:spacing w:after="0"/>
              <w:rPr>
                <w:sz w:val="24"/>
                <w:szCs w:val="24"/>
                <w:color w:val="auto"/>
              </w:rPr>
            </w:pPr>
          </w:p>
        </w:tc>
      </w:tr>
      <w:tr>
        <w:trPr>
          <w:trHeight w:val="257"/>
        </w:trPr>
        <w:tc>
          <w:tcPr>
            <w:tcW w:w="1060" w:type="dxa"/>
            <w:vAlign w:val="bottom"/>
          </w:tcPr>
          <w:p>
            <w:pPr>
              <w:spacing w:after="0"/>
              <w:rPr>
                <w:sz w:val="22"/>
                <w:szCs w:val="22"/>
                <w:color w:val="auto"/>
              </w:rPr>
            </w:pPr>
          </w:p>
        </w:tc>
        <w:tc>
          <w:tcPr>
            <w:tcW w:w="7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because its XBRL tags are embedded within the Inline XBRL document.</w:t>
            </w:r>
          </w:p>
        </w:tc>
      </w:tr>
      <w:tr>
        <w:trPr>
          <w:trHeight w:val="48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7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8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7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8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7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8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8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7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48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 and included as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51" w:lineRule="exact"/>
        <w:rPr>
          <w:sz w:val="20"/>
          <w:szCs w:val="20"/>
          <w:color w:val="auto"/>
        </w:rPr>
      </w:pPr>
    </w:p>
    <w:p>
      <w:pPr>
        <w:ind w:left="680" w:hanging="630"/>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rFonts w:ascii="Times New Roman" w:cs="Times New Roman" w:eastAsia="Times New Roman" w:hAnsi="Times New Roman"/>
          <w:sz w:val="18"/>
          <w:szCs w:val="18"/>
          <w:color w:val="auto"/>
        </w:rPr>
      </w:pPr>
    </w:p>
    <w:p>
      <w:pPr>
        <w:ind w:left="680" w:hanging="630"/>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jc w:val="center"/>
        <w:ind w:left="4440"/>
        <w:spacing w:after="0"/>
        <w:rPr>
          <w:sz w:val="20"/>
          <w:szCs w:val="20"/>
          <w:color w:val="auto"/>
        </w:rPr>
      </w:pPr>
      <w:r>
        <w:rPr>
          <w:rFonts w:ascii="Times New Roman" w:cs="Times New Roman" w:eastAsia="Times New Roman" w:hAnsi="Times New Roman"/>
          <w:sz w:val="18"/>
          <w:szCs w:val="18"/>
          <w:color w:val="auto"/>
        </w:rPr>
        <w:t>MATSON,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26035</wp:posOffset>
            </wp:positionV>
            <wp:extent cx="28200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0" w:lineRule="exact"/>
        <w:rPr>
          <w:sz w:val="20"/>
          <w:szCs w:val="20"/>
          <w:color w:val="auto"/>
        </w:rPr>
      </w:pPr>
    </w:p>
    <w:p>
      <w:pPr>
        <w:jc w:val="center"/>
        <w:ind w:left="444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322" w:lineRule="exact"/>
        <w:rPr>
          <w:sz w:val="20"/>
          <w:szCs w:val="20"/>
          <w:color w:val="auto"/>
        </w:rPr>
      </w:pPr>
    </w:p>
    <w:p>
      <w:pPr>
        <w:ind w:left="60"/>
        <w:spacing w:after="0"/>
        <w:tabs>
          <w:tab w:leader="none" w:pos="6120" w:val="left"/>
        </w:tabs>
        <w:rPr>
          <w:sz w:val="20"/>
          <w:szCs w:val="20"/>
          <w:color w:val="auto"/>
        </w:rPr>
      </w:pPr>
      <w:r>
        <w:rPr>
          <w:rFonts w:ascii="Times New Roman" w:cs="Times New Roman" w:eastAsia="Times New Roman" w:hAnsi="Times New Roman"/>
          <w:sz w:val="18"/>
          <w:szCs w:val="18"/>
          <w:color w:val="auto"/>
        </w:rPr>
        <w:t>Date: May 5, 2023</w:t>
      </w:r>
      <w:r>
        <w:rPr>
          <w:sz w:val="20"/>
          <w:szCs w:val="20"/>
          <w:color w:val="auto"/>
        </w:rPr>
        <w:tab/>
      </w:r>
      <w:r>
        <w:rPr>
          <w:rFonts w:ascii="Times New Roman" w:cs="Times New Roman" w:eastAsia="Times New Roman" w:hAnsi="Times New Roman"/>
          <w:sz w:val="17"/>
          <w:szCs w:val="17"/>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26035</wp:posOffset>
            </wp:positionV>
            <wp:extent cx="28200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0" w:lineRule="exact"/>
        <w:rPr>
          <w:sz w:val="20"/>
          <w:szCs w:val="20"/>
          <w:color w:val="auto"/>
        </w:rPr>
      </w:pPr>
    </w:p>
    <w:p>
      <w:pPr>
        <w:jc w:val="center"/>
        <w:ind w:left="4440"/>
        <w:spacing w:after="0"/>
        <w:rPr>
          <w:sz w:val="20"/>
          <w:szCs w:val="20"/>
          <w:color w:val="auto"/>
        </w:rPr>
      </w:pPr>
      <w:r>
        <w:rPr>
          <w:rFonts w:ascii="Times New Roman" w:cs="Times New Roman" w:eastAsia="Times New Roman" w:hAnsi="Times New Roman"/>
          <w:sz w:val="18"/>
          <w:szCs w:val="18"/>
          <w:color w:val="auto"/>
        </w:rPr>
        <w:t>Joel M. Wine</w:t>
      </w:r>
    </w:p>
    <w:p>
      <w:pPr>
        <w:spacing w:after="0" w:line="36" w:lineRule="exact"/>
        <w:rPr>
          <w:sz w:val="20"/>
          <w:szCs w:val="20"/>
          <w:color w:val="auto"/>
        </w:rPr>
      </w:pPr>
    </w:p>
    <w:p>
      <w:pPr>
        <w:jc w:val="center"/>
        <w:ind w:left="444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36" w:lineRule="exact"/>
        <w:rPr>
          <w:sz w:val="20"/>
          <w:szCs w:val="20"/>
          <w:color w:val="auto"/>
        </w:rPr>
      </w:pPr>
    </w:p>
    <w:p>
      <w:pPr>
        <w:jc w:val="center"/>
        <w:ind w:left="44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322" w:lineRule="exact"/>
        <w:rPr>
          <w:sz w:val="20"/>
          <w:szCs w:val="20"/>
          <w:color w:val="auto"/>
        </w:rPr>
      </w:pPr>
    </w:p>
    <w:p>
      <w:pPr>
        <w:ind w:left="60"/>
        <w:spacing w:after="0"/>
        <w:tabs>
          <w:tab w:leader="none" w:pos="6060" w:val="left"/>
        </w:tabs>
        <w:rPr>
          <w:sz w:val="20"/>
          <w:szCs w:val="20"/>
          <w:color w:val="auto"/>
        </w:rPr>
      </w:pPr>
      <w:r>
        <w:rPr>
          <w:rFonts w:ascii="Times New Roman" w:cs="Times New Roman" w:eastAsia="Times New Roman" w:hAnsi="Times New Roman"/>
          <w:sz w:val="18"/>
          <w:szCs w:val="18"/>
          <w:color w:val="auto"/>
        </w:rPr>
        <w:t>Date: May 5, 2023</w:t>
      </w:r>
      <w:r>
        <w:rPr>
          <w:sz w:val="20"/>
          <w:szCs w:val="20"/>
          <w:color w:val="auto"/>
        </w:rPr>
        <w:tab/>
      </w:r>
      <w:r>
        <w:rPr>
          <w:rFonts w:ascii="Times New Roman" w:cs="Times New Roman" w:eastAsia="Times New Roman" w:hAnsi="Times New Roman"/>
          <w:sz w:val="17"/>
          <w:szCs w:val="17"/>
          <w:color w:val="auto"/>
        </w:rPr>
        <w:t>/s/ Kevin L. Stuck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26035</wp:posOffset>
            </wp:positionV>
            <wp:extent cx="28200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30" w:lineRule="exact"/>
        <w:rPr>
          <w:sz w:val="20"/>
          <w:szCs w:val="20"/>
          <w:color w:val="auto"/>
        </w:rPr>
      </w:pPr>
    </w:p>
    <w:p>
      <w:pPr>
        <w:jc w:val="center"/>
        <w:ind w:left="4440"/>
        <w:spacing w:after="0"/>
        <w:rPr>
          <w:sz w:val="20"/>
          <w:szCs w:val="20"/>
          <w:color w:val="auto"/>
        </w:rPr>
      </w:pPr>
      <w:r>
        <w:rPr>
          <w:rFonts w:ascii="Times New Roman" w:cs="Times New Roman" w:eastAsia="Times New Roman" w:hAnsi="Times New Roman"/>
          <w:sz w:val="18"/>
          <w:szCs w:val="18"/>
          <w:color w:val="auto"/>
        </w:rPr>
        <w:t>Kevin L. Stuck</w:t>
      </w:r>
    </w:p>
    <w:p>
      <w:pPr>
        <w:spacing w:after="0" w:line="36" w:lineRule="exact"/>
        <w:rPr>
          <w:sz w:val="20"/>
          <w:szCs w:val="20"/>
          <w:color w:val="auto"/>
        </w:rPr>
      </w:pPr>
    </w:p>
    <w:p>
      <w:pPr>
        <w:jc w:val="center"/>
        <w:ind w:left="4440"/>
        <w:spacing w:after="0"/>
        <w:rPr>
          <w:sz w:val="20"/>
          <w:szCs w:val="20"/>
          <w:color w:val="auto"/>
        </w:rPr>
      </w:pPr>
      <w:r>
        <w:rPr>
          <w:rFonts w:ascii="Times New Roman" w:cs="Times New Roman" w:eastAsia="Times New Roman" w:hAnsi="Times New Roman"/>
          <w:sz w:val="18"/>
          <w:szCs w:val="18"/>
          <w:color w:val="auto"/>
        </w:rPr>
        <w:t>Vice President and Controller</w:t>
      </w:r>
    </w:p>
    <w:p>
      <w:pPr>
        <w:spacing w:after="0" w:line="36" w:lineRule="exact"/>
        <w:rPr>
          <w:sz w:val="20"/>
          <w:szCs w:val="20"/>
          <w:color w:val="auto"/>
        </w:rPr>
      </w:pPr>
    </w:p>
    <w:p>
      <w:pPr>
        <w:jc w:val="center"/>
        <w:ind w:left="444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880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13a-14(a) or 15d-14(a) of the Securities Exchange Act of 1934</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J. Cox, certify that:</w:t>
      </w:r>
    </w:p>
    <w:p>
      <w:pPr>
        <w:spacing w:after="0" w:line="225"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Matson, Inc.;</w:t>
      </w:r>
    </w:p>
    <w:p>
      <w:pPr>
        <w:spacing w:after="0" w:line="225" w:lineRule="exact"/>
        <w:rPr>
          <w:rFonts w:ascii="Times New Roman" w:cs="Times New Roman" w:eastAsia="Times New Roman" w:hAnsi="Times New Roman"/>
          <w:sz w:val="18"/>
          <w:szCs w:val="18"/>
          <w:color w:val="auto"/>
        </w:rPr>
      </w:pPr>
    </w:p>
    <w:p>
      <w:pPr>
        <w:ind w:right="420" w:firstLine="8"/>
        <w:spacing w:after="0" w:line="266" w:lineRule="auto"/>
        <w:tabs>
          <w:tab w:leader="none" w:pos="64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8"/>
          <w:szCs w:val="18"/>
          <w:color w:val="auto"/>
        </w:rPr>
      </w:pPr>
    </w:p>
    <w:p>
      <w:pPr>
        <w:ind w:right="100" w:firstLine="8"/>
        <w:spacing w:after="0" w:line="266" w:lineRule="auto"/>
        <w:tabs>
          <w:tab w:leader="none" w:pos="64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right="500" w:firstLine="8"/>
        <w:spacing w:after="0" w:line="258" w:lineRule="auto"/>
        <w:tabs>
          <w:tab w:leader="none" w:pos="64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sz w:val="20"/>
          <w:szCs w:val="20"/>
          <w:color w:val="auto"/>
        </w:rPr>
      </w:pPr>
    </w:p>
    <w:p>
      <w:pPr>
        <w:ind w:right="100" w:firstLine="8"/>
        <w:spacing w:after="0" w:line="266" w:lineRule="auto"/>
        <w:tabs>
          <w:tab w:leader="none" w:pos="64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200" w:firstLine="8"/>
        <w:spacing w:after="0" w:line="258" w:lineRule="auto"/>
        <w:tabs>
          <w:tab w:leader="none" w:pos="64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Times New Roman" w:cs="Times New Roman" w:eastAsia="Times New Roman" w:hAnsi="Times New Roman"/>
          <w:sz w:val="18"/>
          <w:szCs w:val="18"/>
          <w:color w:val="auto"/>
        </w:rPr>
      </w:pPr>
    </w:p>
    <w:p>
      <w:pPr>
        <w:ind w:right="280" w:firstLine="8"/>
        <w:spacing w:after="0" w:line="266" w:lineRule="auto"/>
        <w:tabs>
          <w:tab w:leader="none" w:pos="64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w:t>
      </w:r>
    </w:p>
    <w:p>
      <w:pPr>
        <w:spacing w:after="0" w:line="15" w:lineRule="exact"/>
        <w:rPr>
          <w:rFonts w:ascii="Times New Roman" w:cs="Times New Roman" w:eastAsia="Times New Roman" w:hAnsi="Times New Roman"/>
          <w:sz w:val="18"/>
          <w:szCs w:val="18"/>
          <w:color w:val="auto"/>
        </w:rPr>
      </w:pPr>
    </w:p>
    <w:p>
      <w:pPr>
        <w:ind w:right="1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sz w:val="20"/>
          <w:szCs w:val="20"/>
          <w:color w:val="auto"/>
        </w:rPr>
      </w:pPr>
    </w:p>
    <w:p>
      <w:pPr>
        <w:ind w:right="240" w:firstLine="8"/>
        <w:spacing w:after="0" w:line="266" w:lineRule="auto"/>
        <w:tabs>
          <w:tab w:leader="none" w:pos="64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40" w:firstLine="8"/>
        <w:spacing w:after="0" w:line="282" w:lineRule="auto"/>
        <w:tabs>
          <w:tab w:leader="none" w:pos="64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60" w:firstLine="8"/>
        <w:spacing w:after="0" w:line="282" w:lineRule="auto"/>
        <w:tabs>
          <w:tab w:leader="none" w:pos="64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4960"/>
        <w:spacing w:after="0"/>
        <w:tabs>
          <w:tab w:leader="none" w:pos="5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Matthew J.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17145</wp:posOffset>
            </wp:positionV>
            <wp:extent cx="29229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Matthew J. Cox, Chairman and</w:t>
      </w:r>
    </w:p>
    <w:p>
      <w:pPr>
        <w:spacing w:after="0" w:line="2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477520</wp:posOffset>
            </wp:positionV>
            <wp:extent cx="629221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8" w:name="page29"/>
    <w:bookmarkEnd w:id="28"/>
    <w:p>
      <w:pPr>
        <w:ind w:left="880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Rule 13a-14(a) or 15d-14(a) of the Securities Exchange Act of 1934</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Joel M. Wine, certify that:</w:t>
      </w:r>
    </w:p>
    <w:p>
      <w:pPr>
        <w:spacing w:after="0" w:line="225"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Matson, Inc.;</w:t>
      </w:r>
    </w:p>
    <w:p>
      <w:pPr>
        <w:spacing w:after="0" w:line="225" w:lineRule="exact"/>
        <w:rPr>
          <w:rFonts w:ascii="Times New Roman" w:cs="Times New Roman" w:eastAsia="Times New Roman" w:hAnsi="Times New Roman"/>
          <w:sz w:val="18"/>
          <w:szCs w:val="18"/>
          <w:color w:val="auto"/>
        </w:rPr>
      </w:pPr>
    </w:p>
    <w:p>
      <w:pPr>
        <w:ind w:right="420" w:firstLine="8"/>
        <w:spacing w:after="0" w:line="266" w:lineRule="auto"/>
        <w:tabs>
          <w:tab w:leader="none" w:pos="64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8"/>
          <w:szCs w:val="18"/>
          <w:color w:val="auto"/>
        </w:rPr>
      </w:pPr>
    </w:p>
    <w:p>
      <w:pPr>
        <w:ind w:right="100" w:firstLine="8"/>
        <w:spacing w:after="0" w:line="266" w:lineRule="auto"/>
        <w:tabs>
          <w:tab w:leader="none" w:pos="64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right="500" w:firstLine="8"/>
        <w:spacing w:after="0" w:line="258" w:lineRule="auto"/>
        <w:tabs>
          <w:tab w:leader="none" w:pos="64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sz w:val="20"/>
          <w:szCs w:val="20"/>
          <w:color w:val="auto"/>
        </w:rPr>
      </w:pPr>
    </w:p>
    <w:p>
      <w:pPr>
        <w:ind w:right="100" w:firstLine="8"/>
        <w:spacing w:after="0" w:line="266" w:lineRule="auto"/>
        <w:tabs>
          <w:tab w:leader="none" w:pos="64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200" w:firstLine="8"/>
        <w:spacing w:after="0" w:line="258" w:lineRule="auto"/>
        <w:tabs>
          <w:tab w:leader="none" w:pos="64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Times New Roman" w:cs="Times New Roman" w:eastAsia="Times New Roman" w:hAnsi="Times New Roman"/>
          <w:sz w:val="18"/>
          <w:szCs w:val="18"/>
          <w:color w:val="auto"/>
        </w:rPr>
      </w:pPr>
    </w:p>
    <w:p>
      <w:pPr>
        <w:ind w:right="280" w:firstLine="8"/>
        <w:spacing w:after="0" w:line="266" w:lineRule="auto"/>
        <w:tabs>
          <w:tab w:leader="none" w:pos="64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w:t>
      </w:r>
    </w:p>
    <w:p>
      <w:pPr>
        <w:spacing w:after="0" w:line="15" w:lineRule="exact"/>
        <w:rPr>
          <w:rFonts w:ascii="Times New Roman" w:cs="Times New Roman" w:eastAsia="Times New Roman" w:hAnsi="Times New Roman"/>
          <w:sz w:val="18"/>
          <w:szCs w:val="18"/>
          <w:color w:val="auto"/>
        </w:rPr>
      </w:pPr>
    </w:p>
    <w:p>
      <w:pPr>
        <w:ind w:right="1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sz w:val="20"/>
          <w:szCs w:val="20"/>
          <w:color w:val="auto"/>
        </w:rPr>
      </w:pPr>
    </w:p>
    <w:p>
      <w:pPr>
        <w:ind w:right="240" w:firstLine="8"/>
        <w:spacing w:after="0" w:line="266" w:lineRule="auto"/>
        <w:tabs>
          <w:tab w:leader="none" w:pos="64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40" w:firstLine="8"/>
        <w:spacing w:after="0" w:line="282" w:lineRule="auto"/>
        <w:tabs>
          <w:tab w:leader="none" w:pos="64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60" w:firstLine="8"/>
        <w:spacing w:after="0" w:line="282" w:lineRule="auto"/>
        <w:tabs>
          <w:tab w:leader="none" w:pos="64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4960"/>
        <w:spacing w:after="0"/>
        <w:tabs>
          <w:tab w:leader="none" w:pos="5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3383280</wp:posOffset>
            </wp:positionH>
            <wp:positionV relativeFrom="paragraph">
              <wp:posOffset>17145</wp:posOffset>
            </wp:positionV>
            <wp:extent cx="291465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Joel M. Wine, Executive Vice President and</w:t>
      </w:r>
    </w:p>
    <w:p>
      <w:pPr>
        <w:spacing w:after="0" w:line="2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477520</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9" w:name="page30"/>
    <w:bookmarkEnd w:id="29"/>
    <w:p>
      <w:pPr>
        <w:ind w:left="7960"/>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 pursuant to 18 U.S.C. Section 1350</w:t>
      </w:r>
    </w:p>
    <w:p>
      <w:pPr>
        <w:spacing w:after="0" w:line="216"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Matson, Inc. (the “Company”) for the quarterly period ended March 31, 2023, as filed with the Securities and Exchange Commission on the date hereof (the “Report”), Matthew J. Cox, as Chairman and Chief Executive Officer of the Company, and Joel M. Wine, as Executive Vice President and Chief Financial Officer of the Company, each hereby certifies, pursuant to 18 U.S.C. Section 1350, that to their knowledge:</w:t>
      </w:r>
    </w:p>
    <w:p>
      <w:pPr>
        <w:spacing w:after="0" w:line="180" w:lineRule="exact"/>
        <w:rPr>
          <w:sz w:val="20"/>
          <w:szCs w:val="20"/>
          <w:color w:val="auto"/>
        </w:rPr>
      </w:pPr>
    </w:p>
    <w:p>
      <w:pPr>
        <w:ind w:left="60" w:right="519" w:hanging="10"/>
        <w:spacing w:after="0" w:line="282" w:lineRule="auto"/>
        <w:tabs>
          <w:tab w:leader="none" w:pos="70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48" w:lineRule="exact"/>
        <w:rPr>
          <w:rFonts w:ascii="Times New Roman" w:cs="Times New Roman" w:eastAsia="Times New Roman" w:hAnsi="Times New Roman"/>
          <w:sz w:val="18"/>
          <w:szCs w:val="18"/>
          <w:color w:val="auto"/>
        </w:rPr>
      </w:pPr>
    </w:p>
    <w:p>
      <w:pPr>
        <w:ind w:left="60" w:right="99" w:hanging="10"/>
        <w:spacing w:after="0" w:line="282" w:lineRule="auto"/>
        <w:tabs>
          <w:tab w:leader="none" w:pos="70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200" w:lineRule="exact"/>
        <w:rPr>
          <w:sz w:val="20"/>
          <w:szCs w:val="20"/>
          <w:color w:val="auto"/>
        </w:rPr>
      </w:pPr>
    </w:p>
    <w:p>
      <w:pPr>
        <w:spacing w:after="0" w:line="3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Matthew J.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29832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2983230" cy="8890"/>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Name: Matthew J. Cox</w:t>
      </w:r>
    </w:p>
    <w:p>
      <w:pPr>
        <w:spacing w:after="0" w:line="23" w:lineRule="exact"/>
        <w:rPr>
          <w:sz w:val="20"/>
          <w:szCs w:val="20"/>
          <w:color w:val="auto"/>
        </w:rPr>
      </w:pPr>
    </w:p>
    <w:p>
      <w:pPr>
        <w:ind w:left="60"/>
        <w:spacing w:after="0"/>
        <w:tabs>
          <w:tab w:leader="none" w:pos="620" w:val="left"/>
        </w:tabs>
        <w:rPr>
          <w:sz w:val="20"/>
          <w:szCs w:val="20"/>
          <w:color w:val="auto"/>
        </w:rPr>
      </w:pPr>
      <w:r>
        <w:rPr>
          <w:rFonts w:ascii="Times New Roman" w:cs="Times New Roman" w:eastAsia="Times New Roman" w:hAnsi="Times New Roman"/>
          <w:sz w:val="18"/>
          <w:szCs w:val="18"/>
          <w:color w:val="auto"/>
        </w:rPr>
        <w:t>Title:</w:t>
        <w:tab/>
        <w:t>Chairman and Chief Executive Officer</w:t>
      </w:r>
    </w:p>
    <w:p>
      <w:pPr>
        <w:spacing w:after="0" w:line="9" w:lineRule="exact"/>
        <w:rPr>
          <w:sz w:val="20"/>
          <w:szCs w:val="20"/>
          <w:color w:val="auto"/>
        </w:rPr>
      </w:pPr>
    </w:p>
    <w:p>
      <w:pPr>
        <w:ind w:left="6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May 5, 2023</w:t>
      </w:r>
    </w:p>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298323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Name: Joel M. Wine</w:t>
      </w:r>
    </w:p>
    <w:p>
      <w:pPr>
        <w:spacing w:after="0" w:line="23" w:lineRule="exact"/>
        <w:rPr>
          <w:sz w:val="20"/>
          <w:szCs w:val="20"/>
          <w:color w:val="auto"/>
        </w:rPr>
      </w:pPr>
    </w:p>
    <w:p>
      <w:pPr>
        <w:ind w:left="60"/>
        <w:spacing w:after="0"/>
        <w:tabs>
          <w:tab w:leader="none" w:pos="620" w:val="left"/>
        </w:tabs>
        <w:rPr>
          <w:sz w:val="20"/>
          <w:szCs w:val="20"/>
          <w:color w:val="auto"/>
        </w:rPr>
      </w:pPr>
      <w:r>
        <w:rPr>
          <w:rFonts w:ascii="Times New Roman" w:cs="Times New Roman" w:eastAsia="Times New Roman" w:hAnsi="Times New Roman"/>
          <w:sz w:val="18"/>
          <w:szCs w:val="18"/>
          <w:color w:val="auto"/>
        </w:rPr>
        <w:t>Title:</w:t>
        <w:tab/>
        <w:t>Executive Vice President and Chief Financial Officer</w:t>
      </w:r>
    </w:p>
    <w:p>
      <w:pPr>
        <w:spacing w:after="0" w:line="9" w:lineRule="exact"/>
        <w:rPr>
          <w:sz w:val="20"/>
          <w:szCs w:val="20"/>
          <w:color w:val="auto"/>
        </w:rPr>
      </w:pPr>
    </w:p>
    <w:p>
      <w:pPr>
        <w:ind w:left="6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May 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1."/>
      <w:numFmt w:val="decimal"/>
      <w:start w:val="2"/>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 "/>
      <w:numFmt w:val="bullet"/>
      <w:start w:val="1"/>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 "/>
      <w:numFmt w:val="bullet"/>
      <w:start w:val="1"/>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1."/>
      <w:numFmt w:val="decimal"/>
      <w:start w:val="3"/>
    </w:lvl>
  </w:abstractNum>
  <w:abstractNum w:abstractNumId="10">
    <w:nsid w:val="75A2A8D4"/>
    <w:multiLevelType w:val="hybridMultilevel"/>
    <w:lvl w:ilvl="0">
      <w:lvlJc w:val="left"/>
      <w:lvlText w:val="(%1)"/>
      <w:numFmt w:val="decimal"/>
      <w:start w:val="1"/>
    </w:lvl>
  </w:abstractNum>
  <w:abstractNum w:abstractNumId="11">
    <w:nsid w:val="8EDBDAB"/>
    <w:multiLevelType w:val="hybridMultilevel"/>
    <w:lvl w:ilvl="0">
      <w:lvlJc w:val="left"/>
      <w:lvlText w:val="%1."/>
      <w:numFmt w:val="decimal"/>
      <w:start w:val="4"/>
    </w:lvl>
  </w:abstractNum>
  <w:abstractNum w:abstractNumId="12">
    <w:nsid w:val="79838CB2"/>
    <w:multiLevelType w:val="hybridMultilevel"/>
    <w:lvl w:ilvl="0">
      <w:lvlJc w:val="left"/>
      <w:lvlText w:val="%1."/>
      <w:numFmt w:val="decimal"/>
      <w:start w:val="5"/>
    </w:lvl>
  </w:abstractNum>
  <w:abstractNum w:abstractNumId="13">
    <w:nsid w:val="4353D0CD"/>
    <w:multiLevelType w:val="hybridMultilevel"/>
    <w:lvl w:ilvl="0">
      <w:lvlJc w:val="left"/>
      <w:lvlText w:val="%1."/>
      <w:numFmt w:val="decimal"/>
      <w:start w:val="6"/>
    </w:lvl>
  </w:abstractNum>
  <w:abstractNum w:abstractNumId="14">
    <w:nsid w:val="B03E0C6"/>
    <w:multiLevelType w:val="hybridMultilevel"/>
    <w:lvl w:ilvl="0">
      <w:lvlJc w:val="left"/>
      <w:lvlText w:val="%1."/>
      <w:numFmt w:val="decimal"/>
      <w:start w:val="7"/>
    </w:lvl>
  </w:abstractNum>
  <w:abstractNum w:abstractNumId="15">
    <w:nsid w:val="189A769B"/>
    <w:multiLevelType w:val="hybridMultilevel"/>
    <w:lvl w:ilvl="0">
      <w:lvlJc w:val="left"/>
      <w:lvlText w:val="%1."/>
      <w:numFmt w:val="decimal"/>
      <w:start w:val="8"/>
    </w:lvl>
  </w:abstractNum>
  <w:abstractNum w:abstractNumId="16">
    <w:nsid w:val="54E49EB4"/>
    <w:multiLevelType w:val="hybridMultilevel"/>
    <w:lvl w:ilvl="0">
      <w:lvlJc w:val="left"/>
      <w:lvlText w:val="%1."/>
      <w:numFmt w:val="decimal"/>
      <w:start w:val="9"/>
    </w:lvl>
  </w:abstractNum>
  <w:abstractNum w:abstractNumId="17">
    <w:nsid w:val="71F32454"/>
    <w:multiLevelType w:val="hybridMultilevel"/>
    <w:lvl w:ilvl="0">
      <w:lvlJc w:val="left"/>
      <w:lvlText w:val="%1."/>
      <w:numFmt w:val="decimal"/>
      <w:start w:val="10"/>
    </w:lvl>
  </w:abstractNum>
  <w:abstractNum w:abstractNumId="18">
    <w:nsid w:val="2CA88611"/>
    <w:multiLevelType w:val="hybridMultilevel"/>
    <w:lvl w:ilvl="0">
      <w:lvlJc w:val="left"/>
      <w:lvlText w:val="%1."/>
      <w:numFmt w:val="decimal"/>
      <w:start w:val="11"/>
    </w:lvl>
  </w:abstractNum>
  <w:abstractNum w:abstractNumId="19">
    <w:nsid w:val="836C40E"/>
    <w:multiLevelType w:val="hybridMultilevel"/>
    <w:lvl w:ilvl="0">
      <w:lvlJc w:val="left"/>
      <w:lvlText w:val="%1."/>
      <w:numFmt w:val="decimal"/>
      <w:start w:val="12"/>
    </w:lvl>
  </w:abstractNum>
  <w:abstractNum w:abstractNumId="20">
    <w:nsid w:val="2901D82"/>
    <w:multiLevelType w:val="hybridMultilevel"/>
    <w:lvl w:ilvl="0">
      <w:lvlJc w:val="left"/>
      <w:lvlText w:val="%1."/>
      <w:numFmt w:val="decimal"/>
      <w:start w:val="13"/>
    </w:lvl>
  </w:abstractNum>
  <w:abstractNum w:abstractNumId="21">
    <w:nsid w:val="3A95F874"/>
    <w:multiLevelType w:val="hybridMultilevel"/>
    <w:lvl w:ilvl="0">
      <w:lvlJc w:val="left"/>
      <w:lvlText w:val="(%1)"/>
      <w:numFmt w:val="decimal"/>
      <w:start w:val="1"/>
    </w:lvl>
  </w:abstractNum>
  <w:abstractNum w:abstractNumId="22">
    <w:nsid w:val="8138641"/>
    <w:multiLevelType w:val="hybridMultilevel"/>
    <w:lvl w:ilvl="0">
      <w:lvlJc w:val="left"/>
      <w:lvlText w:val="(%1)"/>
      <w:numFmt w:val="decimal"/>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1)"/>
      <w:numFmt w:val="decimal"/>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1."/>
      <w:numFmt w:val="decimal"/>
      <w:start w:val="1"/>
    </w:lvl>
  </w:abstractNum>
  <w:abstractNum w:abstractNumId="29">
    <w:nsid w:val="3006C83E"/>
    <w:multiLevelType w:val="hybridMultilevel"/>
    <w:lvl w:ilvl="0">
      <w:lvlJc w:val="left"/>
      <w:lvlText w:val="(%1)"/>
      <w:numFmt w:val="lowerLetter"/>
      <w:start w:val="1"/>
    </w:lvl>
  </w:abstractNum>
  <w:abstractNum w:abstractNumId="30">
    <w:nsid w:val="614FD4A1"/>
    <w:multiLevelType w:val="hybridMultilevel"/>
    <w:lvl w:ilvl="0">
      <w:lvlJc w:val="left"/>
      <w:lvlText w:val="%1."/>
      <w:numFmt w:val="decimal"/>
      <w:start w:val="5"/>
    </w:lvl>
  </w:abstractNum>
  <w:abstractNum w:abstractNumId="31">
    <w:nsid w:val="419AC241"/>
    <w:multiLevelType w:val="hybridMultilevel"/>
    <w:lvl w:ilvl="0">
      <w:lvlJc w:val="left"/>
      <w:lvlText w:val="(%1)"/>
      <w:numFmt w:val="lowerLetter"/>
      <w:start w:val="1"/>
    </w:lvl>
  </w:abstractNum>
  <w:abstractNum w:abstractNumId="32">
    <w:nsid w:val="5577F8E1"/>
    <w:multiLevelType w:val="hybridMultilevel"/>
    <w:lvl w:ilvl="0">
      <w:lvlJc w:val="left"/>
      <w:lvlText w:val="%1."/>
      <w:numFmt w:val="decimal"/>
      <w:start w:val="1"/>
    </w:lvl>
  </w:abstractNum>
  <w:abstractNum w:abstractNumId="33">
    <w:nsid w:val="440BADFC"/>
    <w:multiLevelType w:val="hybridMultilevel"/>
    <w:lvl w:ilvl="0">
      <w:lvlJc w:val="left"/>
      <w:lvlText w:val="(%1)"/>
      <w:numFmt w:val="lowerLetter"/>
      <w:start w:val="1"/>
    </w:lvl>
  </w:abstractNum>
  <w:abstractNum w:abstractNumId="34">
    <w:nsid w:val="5072367"/>
    <w:multiLevelType w:val="hybridMultilevel"/>
    <w:lvl w:ilvl="0">
      <w:lvlJc w:val="left"/>
      <w:lvlText w:val="%1."/>
      <w:numFmt w:val="decimal"/>
      <w:start w:val="5"/>
    </w:lvl>
  </w:abstractNum>
  <w:abstractNum w:abstractNumId="35">
    <w:nsid w:val="3804823E"/>
    <w:multiLevelType w:val="hybridMultilevel"/>
    <w:lvl w:ilvl="0">
      <w:lvlJc w:val="left"/>
      <w:lvlText w:val="(%1)"/>
      <w:numFmt w:val="lowerLetter"/>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27" Type="http://schemas.openxmlformats.org/officeDocument/2006/relationships/hyperlink" Target="https://www.sec.gov/ix?doc=/Archives/edgar/data/3453/000155837023001961/matx-20221231x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2023-05-05T05:39:33Z</dcterms:created>
  <dcterms:modified xsi:type="dcterms:W3CDTF">2023-05-05T05:39:33Z</dcterms:modified>
</cp:coreProperties>
</file>