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780" w:right="140" w:hanging="441"/>
        <w:spacing w:after="0" w:line="256" w:lineRule="auto"/>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right="140" w:hanging="441"/>
        <w:spacing w:after="0" w:line="256" w:lineRule="auto"/>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3420" w:type="dxa"/>
            <w:vAlign w:val="bottom"/>
          </w:tcPr>
          <w:p>
            <w:pPr>
              <w:ind w:left="1060"/>
              <w:spacing w:after="0"/>
              <w:rPr>
                <w:sz w:val="20"/>
                <w:szCs w:val="20"/>
                <w:color w:val="auto"/>
              </w:rPr>
            </w:pPr>
            <w:r>
              <w:rPr>
                <w:rFonts w:ascii="Arial" w:cs="Arial" w:eastAsia="Arial" w:hAnsi="Arial"/>
                <w:sz w:val="18"/>
                <w:szCs w:val="18"/>
                <w:b w:val="1"/>
                <w:bCs w:val="1"/>
                <w:color w:val="auto"/>
                <w:w w:val="92"/>
              </w:rPr>
              <w:t>For the transition period from</w:t>
            </w:r>
          </w:p>
        </w:tc>
        <w:tc>
          <w:tcPr>
            <w:tcW w:w="4480" w:type="dxa"/>
            <w:vAlign w:val="bottom"/>
          </w:tcPr>
          <w:p>
            <w:pPr>
              <w:ind w:left="2020"/>
              <w:spacing w:after="0"/>
              <w:rPr>
                <w:sz w:val="20"/>
                <w:szCs w:val="20"/>
                <w:color w:val="auto"/>
              </w:rPr>
            </w:pPr>
            <w:r>
              <w:rPr>
                <w:rFonts w:ascii="Arial" w:cs="Arial" w:eastAsia="Arial" w:hAnsi="Arial"/>
                <w:sz w:val="18"/>
                <w:szCs w:val="18"/>
                <w:b w:val="1"/>
                <w:bCs w:val="1"/>
                <w:color w:val="auto"/>
              </w:rPr>
              <w:t>to</w:t>
            </w:r>
          </w:p>
        </w:tc>
      </w:tr>
      <w:tr>
        <w:trPr>
          <w:trHeight w:val="432"/>
        </w:trPr>
        <w:tc>
          <w:tcPr>
            <w:tcW w:w="790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566"/>
        </w:trPr>
        <w:tc>
          <w:tcPr>
            <w:tcW w:w="3420" w:type="dxa"/>
            <w:vAlign w:val="bottom"/>
          </w:tcPr>
          <w:p>
            <w:pPr>
              <w:spacing w:after="0"/>
              <w:rPr>
                <w:sz w:val="24"/>
                <w:szCs w:val="24"/>
                <w:color w:val="auto"/>
              </w:rPr>
            </w:pPr>
          </w:p>
        </w:tc>
        <w:tc>
          <w:tcPr>
            <w:tcW w:w="4480" w:type="dxa"/>
            <w:vAlign w:val="bottom"/>
          </w:tcPr>
          <w:p>
            <w:pPr>
              <w:jc w:val="center"/>
              <w:ind w:right="2600"/>
              <w:spacing w:after="0"/>
              <w:rPr>
                <w:sz w:val="20"/>
                <w:szCs w:val="20"/>
                <w:color w:val="auto"/>
              </w:rPr>
            </w:pPr>
            <w:r>
              <w:rPr>
                <w:rFonts w:ascii="Arial" w:cs="Arial" w:eastAsia="Arial" w:hAnsi="Arial"/>
                <w:sz w:val="32"/>
                <w:szCs w:val="32"/>
                <w:b w:val="1"/>
                <w:bCs w:val="1"/>
                <w:color w:val="auto"/>
                <w:w w:val="94"/>
              </w:rPr>
              <w:t>Matson, Inc.</w:t>
            </w:r>
          </w:p>
        </w:tc>
      </w:tr>
      <w:tr>
        <w:trPr>
          <w:trHeight w:val="230"/>
        </w:trPr>
        <w:tc>
          <w:tcPr>
            <w:tcW w:w="790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3420" w:type="dxa"/>
            <w:vAlign w:val="bottom"/>
          </w:tcPr>
          <w:p>
            <w:pPr>
              <w:jc w:val="center"/>
              <w:ind w:right="530"/>
              <w:spacing w:after="0"/>
              <w:rPr>
                <w:sz w:val="20"/>
                <w:szCs w:val="20"/>
                <w:color w:val="auto"/>
              </w:rPr>
            </w:pPr>
            <w:r>
              <w:rPr>
                <w:rFonts w:ascii="Arial" w:cs="Arial" w:eastAsia="Arial" w:hAnsi="Arial"/>
                <w:sz w:val="18"/>
                <w:szCs w:val="18"/>
                <w:b w:val="1"/>
                <w:bCs w:val="1"/>
                <w:color w:val="auto"/>
                <w:w w:val="98"/>
              </w:rPr>
              <w:t>Hawaii</w:t>
            </w:r>
          </w:p>
        </w:tc>
        <w:tc>
          <w:tcPr>
            <w:tcW w:w="4480" w:type="dxa"/>
            <w:vAlign w:val="bottom"/>
          </w:tcPr>
          <w:p>
            <w:pPr>
              <w:jc w:val="right"/>
              <w:ind w:right="140"/>
              <w:spacing w:after="0"/>
              <w:rPr>
                <w:sz w:val="20"/>
                <w:szCs w:val="20"/>
                <w:color w:val="auto"/>
              </w:rPr>
            </w:pPr>
            <w:r>
              <w:rPr>
                <w:rFonts w:ascii="Arial" w:cs="Arial" w:eastAsia="Arial" w:hAnsi="Arial"/>
                <w:sz w:val="18"/>
                <w:szCs w:val="18"/>
                <w:b w:val="1"/>
                <w:bCs w:val="1"/>
                <w:color w:val="auto"/>
              </w:rPr>
              <w:t>99-0032630</w:t>
            </w:r>
          </w:p>
        </w:tc>
      </w:tr>
      <w:tr>
        <w:trPr>
          <w:trHeight w:val="216"/>
        </w:trPr>
        <w:tc>
          <w:tcPr>
            <w:tcW w:w="3420" w:type="dxa"/>
            <w:vAlign w:val="bottom"/>
          </w:tcPr>
          <w:p>
            <w:pPr>
              <w:jc w:val="center"/>
              <w:ind w:right="530"/>
              <w:spacing w:after="0"/>
              <w:rPr>
                <w:sz w:val="20"/>
                <w:szCs w:val="20"/>
                <w:color w:val="auto"/>
              </w:rPr>
            </w:pPr>
            <w:r>
              <w:rPr>
                <w:rFonts w:ascii="Arial" w:cs="Arial" w:eastAsia="Arial" w:hAnsi="Arial"/>
                <w:sz w:val="18"/>
                <w:szCs w:val="18"/>
                <w:color w:val="auto"/>
                <w:w w:val="92"/>
              </w:rPr>
              <w:t>(State or other jurisdiction of</w:t>
            </w:r>
          </w:p>
        </w:tc>
        <w:tc>
          <w:tcPr>
            <w:tcW w:w="4480" w:type="dxa"/>
            <w:vAlign w:val="bottom"/>
          </w:tcPr>
          <w:p>
            <w:pPr>
              <w:jc w:val="center"/>
              <w:ind w:left="3040"/>
              <w:spacing w:after="0"/>
              <w:rPr>
                <w:sz w:val="20"/>
                <w:szCs w:val="20"/>
                <w:color w:val="auto"/>
              </w:rPr>
            </w:pPr>
            <w:r>
              <w:rPr>
                <w:rFonts w:ascii="Arial" w:cs="Arial" w:eastAsia="Arial" w:hAnsi="Arial"/>
                <w:sz w:val="18"/>
                <w:szCs w:val="18"/>
                <w:color w:val="auto"/>
                <w:w w:val="92"/>
              </w:rPr>
              <w:t>(I.R.S. Employer</w:t>
            </w:r>
          </w:p>
        </w:tc>
      </w:tr>
      <w:tr>
        <w:trPr>
          <w:trHeight w:val="230"/>
        </w:trPr>
        <w:tc>
          <w:tcPr>
            <w:tcW w:w="3420" w:type="dxa"/>
            <w:vAlign w:val="bottom"/>
          </w:tcPr>
          <w:p>
            <w:pPr>
              <w:jc w:val="center"/>
              <w:ind w:right="530"/>
              <w:spacing w:after="0"/>
              <w:rPr>
                <w:sz w:val="20"/>
                <w:szCs w:val="20"/>
                <w:color w:val="auto"/>
              </w:rPr>
            </w:pPr>
            <w:r>
              <w:rPr>
                <w:rFonts w:ascii="Arial" w:cs="Arial" w:eastAsia="Arial" w:hAnsi="Arial"/>
                <w:sz w:val="18"/>
                <w:szCs w:val="18"/>
                <w:color w:val="auto"/>
                <w:w w:val="92"/>
              </w:rPr>
              <w:t>incorporation or organization)</w:t>
            </w:r>
          </w:p>
        </w:tc>
        <w:tc>
          <w:tcPr>
            <w:tcW w:w="4480" w:type="dxa"/>
            <w:vAlign w:val="bottom"/>
          </w:tcPr>
          <w:p>
            <w:pPr>
              <w:jc w:val="center"/>
              <w:ind w:left="304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42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1411 Sand Island Parkway</w:t>
            </w:r>
          </w:p>
        </w:tc>
        <w:tc>
          <w:tcPr>
            <w:tcW w:w="4480" w:type="dxa"/>
            <w:vAlign w:val="bottom"/>
          </w:tcPr>
          <w:p>
            <w:pPr>
              <w:spacing w:after="0"/>
              <w:rPr>
                <w:sz w:val="24"/>
                <w:szCs w:val="24"/>
                <w:color w:val="auto"/>
              </w:rPr>
            </w:pPr>
          </w:p>
        </w:tc>
      </w:tr>
      <w:tr>
        <w:trPr>
          <w:trHeight w:val="220"/>
        </w:trPr>
        <w:tc>
          <w:tcPr>
            <w:tcW w:w="3420" w:type="dxa"/>
            <w:vAlign w:val="bottom"/>
          </w:tcPr>
          <w:p>
            <w:pPr>
              <w:jc w:val="center"/>
              <w:ind w:right="510"/>
              <w:spacing w:after="0"/>
              <w:rPr>
                <w:sz w:val="20"/>
                <w:szCs w:val="20"/>
                <w:color w:val="auto"/>
              </w:rPr>
            </w:pPr>
            <w:r>
              <w:rPr>
                <w:rFonts w:ascii="Arial" w:cs="Arial" w:eastAsia="Arial" w:hAnsi="Arial"/>
                <w:sz w:val="18"/>
                <w:szCs w:val="18"/>
                <w:b w:val="1"/>
                <w:bCs w:val="1"/>
                <w:color w:val="auto"/>
                <w:w w:val="96"/>
              </w:rPr>
              <w:t>Honolulu, HI</w:t>
            </w:r>
          </w:p>
        </w:tc>
        <w:tc>
          <w:tcPr>
            <w:tcW w:w="4480" w:type="dxa"/>
            <w:vAlign w:val="bottom"/>
          </w:tcPr>
          <w:p>
            <w:pPr>
              <w:jc w:val="right"/>
              <w:ind w:right="340"/>
              <w:spacing w:after="0"/>
              <w:rPr>
                <w:sz w:val="20"/>
                <w:szCs w:val="20"/>
                <w:color w:val="auto"/>
              </w:rPr>
            </w:pPr>
            <w:r>
              <w:rPr>
                <w:rFonts w:ascii="Arial" w:cs="Arial" w:eastAsia="Arial" w:hAnsi="Arial"/>
                <w:sz w:val="18"/>
                <w:szCs w:val="18"/>
                <w:b w:val="1"/>
                <w:bCs w:val="1"/>
                <w:color w:val="auto"/>
              </w:rPr>
              <w:t>96819</w:t>
            </w:r>
          </w:p>
        </w:tc>
      </w:tr>
      <w:tr>
        <w:trPr>
          <w:trHeight w:val="230"/>
        </w:trPr>
        <w:tc>
          <w:tcPr>
            <w:tcW w:w="3420" w:type="dxa"/>
            <w:vAlign w:val="bottom"/>
          </w:tcPr>
          <w:p>
            <w:pPr>
              <w:jc w:val="center"/>
              <w:ind w:right="470"/>
              <w:spacing w:after="0"/>
              <w:rPr>
                <w:sz w:val="20"/>
                <w:szCs w:val="20"/>
                <w:color w:val="auto"/>
              </w:rPr>
            </w:pPr>
            <w:r>
              <w:rPr>
                <w:rFonts w:ascii="Arial" w:cs="Arial" w:eastAsia="Arial" w:hAnsi="Arial"/>
                <w:sz w:val="18"/>
                <w:szCs w:val="18"/>
                <w:color w:val="auto"/>
                <w:w w:val="92"/>
              </w:rPr>
              <w:t>(Address of principal executive offices)</w:t>
            </w:r>
          </w:p>
        </w:tc>
        <w:tc>
          <w:tcPr>
            <w:tcW w:w="4480" w:type="dxa"/>
            <w:vAlign w:val="bottom"/>
          </w:tcPr>
          <w:p>
            <w:pPr>
              <w:jc w:val="center"/>
              <w:ind w:left="304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fiscal year, if changed since last report)</w:t>
      </w:r>
    </w:p>
    <w:p>
      <w:pPr>
        <w:spacing w:after="0" w:line="21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90" w:orient="portrait"/>
          <w:cols w:equalWidth="0" w:num="1">
            <w:col w:w="11420"/>
          </w:cols>
          <w:pgMar w:left="240" w:top="544" w:right="239" w:bottom="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90" w:orient="portrait"/>
          <w:cols w:equalWidth="0" w:num="2">
            <w:col w:w="6720" w:space="720"/>
            <w:col w:w="3980"/>
          </w:cols>
          <w:pgMar w:left="240" w:top="544" w:right="23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90" w:orient="portrait"/>
          <w:cols w:equalWidth="0" w:num="2">
            <w:col w:w="6720" w:space="720"/>
            <w:col w:w="3980"/>
          </w:cols>
          <w:pgMar w:left="240" w:top="544" w:right="23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Number of shares of common stock outstanding as of March 31, 2014: 42,968,560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4"/>
          <w:szCs w:val="24"/>
          <w:color w:val="auto"/>
        </w:rPr>
      </w:pPr>
    </w:p>
    <w:p>
      <w:pPr>
        <w:jc w:val="center"/>
        <w:ind w:left="1220" w:right="184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(In millions, except per-share amounts) (Unaudited)</w:t>
      </w:r>
    </w:p>
    <w:p>
      <w:pPr>
        <w:spacing w:after="0" w:line="172" w:lineRule="exact"/>
        <w:rPr>
          <w:sz w:val="24"/>
          <w:szCs w:val="24"/>
          <w:color w:val="auto"/>
        </w:rPr>
      </w:pPr>
    </w:p>
    <w:p>
      <w:pPr>
        <w:jc w:val="center"/>
        <w:ind w:left="8180"/>
        <w:spacing w:after="0"/>
        <w:rPr>
          <w:sz w:val="20"/>
          <w:szCs w:val="20"/>
          <w:color w:val="auto"/>
        </w:rPr>
      </w:pPr>
      <w:r>
        <w:rPr>
          <w:rFonts w:ascii="Arial" w:cs="Arial" w:eastAsia="Arial" w:hAnsi="Arial"/>
          <w:sz w:val="13"/>
          <w:szCs w:val="13"/>
          <w:b w:val="1"/>
          <w:bCs w:val="1"/>
          <w:color w:val="auto"/>
        </w:rPr>
        <w:t>Three-Months Ended</w:t>
      </w:r>
    </w:p>
    <w:p>
      <w:pPr>
        <w:spacing w:after="0" w:line="15" w:lineRule="exact"/>
        <w:rPr>
          <w:sz w:val="24"/>
          <w:szCs w:val="24"/>
          <w:color w:val="auto"/>
        </w:rPr>
      </w:pPr>
    </w:p>
    <w:p>
      <w:pPr>
        <w:jc w:val="center"/>
        <w:ind w:left="81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5270500</wp:posOffset>
            </wp:positionH>
            <wp:positionV relativeFrom="paragraph">
              <wp:posOffset>-3175</wp:posOffset>
            </wp:positionV>
            <wp:extent cx="1912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ectPr>
          <w:pgSz w:w="11900" w:h="16890" w:orient="portrait"/>
          <w:cols w:equalWidth="0" w:num="1">
            <w:col w:w="11420"/>
          </w:cols>
          <w:pgMar w:left="240" w:top="544"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Ocean transportation</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294.6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Logistics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operating revenue</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costs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Equity in income from terminal joint venture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382.6</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Net of Income Taxes: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prior service cost included in net periodic pension cost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Amortization of net loss included in net periodic pension cost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Comprehensive Income</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Basic Earnings Per Share:</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8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 Earnings Per Share:</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Shares Outstanding:</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5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jc w:val="center"/>
              <w:ind w:left="323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0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08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MATSON, INC. AND SUBSIDIARIES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color w:val="auto"/>
                <w:w w:val="95"/>
              </w:rPr>
              <w:t>(In millions) (Unaudited)</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177.9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Investment in terminal joint venture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1,344.3</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1,248.3</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Payroll and vacation benefits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Self-insured liabilities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Pr>
          <w:p>
            <w:pPr>
              <w:spacing w:after="0" w:line="196" w:lineRule="exact"/>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327.0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benefit plans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Self-insured claims and other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-4831080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-4831080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1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809.1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335.9</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1,344.3</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jc w:val="center"/>
              <w:ind w:left="321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jc w:val="center"/>
              <w:ind w:left="323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0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08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MATSON, INC. AND SUBSIDIARIES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80" w:type="dxa"/>
            <w:vAlign w:val="bottom"/>
          </w:tcPr>
          <w:p>
            <w:pPr>
              <w:jc w:val="center"/>
              <w:ind w:left="323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color w:val="auto"/>
                <w:w w:val="95"/>
              </w:rPr>
              <w:t>(In millions) (Unaudited)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Three-Months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Provided by Operating Activities: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Reconciling adjustments: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Gain on disposal of property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Post-retirement expense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income from terminal joint venture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Tax benefit from equity issuance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dry-docking payments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Deferred dry-docking amortization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 into Capital Construction Fund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Withdrawals from Capital Construction Fund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for acquisitions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Flows Used in Financing Activities: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debt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Repayments of debt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capital stock</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Tax withholding related to net share settlements of restricted stock units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89.6</w:t>
            </w:r>
          </w:p>
        </w:tc>
        <w:tc>
          <w:tcPr>
            <w:tcW w:w="2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115.2</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and cash equivalents, beginning of the year</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114.5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year</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refund</w:t>
            </w:r>
          </w:p>
        </w:tc>
        <w:tc>
          <w:tcPr>
            <w:tcW w:w="104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Non-cash Information: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Capital expenditures included in accounts payable and accrued liabilities</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04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-7762240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-7762240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60"/>
          </w:cols>
          <w:pgMar w:left="240" w:top="140" w:right="199" w:bottom="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60"/>
          </w:cols>
          <w:pgMar w:left="240" w:top="140" w:right="199" w:bottom="0" w:gutter="0" w:footer="0" w:header="0"/>
          <w:type w:val="continuous"/>
        </w:sectPr>
      </w:pPr>
    </w:p>
    <w:bookmarkStart w:id="3" w:name="page4"/>
    <w:bookmarkEnd w:id="3"/>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THE BUSINESS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 xml:space="preserve">Ocean Transportation: </w:t>
      </w:r>
      <w:r>
        <w:rPr>
          <w:rFonts w:ascii="Arial" w:cs="Arial" w:eastAsia="Arial" w:hAnsi="Arial"/>
          <w:sz w:val="17"/>
          <w:szCs w:val="17"/>
          <w:color w:val="auto"/>
        </w:rPr>
        <w:t>Matson’s ocean transportation business is conducted through Matson Navigation Company, Inc. (“MatNav”),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Matson, Inc. Founded in 1882, MatNav is an asset-based business that provides a vital lifeline of ocean freight transportation services to the island economies of Hawaii, Guam, Micronesia, and various islands in the South Pacific. MatNav also operates a premium, expedited service from China to Long Beach, California. In addition, a subsidiary of MatNav provides container stevedoring, container equipment maintenance and other terminal services for MatNav and other ocean carriers on the islands of Oahu, Hawaii, Maui and Kauai.</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a 35 percent ownership interest in SSA Terminals, LLC (“SSAT”) through a joint venture between Matson Ventures, Inc., a wholly-owned subsidiary of MatNav, and SSA Ventures, Inc. (“SSA”), a subsidiary of Carrix, Inc. (the “Terminal Joint Venture”). SSAT provides terminal and stevedoring services to various carriers at six terminal facilities on the United States of America (“U.S.”) Pacific Coast, including to MatNav at several of those facilities. Matson records its share of income (loss) in the joint venture in operating expenses within the ocean transportation segment due to the nature of SSAT’s operations.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Logistics: </w:t>
      </w:r>
      <w:r>
        <w:rPr>
          <w:rFonts w:ascii="Arial" w:cs="Arial" w:eastAsia="Arial" w:hAnsi="Arial"/>
          <w:sz w:val="18"/>
          <w:szCs w:val="18"/>
          <w:color w:val="auto"/>
        </w:rPr>
        <w:t>The Company’s logistics business is conducted through Matson Logistics, Inc. (“Matson Logistics” or “Logistics”), a wholly-owned subsidiary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MatNav. Established in 1987, Matson Logistics is an asset-light business that provides multimodal transportation, including domestic and international rail intermodal service (“Intermodal”); long-haul and regional highway brokerage, specialized hauling, flat-bed and project work, less-than-truckload services, and expedited freight services (collectively “Highway”); and warehousing and distribution services.</w:t>
      </w:r>
    </w:p>
    <w:p>
      <w:pPr>
        <w:spacing w:after="0" w:line="18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condensed consolidated financial statements are unaudited. Due to the nature of the Company’s operations, the results for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are not necessarily indicative of results to be expected for the year. These condensed consolidated financial statements reflect all normal recurring adjustments that are, in the opinion of management, necessary for fair presentation of the results of the interim periods; they do not include all of the information and footnotes required by U.S. generally accepted accounting principles for complete financial statements. The condensed consolidated financial statements should be read in conjunction with the consolidated financial statements and notes thereto included in the Company’s Annual Report filed on Form 10-K for the year ended December 31, 2013.</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Fiscal Period: </w:t>
      </w:r>
      <w:r>
        <w:rPr>
          <w:rFonts w:ascii="Arial" w:cs="Arial" w:eastAsia="Arial" w:hAnsi="Arial"/>
          <w:sz w:val="18"/>
          <w:szCs w:val="18"/>
          <w:color w:val="auto"/>
        </w:rPr>
        <w:t>The period end for Matson, Inc. is March 31. The period end for MatNav occurred on the last Friday in March, except for Matson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Warehousing for which the period closed on March 31.</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Item 8 of the Company’s Annual Report filed on Form 10-K for the year ended December 31, 2013.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3.</w:t>
            </w:r>
          </w:p>
        </w:tc>
        <w:tc>
          <w:tcPr>
            <w:tcW w:w="7740" w:type="dxa"/>
            <w:vAlign w:val="bottom"/>
          </w:tcPr>
          <w:p>
            <w:pPr>
              <w:ind w:left="340"/>
              <w:spacing w:after="0"/>
              <w:rPr>
                <w:sz w:val="20"/>
                <w:szCs w:val="20"/>
                <w:color w:val="auto"/>
              </w:rPr>
            </w:pPr>
            <w:r>
              <w:rPr>
                <w:rFonts w:ascii="Arial" w:cs="Arial" w:eastAsia="Arial" w:hAnsi="Arial"/>
                <w:sz w:val="18"/>
                <w:szCs w:val="18"/>
                <w:b w:val="1"/>
                <w:bCs w:val="1"/>
                <w:color w:val="auto"/>
              </w:rPr>
              <w:t>DEBT</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w w:val="95"/>
              </w:rPr>
              <w:t>At March 31, 2014 and December 31, 2013, the Company’s debt consisted of the following (in millions):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2"/>
        </w:trPr>
        <w:tc>
          <w:tcPr>
            <w:tcW w:w="1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160" w:type="dxa"/>
            <w:vAlign w:val="bottom"/>
            <w:tcBorders>
              <w:bottom w:val="single" w:sz="8" w:color="CCEEFF"/>
            </w:tcBorders>
          </w:tcPr>
          <w:p>
            <w:pPr>
              <w:spacing w:after="0"/>
              <w:rPr>
                <w:sz w:val="14"/>
                <w:szCs w:val="14"/>
                <w:color w:val="auto"/>
              </w:rPr>
            </w:pPr>
          </w:p>
        </w:tc>
        <w:tc>
          <w:tcPr>
            <w:tcW w:w="77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7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Term Loans: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5.79%, payable through 2020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3.66%, payable through 2023</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4.16%, payable through 2027</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4.31%, payable through 2032</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Title XI Bonds: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5.34%, payable through 2028</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5.27%, payable through 2029</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Notes: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4.35%, payable through 2044</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383.6</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r>
      <w:tr>
        <w:trPr>
          <w:trHeight w:val="210"/>
        </w:trPr>
        <w:tc>
          <w:tcPr>
            <w:tcW w:w="160" w:type="dxa"/>
            <w:vAlign w:val="bottom"/>
          </w:tcPr>
          <w:p>
            <w:pPr>
              <w:spacing w:after="0"/>
              <w:rPr>
                <w:sz w:val="18"/>
                <w:szCs w:val="18"/>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January 2014, the Company issued $100 million of 30-year senior unsecured notes (the “Notes”). The Notes have a weighted average life of 14.5 years and bear interest at a rate of 4.35%, payable semi-annually. The proceeds are expected to be used for general corporate purposes. The Notes will begin to mature in 2021, with annual principal payments of $5.0 million in 2021, $7.5 million in 2022 and 2023, $10.0 million from 2024 to 2027, and $8.0 million in 2028. Starting in 2029, and in each year thereafter until 2044, annual principal payments will be $2.0 million.</w:t>
      </w:r>
    </w:p>
    <w:p>
      <w:pPr>
        <w:spacing w:after="0" w:line="167"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sponsors qualified defined-benefit pension and post retirement plans (collectively, the “Plans”). The following table provides the components of net periodic benefit cost for the Plans for the three-months ended March 31, 2014 and 2013 (in millions):</w:t>
      </w:r>
    </w:p>
    <w:p>
      <w:pPr>
        <w:spacing w:after="0" w:line="150" w:lineRule="exact"/>
        <w:rPr>
          <w:sz w:val="20"/>
          <w:szCs w:val="20"/>
          <w:color w:val="auto"/>
        </w:rPr>
      </w:pPr>
    </w:p>
    <w:tbl>
      <w:tblPr>
        <w:tblLayout w:type="fixed"/>
        <w:tblInd w:w="4920" w:type="dxa"/>
        <w:tblCellMar>
          <w:top w:w="0" w:type="dxa"/>
          <w:left w:w="0" w:type="dxa"/>
          <w:bottom w:w="0" w:type="dxa"/>
          <w:right w:w="0" w:type="dxa"/>
        </w:tblCellMar>
      </w:tblPr>
      <w:tr>
        <w:trPr>
          <w:trHeight w:val="161"/>
        </w:trPr>
        <w:tc>
          <w:tcPr>
            <w:tcW w:w="3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Pension Benefits</w:t>
            </w: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2"/>
              </w:rPr>
              <w:t>Post-retirement Benefits</w:t>
            </w:r>
          </w:p>
        </w:tc>
      </w:tr>
      <w:tr>
        <w:trPr>
          <w:trHeight w:val="171"/>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4"/>
                <w:szCs w:val="14"/>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r>
    </w:tbl>
    <w:p>
      <w:pPr>
        <w:sectPr>
          <w:pgSz w:w="11900" w:h="16838" w:orient="portrait"/>
          <w:cols w:equalWidth="0" w:num="1">
            <w:col w:w="11380"/>
          </w:cols>
          <w:pgMar w:left="240" w:top="729" w:right="279" w:bottom="0" w:gutter="0" w:footer="0" w:header="0"/>
        </w:sectPr>
      </w:pPr>
    </w:p>
    <w:bookmarkStart w:id="4" w:name="page5"/>
    <w:bookmarkEnd w:id="4"/>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5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9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2014, the Company expects to pay total cash contributions to its defined benefit pension plans of approximately $6.6 million, all of which has yet to be contributed as of March 31, 2014.</w:t>
      </w:r>
    </w:p>
    <w:p>
      <w:pPr>
        <w:spacing w:after="0" w:line="166"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the three-months ended March 31, 2014, the Company granted approximately 324,000 time-based and performance-based shares to certain of its employees at a weighted-average grant date fair value of $23.57. The number of performance shares awarded represents the maximum that can be earned, and will ultimately depend on the Company’s performance.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Total stock-based compensation cost recognized in the condensed consolidated financial statements of operations as a component of selling, general and administrative costs was $1.8 million and $1.3 million for the three-months ended March 31, 2014 and 2013, respectively. Total unrecognized compensation cost related to unvested share-based compensation arrangements was $11.4 million at March 31, 2014, and is expected to be recognized over a weighted-average period of 2.0 years. Total unrecognized compensation cost may be adjusted for any unearned performance shares or forfeited shares.</w:t>
      </w:r>
    </w:p>
    <w:p>
      <w:pPr>
        <w:spacing w:after="0" w:line="150"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Molasses was released into Honolulu Harbor from a pipeline system operated by a subsidiary of the Company in September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cooperating with federal and state agencies involved in responding to and investigating the release. On September 20, 2013, the Hawaii Department of Health (“DOH”) and other responding governmental agencies announced that they had officially transitioned their role from a response phase to a recovery and restoration phase. The DOH also reported on September 20, 2013 that dissolved oxygen and pH levels in the harbor and nearby Keehi Lagoon had returned to normal target levels and that there was no longer discoloration of the water in those same areas attributable to the molasses release. Keehi Lagoon was reopened to the public on September 21, 2013.</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October 10, 2013, the Company was served with a federal grand jury subpoena seeking documents in connection with a criminal investigation into the release of molasses into Honolulu Harbor. In addition, the Company has received two subpoenas from the Hawaii Attorney General and written requests for information regarding the release from the following governmental agencies: (i) the DOH; (ii) the State of Hawaii Office of Hawaiian Affairs; and (iii) the United States Environmental Protection Agency (Region IX).</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May 7, 2014, the Company has resolved all third-party claims that have been received. However, government agencies have not: (i) initiated any lawsuits; (ii) presented the Company with an accounting of their response costs; (iii) provided an assessment of natural resource damages; or (iv) imposed any penalties in connection with the release of molasses. Therefore, the Company is not able to estimate the future costs, penalties, damages or expenses that it may incur related to the incident. As a result, at this time no assurance can be given that the impact of the incident on the Company’s financial position, results of operations, or cash flows will not be material.</w:t>
      </w:r>
    </w:p>
    <w:p>
      <w:pPr>
        <w:spacing w:after="0" w:line="18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 addition to the molasses release discussed above, the Company’s shipping business has certain other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8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i w:val="1"/>
          <w:iCs w:val="1"/>
          <w:color w:val="auto"/>
        </w:rPr>
        <w:t xml:space="preserve">Other Legal Matters: </w:t>
      </w:r>
      <w:r>
        <w:rPr>
          <w:rFonts w:ascii="Arial" w:cs="Arial" w:eastAsia="Arial" w:hAnsi="Arial"/>
          <w:sz w:val="16"/>
          <w:szCs w:val="16"/>
          <w:color w:val="auto"/>
        </w:rPr>
        <w:t>On June 10, 2013, the Company was served with a complaint filed in the United States District Court for the Central District of</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by an individual plaintiff as relator on behalf of the United States asserting claims against the Company and certain other ocean carriers and freight forwarders for violations of the False Claims Act. The case is entitled United States of America, ex rel. Mario Rizzo v. Horizon Lines, LLC et al. The qui tam complaint alleges that Matson and the other defendants submitted or created records supporting false claims for payment of fuel surcharges assessed on the shipment of military household goods for the Department of Defense. The federal government has declined to intervene in this qui tam suit. The individual plaintiff in the suit seeks damages and penalties on behalf of the federal government, and may be entitled to a portion of any recovery or settlement resulting from the suit. The plaintiff filed a Second Amended Complaint on August 23, 2013. The Company filed a motion to dismiss the complaint on September 16, 2013. On October 31, 2013, the court denied the Company’s motion. Discovery has now commenced and a jury trial is scheduled to begin on October 7,</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2014. On February 14, 2014, Matson and the plaintiff engaged in non-binding mediation. On February 23, 2014, Matson’s Board of Directors approved a settlement of $9.0 million in full settlement of all claims, and $0.95 million for plaintiff’s legal expenses. The settlement is contingent upon approval of the United States government, and the dismissal of the case with prejudice by the District Court. The amount of the settlement was included in accrued and other liabilities in the consolidated balance sheets at March 31, 2014 and December 31, 2013.</w:t>
      </w:r>
    </w:p>
    <w:p>
      <w:pPr>
        <w:spacing w:after="0" w:line="19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number of shares used to compute basic and diluted earnings per share for the three-months ended March 31, 2014 and 2013, is as follows (in millions, except per share data):</w:t>
      </w:r>
    </w:p>
    <w:p>
      <w:pPr>
        <w:sectPr>
          <w:pgSz w:w="11900" w:h="16838" w:orient="portrait"/>
          <w:cols w:equalWidth="0" w:num="1">
            <w:col w:w="11420"/>
          </w:cols>
          <w:pgMar w:left="240" w:top="118" w:right="239" w:bottom="0" w:gutter="0" w:footer="0" w:header="0"/>
        </w:sectPr>
      </w:pPr>
    </w:p>
    <w:bookmarkStart w:id="5" w:name="page6"/>
    <w:bookmarkEnd w:id="5"/>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4"/>
              </w:rPr>
              <w:t>Three-Months Ended March 31, 2014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5"/>
              </w:rPr>
              <w:t>Three-Months Ended March 31, 2013</w:t>
            </w: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21"/>
              <w:spacing w:after="0" w:line="119" w:lineRule="exact"/>
              <w:rPr>
                <w:sz w:val="20"/>
                <w:szCs w:val="20"/>
                <w:color w:val="auto"/>
              </w:rPr>
            </w:pPr>
            <w:r>
              <w:rPr>
                <w:rFonts w:ascii="Arial" w:cs="Arial" w:eastAsia="Arial" w:hAnsi="Arial"/>
                <w:sz w:val="13"/>
                <w:szCs w:val="13"/>
                <w:b w:val="1"/>
                <w:bCs w:val="1"/>
                <w:color w:val="auto"/>
              </w:rPr>
              <w:t>Per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21"/>
              <w:spacing w:after="0" w:line="119" w:lineRule="exact"/>
              <w:rPr>
                <w:sz w:val="20"/>
                <w:szCs w:val="20"/>
                <w:color w:val="auto"/>
              </w:rPr>
            </w:pPr>
            <w:r>
              <w:rPr>
                <w:rFonts w:ascii="Arial" w:cs="Arial" w:eastAsia="Arial" w:hAnsi="Arial"/>
                <w:sz w:val="13"/>
                <w:szCs w:val="13"/>
                <w:b w:val="1"/>
                <w:bCs w:val="1"/>
                <w:color w:val="auto"/>
              </w:rPr>
              <w:t>Per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7"/>
              </w:rPr>
              <w:t>Net</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Net</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Income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Income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Effect of dilutive restricted stock</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units and stock options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Basic earnings per share (“EPS”) are determined by dividing net income by the weighted-average common shares outstanding during the period. The calculation of diluted earnings per share includes the dilutive effect of unexercised non-qualified stock options and non-vested restricted stock units.</w:t>
      </w:r>
    </w:p>
    <w:p>
      <w:pPr>
        <w:spacing w:after="0" w:line="12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computation of weighted average dilutive shares outstanding excluded non-qualified stock options to purchase 0.2 million shares of common stock during both three-month periods ended March 31, 2014 and 2013. These amounts were excluded because the options’ exercise prices were greater than the average market price of the Company’s common stock for the periods presented and, therefore, the effect would be anti-dilutive.</w:t>
      </w:r>
    </w:p>
    <w:p>
      <w:pPr>
        <w:spacing w:after="0" w:line="162"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88"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Company uses Level 1 inputs for the fair values of its cash equivalents and Level 2 inputs for its long-term debt. The fair values of cash and cash equivalents, receivables and short-term borrowings approximate their carrying values due to the short-term nature of the instruments. The fair value of the Company’s debt is calculated based upon interest rates available for debt with terms and maturities similar to the Company’s existing debt arrangements.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and fair value of the Company’s financial instruments as of March 31, 2014 and December 31, 2013 are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2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6"/>
              </w:rPr>
              <w:t>Fair Value Measurements at March 31, 2014</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Quoted</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Prices in</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Active</w:t>
            </w:r>
          </w:p>
        </w:tc>
        <w:tc>
          <w:tcPr>
            <w:tcW w:w="1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 (Level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Accounts and notes receivable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177.9</w:t>
            </w:r>
          </w:p>
        </w:tc>
        <w:tc>
          <w:tcPr>
            <w:tcW w:w="14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gridSpan w:val="8"/>
            <w:vMerge w:val="restart"/>
          </w:tcPr>
          <w:p>
            <w:pPr>
              <w:jc w:val="right"/>
              <w:ind w:right="50"/>
              <w:spacing w:after="0"/>
              <w:rPr>
                <w:sz w:val="20"/>
                <w:szCs w:val="20"/>
                <w:color w:val="auto"/>
              </w:rPr>
            </w:pPr>
            <w:r>
              <w:rPr>
                <w:rFonts w:ascii="Arial" w:cs="Arial" w:eastAsia="Arial" w:hAnsi="Arial"/>
                <w:sz w:val="14"/>
                <w:szCs w:val="14"/>
                <w:b w:val="1"/>
                <w:bCs w:val="1"/>
                <w:color w:val="auto"/>
                <w:w w:val="95"/>
              </w:rPr>
              <w:t>Fair Value Measurements at December 31, 2013</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vMerge w:val="continue"/>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Quoted</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Prices in</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Active</w:t>
            </w:r>
          </w:p>
        </w:tc>
        <w:tc>
          <w:tcPr>
            <w:tcW w:w="1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 (Level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Accounts and notes receivable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182.3</w:t>
            </w:r>
          </w:p>
        </w:tc>
        <w:tc>
          <w:tcPr>
            <w:tcW w:w="14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8</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Company consists of two segments, ocean transportation and logistics, which are further described in Note 1. 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 for the three-months ended March 31, 2014 and 2013 were as follows (in millions):</w:t>
      </w:r>
    </w:p>
    <w:p>
      <w:pPr>
        <w:spacing w:after="0" w:line="217"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Three-Months Ended</w:t>
      </w:r>
    </w:p>
    <w:p>
      <w:pPr>
        <w:jc w:val="center"/>
        <w:ind w:left="6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0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Ocean transportation</w:t>
            </w:r>
          </w:p>
        </w:tc>
        <w:tc>
          <w:tcPr>
            <w:tcW w:w="372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294.6</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299.9</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Logistics</w:t>
            </w:r>
          </w:p>
        </w:tc>
        <w:tc>
          <w:tcPr>
            <w:tcW w:w="2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94.8</w:t>
            </w:r>
          </w:p>
        </w:tc>
      </w:tr>
      <w:tr>
        <w:trPr>
          <w:trHeight w:val="250"/>
        </w:trPr>
        <w:tc>
          <w:tcPr>
            <w:tcW w:w="47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revenue</w:t>
            </w:r>
          </w:p>
        </w:tc>
        <w:tc>
          <w:tcPr>
            <w:tcW w:w="284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120" w:type="dxa"/>
            <w:vAlign w:val="bottom"/>
            <w:tcBorders>
              <w:bottom w:val="single" w:sz="8" w:color="CCEEFF"/>
            </w:tcBorders>
          </w:tcPr>
          <w:p>
            <w:pPr>
              <w:spacing w:after="0"/>
              <w:rPr>
                <w:sz w:val="21"/>
                <w:szCs w:val="21"/>
                <w:color w:val="auto"/>
              </w:rPr>
            </w:pPr>
          </w:p>
        </w:tc>
      </w:tr>
      <w:tr>
        <w:trPr>
          <w:trHeight w:val="170"/>
        </w:trPr>
        <w:tc>
          <w:tcPr>
            <w:tcW w:w="4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Income:</w:t>
            </w:r>
          </w:p>
        </w:tc>
        <w:tc>
          <w:tcPr>
            <w:tcW w:w="2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Ocean transportation</w:t>
            </w:r>
          </w:p>
        </w:tc>
        <w:tc>
          <w:tcPr>
            <w:tcW w:w="372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Logistics</w:t>
            </w:r>
          </w:p>
        </w:tc>
        <w:tc>
          <w:tcPr>
            <w:tcW w:w="2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r>
      <w:tr>
        <w:trPr>
          <w:trHeight w:val="20"/>
        </w:trPr>
        <w:tc>
          <w:tcPr>
            <w:tcW w:w="4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43" w:orient="portrait"/>
          <w:cols w:equalWidth="0" w:num="1">
            <w:col w:w="11460"/>
          </w:cols>
          <w:pgMar w:left="240" w:top="118" w:right="1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jc w:val="center"/>
              <w:ind w:right="1190"/>
              <w:spacing w:after="0"/>
              <w:rPr>
                <w:sz w:val="20"/>
                <w:szCs w:val="20"/>
                <w:color w:val="auto"/>
              </w:rPr>
            </w:pPr>
            <w:r>
              <w:rPr>
                <w:rFonts w:ascii="Arial" w:cs="Arial" w:eastAsia="Arial" w:hAnsi="Arial"/>
                <w:sz w:val="18"/>
                <w:szCs w:val="18"/>
                <w:color w:val="auto"/>
                <w:w w:val="91"/>
              </w:rPr>
              <w:t>Total operating income</w:t>
            </w:r>
          </w:p>
        </w:tc>
        <w:tc>
          <w:tcPr>
            <w:tcW w:w="3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jc w:val="center"/>
              <w:ind w:right="1190"/>
              <w:spacing w:after="0"/>
              <w:rPr>
                <w:sz w:val="20"/>
                <w:szCs w:val="20"/>
                <w:color w:val="auto"/>
              </w:rPr>
            </w:pPr>
            <w:r>
              <w:rPr>
                <w:rFonts w:ascii="Arial" w:cs="Arial" w:eastAsia="Arial" w:hAnsi="Arial"/>
                <w:sz w:val="18"/>
                <w:szCs w:val="18"/>
                <w:color w:val="auto"/>
                <w:w w:val="90"/>
              </w:rPr>
              <w:t>Income before income taxes</w:t>
            </w:r>
          </w:p>
        </w:tc>
        <w:tc>
          <w:tcPr>
            <w:tcW w:w="35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35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500" w:type="dxa"/>
            <w:vAlign w:val="bottom"/>
            <w:vMerge w:val="restart"/>
          </w:tcPr>
          <w:p>
            <w:pPr>
              <w:jc w:val="right"/>
              <w:ind w:right="1690"/>
              <w:spacing w:after="0"/>
              <w:rPr>
                <w:sz w:val="20"/>
                <w:szCs w:val="20"/>
                <w:color w:val="auto"/>
              </w:rPr>
            </w:pPr>
            <w:r>
              <w:rPr>
                <w:rFonts w:ascii="Arial" w:cs="Arial" w:eastAsia="Arial" w:hAnsi="Arial"/>
                <w:sz w:val="18"/>
                <w:szCs w:val="18"/>
                <w:color w:val="auto"/>
              </w:rPr>
              <w:t>9</w:t>
            </w: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40" w:type="dxa"/>
            <w:vAlign w:val="bottom"/>
            <w:tcBorders>
              <w:bottom w:val="single" w:sz="8" w:color="010101"/>
            </w:tcBorders>
          </w:tcPr>
          <w:p>
            <w:pPr>
              <w:spacing w:after="0"/>
              <w:rPr>
                <w:sz w:val="11"/>
                <w:szCs w:val="11"/>
                <w:color w:val="auto"/>
              </w:rPr>
            </w:pPr>
          </w:p>
        </w:tc>
        <w:tc>
          <w:tcPr>
            <w:tcW w:w="350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 FINANCIAL CONDITION AND RESULTS OF OPERATIONS</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condensed consolidated financial statements and related notes, and the other financial information appearing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the Forms 10-K, 10-Q and 8-K, the Annual Report to Shareholders, press releases made by the Company, the Company’s Internet Web sites (including Web sites of its subsidiaries), and oral statements made by the officers of the Company.</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and similar expressions, or future or conditional verbs such as “will,” “would,” “should,” “could,” “may” or similar expressions.</w:t>
      </w:r>
    </w:p>
    <w:p>
      <w:pPr>
        <w:spacing w:after="0" w:line="18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cautions that forward-looking statements are subject to numerous assumptions, risks and uncertainties, which change over time, including, but not limited to, the factors that are described in Part I, Item 1A under the caption of “Risk Factors” of Matson’s Annual Report on Form 10-K for the year ended December 31, 2013, filed with the Securities Exchange Commission on February 28, 2014. Forward-looking statements speak only as of the date they are made, and the Company assumes no duty to and does not undertake to update forward-looking statements. Actual results could differ materially from those anticipated in forward-looking statements and future results could differ materially from historical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filed on Form 10-K for the year ended December 31, 2013, and the Company’s reports filed on Forms 10-Q and 8-K, and other publicly available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Ocean Transportation: </w:t>
      </w:r>
      <w:r>
        <w:rPr>
          <w:rFonts w:ascii="Arial" w:cs="Arial" w:eastAsia="Arial" w:hAnsi="Arial"/>
          <w:sz w:val="18"/>
          <w:szCs w:val="18"/>
          <w:color w:val="auto"/>
        </w:rPr>
        <w:t>The Company believes that the Hawaii economy is in a multi-year recovery and anticipates modest market growth in the trade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However, a competitor is expected to launch new containership capacity into the trade in the fourth quarter of 2014, which would impact the Company’s container volume. In the China trade, overcapacity is expected to continue at least through 2014, with vessel deliveries outpacing demand growth. However, the Company expects to maintain its volume and average freight rates with high utilization levels, as its expedited service continues to realize a premium to market rates. In Guam, muted growth is expected and the Company envisions its volume to be modestly better than 2013, assuming no new competitors enter the market.</w:t>
      </w:r>
    </w:p>
    <w:p>
      <w:pPr>
        <w:spacing w:after="0" w:line="193"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For the full year 2014, Ocean Transportation operating income is expected to be near or slightly above levels achieved in 2013, which was $104.3 million (exclusive of a $9.95 million Litigation Charge). This outlook additionally excludes any future impact from the September 2013 molasses incident.</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 xml:space="preserve">Logistics: </w:t>
      </w:r>
      <w:r>
        <w:rPr>
          <w:rFonts w:ascii="Arial" w:cs="Arial" w:eastAsia="Arial" w:hAnsi="Arial"/>
          <w:sz w:val="18"/>
          <w:szCs w:val="18"/>
          <w:color w:val="auto"/>
        </w:rPr>
        <w:t>The Company expects 2014 operating income to modestly exceed the 2013 level of $6.0 million, driven by continued volume growth,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and improvements in warehouse operations.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The Company expects its interest expense in 2014 to increase over the 2013 amount by approximately $3.5 million due primarily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financing transaction that closed on January 28,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The Company expects its 2014 effective tax rate to be approximately 38.5 percent.</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i w:val="1"/>
          <w:iCs w:val="1"/>
          <w:color w:val="auto"/>
        </w:rPr>
        <w:t xml:space="preserve">Other: </w:t>
      </w:r>
      <w:r>
        <w:rPr>
          <w:rFonts w:ascii="Arial" w:cs="Arial" w:eastAsia="Arial" w:hAnsi="Arial"/>
          <w:sz w:val="16"/>
          <w:szCs w:val="16"/>
          <w:color w:val="auto"/>
        </w:rPr>
        <w:t>The Company expects maintenance capital expenditures for 2014 to be approximately $40.0 million. Additionally, while the Company does not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scheduled contract payments in 2014 related to its two vessels under construction, it does expect to make additional contributions to its Capital Construction Fund (“CCF”). These deposits could be significant and will have the effect of deferring a portion of the Company’s current cash tax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ectPr>
          <w:pgSz w:w="11900" w:h="16838" w:orient="portrait"/>
          <w:cols w:equalWidth="0" w:num="1">
            <w:col w:w="11460"/>
          </w:cols>
          <w:pgMar w:left="240" w:top="125" w:right="199" w:bottom="0" w:gutter="0" w:footer="0" w:header="0"/>
        </w:sectPr>
      </w:pPr>
    </w:p>
    <w:bookmarkStart w:id="7" w:name="page8"/>
    <w:bookmarkEnd w:id="7"/>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 months ended March 31, 2014 compared with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3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7"/>
          </w:tcPr>
          <w:p>
            <w:pPr>
              <w:ind w:left="1020"/>
              <w:spacing w:after="0"/>
              <w:rPr>
                <w:sz w:val="20"/>
                <w:szCs w:val="20"/>
                <w:color w:val="auto"/>
              </w:rPr>
            </w:pPr>
            <w:r>
              <w:rPr>
                <w:rFonts w:ascii="Arial" w:cs="Arial" w:eastAsia="Arial" w:hAnsi="Arial"/>
                <w:sz w:val="14"/>
                <w:szCs w:val="14"/>
                <w:b w:val="1"/>
                <w:bCs w:val="1"/>
                <w:color w:val="auto"/>
              </w:rPr>
              <w:t>Three-Months Ended March 31,</w:t>
            </w:r>
          </w:p>
        </w:tc>
        <w:tc>
          <w:tcPr>
            <w:tcW w:w="1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1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376.0</w:t>
            </w: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Consolidated operating revenue for the first quarter 2014 decreased $2.2 million, or 0.6 percent, compared to the first quarter 2013. This decrease was due to $5.3 million in lower revenue for ocean transportation and $3.1 million in higher revenue from logistics services.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costs and expenses for the first quarter 2014 increased $6.6 million, or 1.8 percent, compared to the first quarter 2013. The increase was due to a $3.8 million increase in operating costs for the ocean transportation and a $2.8 million increase in operating costs for the logistics segment. Changes in operating revenue and expense are described below in the Analysis of Operating Revenue and Income by Segment, as part of the discussion of trends in operating revenues and operating.</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expense increased $0.4 million to $4.1 million for the first quarter of 2014 compared to $3.7 million for the first quarter 2013. The increase was due to increased borrowings in the first quarter 2014 compared to the first quarter 2013.</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Income tax expense was $2.4 million or 41.4% of net income for the first quarter of 2014, compared to $5.9 million or 39.3% of net income for the first quarter 2013. The increase in the income tax rate was due to the impact of uncertainties in income tax liabilities that increased the tax rate in the first quarter 2014.</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Three-months ended March 31, 2014 compared with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6"/>
          </w:tcPr>
          <w:p>
            <w:pPr>
              <w:ind w:left="1040"/>
              <w:spacing w:after="0"/>
              <w:rPr>
                <w:sz w:val="20"/>
                <w:szCs w:val="20"/>
                <w:color w:val="auto"/>
              </w:rPr>
            </w:pPr>
            <w:r>
              <w:rPr>
                <w:rFonts w:ascii="Arial" w:cs="Arial" w:eastAsia="Arial" w:hAnsi="Arial"/>
                <w:sz w:val="14"/>
                <w:szCs w:val="14"/>
                <w:b w:val="1"/>
                <w:bCs w:val="1"/>
                <w:color w:val="auto"/>
              </w:rPr>
              <w:t>Three-Months Ended March 31,</w:t>
            </w:r>
          </w:p>
        </w:tc>
        <w:tc>
          <w:tcPr>
            <w:tcW w:w="1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281.4</w:t>
            </w: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Volume (Units) (1)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Hawaii containers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33,300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Hawaii automobiles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23,200</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23,000</w:t>
            </w: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China containers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13,700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Guam containers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6,000</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5,800</w:t>
            </w: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Micronesia/South Pacific Containers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40" w:hanging="328"/>
        <w:spacing w:after="0" w:line="264" w:lineRule="auto"/>
        <w:tabs>
          <w:tab w:leader="none" w:pos="6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 container volumes included for the period are based on the voyage departure date, but revenue and operating income are adjusted to reflect the percentage of revenue and operating income earned during the reporting period for voyages that straddle the beginning or end of each reporting period.</w:t>
      </w:r>
    </w:p>
    <w:p>
      <w:pPr>
        <w:spacing w:after="0" w:line="18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Ocean transportation revenue decreased $5.3 million, or 1.8 percent, during the first quarter 2014 compared with the first quarter 2013. The year over year decrease was due primarily to lower fuel surcharge revenue, lower container volume in Hawaii and lower China freight rates; partially offset by freight rate increases and cargo mix improvements in Hawaii and increased volume in the Company’s Micronesia/South Pacific trade.</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 year over year basis, Hawaii container volume decreased 2.9 percent due primarily to lower eastbound freight; China volume decreased 3.5 percent, as a result of an additional sailing during the first quarter 2013; Guam volume increased 3.4 percent due to the timing of select shipments and Micronesia/South Pacific volume increased 33.3 percent reflecting a full quarter of operations.</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Ocean transportation operating income decreased $9.1 million, or 49.2 percent, during the first quarter 2014 compared with the first quarter 2013. The decrease can be attributed primarily to the timing of fuel surcharge collections. Other factors include lower Hawaii volume and lower China freight rates. In addition, the Company incurred $1.0 million in legal expenses related to the molasses released into Honolulu Harbor in September 2013. Partially offsetting these decreases to operating income were freight rate increases and cargo mix improvements in Hawaii and lower outside transportation costs.</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SSAT terminal joint venture investment contributed $0.2 million during the first quarter 2014, similar to a $0.2 million contribution in the first quarter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Three-months ended March 31, 2014 compared with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Three-Months Ended March 31,</w:t>
            </w:r>
          </w:p>
        </w:tc>
        <w:tc>
          <w:tcPr>
            <w:tcW w:w="11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gridSpan w:val="2"/>
            <w:vMerge w:val="continue"/>
          </w:tcPr>
          <w:p>
            <w:pPr>
              <w:spacing w:after="0"/>
              <w:rPr>
                <w:sz w:val="12"/>
                <w:szCs w:val="12"/>
                <w:color w:val="auto"/>
              </w:rPr>
            </w:pPr>
          </w:p>
        </w:tc>
        <w:tc>
          <w:tcPr>
            <w:tcW w:w="108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2014</w:t>
            </w:r>
          </w:p>
        </w:tc>
        <w:tc>
          <w:tcPr>
            <w:tcW w:w="194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580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380"/>
          </w:cols>
          <w:pgMar w:left="240" w:top="125" w:right="27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Intermodal revenue</w:t>
            </w:r>
          </w:p>
        </w:tc>
        <w:tc>
          <w:tcPr>
            <w:tcW w:w="280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Highway revenue</w:t>
            </w:r>
          </w:p>
        </w:tc>
        <w:tc>
          <w:tcPr>
            <w:tcW w:w="2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43.3</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2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8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97.4</w:t>
            </w:r>
          </w:p>
        </w:tc>
        <w:tc>
          <w:tcPr>
            <w:tcW w:w="5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94.6</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5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4"/>
                <w:szCs w:val="24"/>
                <w:color w:val="auto"/>
              </w:rPr>
            </w:pPr>
          </w:p>
        </w:tc>
        <w:tc>
          <w:tcPr>
            <w:tcW w:w="222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88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Logistics revenue increased $3.1 million, or 3.3 percent, during the first quarter 2014 compared with the first quarter 2013. This increase was primarily the result of higher highway and international intermodal volume; partially offset by lower domestic intermodal volume attributable to severe weather conditions experienced during the first quarter 2014.</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Logistics operating income increased by $0.3 million, during the first quarter 2014 compared with the first quarter 2013, primarily due to warehouse operating improvements, increased highway volume, and lower general and administrative expenses; partially offset by the impact of severe weather during first quarter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Cash flows provided by operating activities are generally the Company’s primary source of liquidity. Additional sources of liquidity were provided by available cash and cash equivalent balances as well as borrowings on available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Cash flows provided by operating activities totaled $30.1 million for the first quarter 2014, compared with $35.0 million for the first quarter 2013. The decrease in cash flows provided by operating activities was primarily due an increase in deferred dry-docking payments and a decrease in net income, partially offset by the benefit from the change in deferred income taxes and the net changes in current assets and current liabilities.</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flows used in investing activities totaled $4.5 million for the first quarter 2014, compared with $14.9 million for the first quarter 2013. The decrease in cash flows used in investing activities was primarily due to a decrease in payments for acquisitions and a reduction in capital expenditures during the first quarter 2014, compared to the first quarter 2013. Capital expenditures were $4.9 million for the first quarter 2014, compared to $6.3 million for the first quarter 2013, and primarily related to the ocean transportation segment.</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Cash flows provided by financing activities totaled $89.6 million for the first quarter 2014, compared to cash flows used in financing activities of $29.0 million for the first quarter 2013. The change was primarily due to increased proceeds from issuance of long-term debt net of repayments, of $97.5 million for the first quarter of 2014, compared to cash outflows of $21.5 million for repayments of long-term debt, net of proceeds received for the first quarter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Liquidity: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Additional sources of liquidity totaled $407.6 million at March 31, 2014, consisting of cash and cash equivalents, and accounts receivables, an increase of</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$110.8 million compared to December 31, 2013. The increase was due primarily to a $115.2 million increase in cash and cash equivalents, partially offset by a decrease in accounts receivable of $4.4 million. The Company had working capital of $257.9 million at March 31, 2014, compared to $148.3 million at December 31, 2013.</w:t>
      </w:r>
    </w:p>
    <w:p>
      <w:pPr>
        <w:spacing w:after="0" w:line="19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January 2014, the Company issued $100 million of 30-year senior unsecured notes (the “Notes”). The Notes have a weighted average life of 14.5 years and bear interest at a rate of 4.35%, payable semi-annually. The proceeds are expected to be used for general corporate purposes. The Notes will begin to mature in 2021, with annual principal payments of $5.0 million in 2021, $7.5 million in 2022 and 2023, $10.0 million from 2024 to 2027, and $8.0 million in 2028. Starting in 2029, and in each year thereafter until 2044, annual principal payments will be $2.0 million.</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debt was $383.6 million as of March 31, 2014, compared with $286.1 million at December 31,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There were no material changes during this quarter to the Company’s contractual obligations and commitments that are described in Item 7 of the Company’s Annual Report filed on Form 10-K for the year ended December 31, 2013. The Company does not have any off-balance sheet arrangements.</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description of contingencies at March 31, 2014, is included in Note 6 to the condensed consolidated financial statements of Item 1 in this Form 10-Q, which is incorporated herein by reference.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policies as discussed in Item 7 of the Company’s Annual Report filed on Form 10-K for the year ended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ectPr>
          <w:pgSz w:w="11900" w:h="16838" w:orient="portrait"/>
          <w:cols w:equalWidth="0" w:num="1">
            <w:col w:w="11460"/>
          </w:cols>
          <w:pgMar w:left="240" w:top="140" w:right="199" w:bottom="225" w:gutter="0" w:footer="0" w:header="0"/>
        </w:sectPr>
      </w:pPr>
    </w:p>
    <w:bookmarkStart w:id="9" w:name="page10"/>
    <w:bookmarkEnd w:id="9"/>
    <w:p>
      <w:pPr>
        <w:jc w:val="both"/>
        <w:ind w:right="120"/>
        <w:spacing w:after="0" w:line="264" w:lineRule="auto"/>
        <w:rPr>
          <w:sz w:val="20"/>
          <w:szCs w:val="20"/>
          <w:color w:val="auto"/>
        </w:rPr>
      </w:pPr>
      <w:r>
        <w:rPr>
          <w:rFonts w:ascii="Arial" w:cs="Arial" w:eastAsia="Arial" w:hAnsi="Arial"/>
          <w:sz w:val="18"/>
          <w:szCs w:val="18"/>
          <w:color w:val="auto"/>
        </w:rPr>
        <w:t>The Company’s first quarter dividend of $0.16, per share to shareholders was declared on January 30, 2014, to shareholders of record on February 13, 2014, and was paid on March 6, 2014. The Company’s second quarter dividend of $0.16 per share to shareholders was declared on April 24, 2014, to shareholders of record on May 8, 2014, and will be paid on June 5,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There have been no material changes to the Company’s market risk position from the information provided under Part II, Item 7A, “Quantitative and Qualitative Disclosures About Market Risk,” of our 2013 Annual Report filed on Form 10-K for the year ended December 31, 2013, except for the inclusion of the $100 million 30-year senior unsecured notes issued in January 2014, in the table below.</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Company’s debt obligations at March 31, 2014, presenting principal cash flows and related interest rates by the expected fiscal year of repayment: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60" w:type="dxa"/>
            <w:vAlign w:val="bottom"/>
            <w:tcBorders>
              <w:bottom w:val="single" w:sz="8" w:color="auto"/>
            </w:tcBorders>
            <w:gridSpan w:val="16"/>
          </w:tcPr>
          <w:p>
            <w:pPr>
              <w:ind w:left="340"/>
              <w:spacing w:after="0"/>
              <w:rPr>
                <w:sz w:val="20"/>
                <w:szCs w:val="20"/>
                <w:color w:val="auto"/>
              </w:rPr>
            </w:pPr>
            <w:r>
              <w:rPr>
                <w:rFonts w:ascii="Arial" w:cs="Arial" w:eastAsia="Arial" w:hAnsi="Arial"/>
                <w:sz w:val="14"/>
                <w:szCs w:val="14"/>
                <w:b w:val="1"/>
                <w:bCs w:val="1"/>
                <w:color w:val="auto"/>
              </w:rPr>
              <w:t>Expected Fiscal Year of Repayment as of March 31, 2014 (dollars in millions)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2"/>
                <w:szCs w:val="12"/>
                <w:color w:val="auto"/>
              </w:rPr>
            </w:pPr>
          </w:p>
        </w:tc>
        <w:tc>
          <w:tcPr>
            <w:tcW w:w="7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rate</w:t>
            </w: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21.5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20.5</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28.2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Average interest rate</w:t>
            </w:r>
          </w:p>
        </w:tc>
        <w:tc>
          <w:tcPr>
            <w:tcW w:w="6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6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Variable rate</w:t>
            </w: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Average interest rate</w:t>
            </w:r>
          </w:p>
        </w:tc>
        <w:tc>
          <w:tcPr>
            <w:tcW w:w="60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March 31, 2014, the Company’s disclosure controls and procedures are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three-month period ended March 31, 2014 that have materially affected, or are reasonably likely to materially affect, the Company’s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Molasses was released into Honolulu Harbor from a pipeline system operated by a subsidiary of the Company in September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cooperating with federal and state agencies involved in responding to and investigating the release. On September 20, 2013, the Hawaii Department of Health (“DOH”) and other responding governmental agencies announced that they had officially transitioned their role from a response phase to a recovery and restoration phase. The DOH also reported on September 20, 2013 that dissolved oxygen and pH levels in the harbor and nearby Keehi Lagoon had returned to normal target levels and that there was no longer discoloration of the water in those same areas attributable to the molasses release. Keehi Lagoon was reopened to the public on September 21, 2013.</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October 10, 2013, the Company was served with a federal grand jury subpoena seeking documents in connection with a criminal investigation into the release of molasses into Honolulu Harbor. In addition, the Company has received two subpoenas from the Hawaii Attorney General and written requests for information regarding the release from the following governmental agencies: (i) the DOH; (ii) the State of Hawaii Office of Hawaiian Affairs; and (iii) the United States Environmental Protection Agency (Region IX).</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May 7, 2014, the Company has resolved all third-party claims that have been received. However, government agencies have not: (i) initiated any lawsuits; (ii) presented the Company with an accounting of their response costs; (iii) provided an assessment of natural resource damages; or (iv) imposed any penalties in connection with the release of molasses. Therefore, the Company is not able to estimate the future costs, penalties, damages or expenses that it may incur related to the incident. As a result, at this time no assurance can be given that the impact of the incident on the Company’s financial position, results of operations, or cash flows will not be material.</w:t>
      </w:r>
    </w:p>
    <w:p>
      <w:pPr>
        <w:spacing w:after="0" w:line="18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 addition to the molasses release discussed above, the Company’s shipping business has certain other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8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i w:val="1"/>
          <w:iCs w:val="1"/>
          <w:color w:val="auto"/>
        </w:rPr>
        <w:t xml:space="preserve">Other Legal Matters: </w:t>
      </w:r>
      <w:r>
        <w:rPr>
          <w:rFonts w:ascii="Arial" w:cs="Arial" w:eastAsia="Arial" w:hAnsi="Arial"/>
          <w:sz w:val="16"/>
          <w:szCs w:val="16"/>
          <w:color w:val="auto"/>
        </w:rPr>
        <w:t>On June 10, 2013, the Company was served with a complaint filed in the United States District Court for the Central District of</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by an individual plaintiff as relator on behalf of the United States asserting claims against the Company and certain other ocean carriers and freight forwarders for violations of the False Claims Act. The case is entitled United States of America, ex rel. Mario Rizzo v. Horizon Lines, LLC et al. The qui tam complaint alleges that Matson and the other defendants submitted or created records supporting false claims for payment of fuel surcharges assessed on the shipment of military household goods for the Department of Defense. The federal government has declined to intervene in this qui tam suit. The individual plaintiff in the suit seeks damages and penalties on behalf of the federal government, and may be entitled to a portion of any recovery or settlement resulting from the suit. The plaintiff filed a Second Amended Complaint on August 23, 2013. The Company filed a motion to dismiss the complaint on September 16, 2013. On October 31, 2013, the court denied the Company’s motion. Discovery has now commenced and a jury trial is scheduled to begin on October 7,</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2014. On February 14, 2014, Matson and the plaintiff engaged in non-binding mediation. On February 23, 2014, Matson’s Board of Directors approved a settlement of $9.0 million in full settlement of all claims, and $0.95 million for plaintiff’s legal expenses. The settlement is contingent upon approval of the United States government, and the dismissal of the case with prejudice by the District Court.</w:t>
      </w:r>
    </w:p>
    <w:p>
      <w:pPr>
        <w:sectPr>
          <w:pgSz w:w="11900" w:h="16838" w:orient="portrait"/>
          <w:cols w:equalWidth="0" w:num="1">
            <w:col w:w="11420"/>
          </w:cols>
          <w:pgMar w:left="240" w:top="125" w:right="239" w:bottom="0" w:gutter="0" w:footer="0" w:header="0"/>
        </w:sectPr>
      </w:pPr>
    </w:p>
    <w:bookmarkStart w:id="10" w:name="page11"/>
    <w:bookmarkEnd w:id="10"/>
    <w:p>
      <w:pPr>
        <w:ind w:right="46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Issuer Purchases of Equity Securities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Total Number of Shares</w:t>
            </w:r>
          </w:p>
        </w:tc>
        <w:tc>
          <w:tcPr>
            <w:tcW w:w="1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Average Price</w:t>
            </w:r>
          </w:p>
        </w:tc>
        <w:tc>
          <w:tcPr>
            <w:tcW w:w="2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2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660" w:type="dxa"/>
            <w:vAlign w:val="bottom"/>
            <w:vMerge w:val="continue"/>
          </w:tcPr>
          <w:p>
            <w:pPr>
              <w:spacing w:after="0"/>
              <w:rPr>
                <w:sz w:val="14"/>
                <w:szCs w:val="14"/>
                <w:color w:val="auto"/>
              </w:rPr>
            </w:pPr>
          </w:p>
        </w:tc>
        <w:tc>
          <w:tcPr>
            <w:tcW w:w="2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left="88"/>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Paid per Share</w:t>
            </w:r>
          </w:p>
        </w:tc>
        <w:tc>
          <w:tcPr>
            <w:tcW w:w="2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Plans or Programs</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210"/>
        </w:trPr>
        <w:tc>
          <w:tcPr>
            <w:tcW w:w="660" w:type="dxa"/>
            <w:vAlign w:val="bottom"/>
            <w:tcBorders>
              <w:top w:val="single" w:sz="8" w:color="auto"/>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center"/>
              <w:ind w:right="570"/>
              <w:spacing w:after="0"/>
              <w:rPr>
                <w:sz w:val="20"/>
                <w:szCs w:val="20"/>
                <w:color w:val="auto"/>
              </w:rPr>
            </w:pPr>
            <w:r>
              <w:rPr>
                <w:rFonts w:ascii="Arial" w:cs="Arial" w:eastAsia="Arial" w:hAnsi="Arial"/>
                <w:sz w:val="18"/>
                <w:szCs w:val="18"/>
                <w:color w:val="auto"/>
                <w:w w:val="90"/>
              </w:rPr>
              <w:t>January 1 — 31, 2014</w:t>
            </w: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60" w:type="dxa"/>
            <w:vAlign w:val="bottom"/>
            <w:gridSpan w:val="3"/>
          </w:tcPr>
          <w:p>
            <w:pPr>
              <w:jc w:val="center"/>
              <w:ind w:right="2088"/>
              <w:spacing w:after="0"/>
              <w:rPr>
                <w:sz w:val="20"/>
                <w:szCs w:val="20"/>
                <w:color w:val="auto"/>
              </w:rPr>
            </w:pPr>
            <w:r>
              <w:rPr>
                <w:rFonts w:ascii="Arial" w:cs="Arial" w:eastAsia="Arial" w:hAnsi="Arial"/>
                <w:sz w:val="18"/>
                <w:szCs w:val="18"/>
                <w:color w:val="auto"/>
                <w:w w:val="90"/>
              </w:rPr>
              <w:t>February 1 — 28, 2014</w:t>
            </w: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4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jc w:val="center"/>
              <w:ind w:right="2068"/>
              <w:spacing w:after="0"/>
              <w:rPr>
                <w:sz w:val="20"/>
                <w:szCs w:val="20"/>
                <w:color w:val="auto"/>
              </w:rPr>
            </w:pPr>
            <w:r>
              <w:rPr>
                <w:rFonts w:ascii="Arial" w:cs="Arial" w:eastAsia="Arial" w:hAnsi="Arial"/>
                <w:sz w:val="18"/>
                <w:szCs w:val="18"/>
                <w:color w:val="auto"/>
                <w:w w:val="91"/>
              </w:rPr>
              <w:t>March 1 — 31, 2014</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ectPr>
          <w:pgSz w:w="11900" w:h="16838" w:orient="portrait"/>
          <w:cols w:equalWidth="0" w:num="1">
            <w:col w:w="11460"/>
          </w:cols>
          <w:pgMar w:left="240" w:top="341" w:right="199" w:bottom="276"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Executive Officer pursuant to Rule 13a-14(a) or 15d-14(a) of the Securities Exchange Act of 1934.</w:t>
      </w:r>
    </w:p>
    <w:p>
      <w:pPr>
        <w:spacing w:after="0" w:line="200" w:lineRule="exact"/>
        <w:rPr>
          <w:sz w:val="20"/>
          <w:szCs w:val="20"/>
          <w:color w:val="auto"/>
        </w:rPr>
      </w:pPr>
    </w:p>
    <w:p>
      <w:pPr>
        <w:sectPr>
          <w:pgSz w:w="11900" w:h="16838" w:orient="portrait"/>
          <w:cols w:equalWidth="0" w:num="2">
            <w:col w:w="720" w:space="720"/>
            <w:col w:w="10020"/>
          </w:cols>
          <w:pgMar w:left="240" w:top="341" w:right="199" w:bottom="276"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Financial Officer pursuant to Rule 13a-14(a) or 15d-14(a) of the Securities Exchange Act of 1934.</w:t>
      </w:r>
    </w:p>
    <w:p>
      <w:pPr>
        <w:spacing w:after="0" w:line="200" w:lineRule="exact"/>
        <w:rPr>
          <w:sz w:val="20"/>
          <w:szCs w:val="20"/>
          <w:color w:val="auto"/>
        </w:rPr>
      </w:pPr>
    </w:p>
    <w:p>
      <w:pPr>
        <w:sectPr>
          <w:pgSz w:w="11900" w:h="16838" w:orient="portrait"/>
          <w:cols w:equalWidth="0" w:num="2">
            <w:col w:w="720" w:space="720"/>
            <w:col w:w="10020"/>
          </w:cols>
          <w:pgMar w:left="240" w:top="341" w:right="199" w:bottom="276"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Executive Officer and Chief Financial Officer pursuant to 18 U.S.C. Section 1350.</w:t>
      </w:r>
    </w:p>
    <w:p>
      <w:pPr>
        <w:spacing w:after="0" w:line="200" w:lineRule="exact"/>
        <w:rPr>
          <w:sz w:val="20"/>
          <w:szCs w:val="20"/>
          <w:color w:val="auto"/>
        </w:rPr>
      </w:pPr>
    </w:p>
    <w:p>
      <w:pPr>
        <w:sectPr>
          <w:pgSz w:w="11900" w:h="16838" w:orient="portrait"/>
          <w:cols w:equalWidth="0" w:num="2">
            <w:col w:w="720" w:space="720"/>
            <w:col w:w="10020"/>
          </w:cols>
          <w:pgMar w:left="240" w:top="341" w:right="199" w:bottom="276"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11" w:lineRule="exact"/>
        <w:rPr>
          <w:sz w:val="20"/>
          <w:szCs w:val="20"/>
          <w:color w:val="auto"/>
        </w:rPr>
      </w:pPr>
    </w:p>
    <w:p>
      <w:pPr>
        <w:sectPr>
          <w:pgSz w:w="11900" w:h="16838" w:orient="portrait"/>
          <w:cols w:equalWidth="0" w:num="2">
            <w:col w:w="720" w:space="720"/>
            <w:col w:w="10020"/>
          </w:cols>
          <w:pgMar w:left="240" w:top="341" w:right="199" w:bottom="276"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11" w:lineRule="exact"/>
        <w:rPr>
          <w:sz w:val="20"/>
          <w:szCs w:val="20"/>
          <w:color w:val="auto"/>
        </w:rPr>
      </w:pPr>
    </w:p>
    <w:p>
      <w:pPr>
        <w:sectPr>
          <w:pgSz w:w="11900" w:h="16838" w:orient="portrait"/>
          <w:cols w:equalWidth="0" w:num="2">
            <w:col w:w="760" w:space="680"/>
            <w:col w:w="10020"/>
          </w:cols>
          <w:pgMar w:left="240" w:top="341" w:right="199" w:bottom="276"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22" w:lineRule="exact"/>
        <w:rPr>
          <w:sz w:val="20"/>
          <w:szCs w:val="20"/>
          <w:color w:val="auto"/>
        </w:rPr>
      </w:pPr>
    </w:p>
    <w:p>
      <w:pPr>
        <w:sectPr>
          <w:pgSz w:w="11900" w:h="16838" w:orient="portrait"/>
          <w:cols w:equalWidth="0" w:num="2">
            <w:col w:w="780" w:space="660"/>
            <w:col w:w="10020"/>
          </w:cols>
          <w:pgMar w:left="240" w:top="341" w:right="199" w:bottom="276"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11" w:lineRule="exact"/>
        <w:rPr>
          <w:sz w:val="20"/>
          <w:szCs w:val="20"/>
          <w:color w:val="auto"/>
        </w:rPr>
      </w:pPr>
    </w:p>
    <w:p>
      <w:pPr>
        <w:sectPr>
          <w:pgSz w:w="11900" w:h="16838" w:orient="portrait"/>
          <w:cols w:equalWidth="0" w:num="2">
            <w:col w:w="760" w:space="680"/>
            <w:col w:w="10020"/>
          </w:cols>
          <w:pgMar w:left="240" w:top="341" w:right="199" w:bottom="276"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22" w:lineRule="exact"/>
        <w:rPr>
          <w:sz w:val="20"/>
          <w:szCs w:val="20"/>
          <w:color w:val="auto"/>
        </w:rPr>
      </w:pPr>
    </w:p>
    <w:p>
      <w:pPr>
        <w:sectPr>
          <w:pgSz w:w="11900" w:h="16838" w:orient="portrait"/>
          <w:cols w:equalWidth="0" w:num="2">
            <w:col w:w="780" w:space="660"/>
            <w:col w:w="10020"/>
          </w:cols>
          <w:pgMar w:left="240" w:top="341" w:right="199" w:bottom="276"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235585</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 w:space="700"/>
            <w:col w:w="10020"/>
          </w:cols>
          <w:pgMar w:left="240" w:top="341" w:right="199" w:bottom="276" w:gutter="0" w:footer="0" w:header="0"/>
          <w:type w:val="continuous"/>
        </w:sectPr>
      </w:pPr>
    </w:p>
    <w:p>
      <w:pPr>
        <w:spacing w:after="0" w:line="27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*XBRL (Extensible Business Reporting Language) information is furnished and not filed herewith, is not part of a registration statement or Prospectus for purposes of Section 11 or 12 of the Securities Act of 1933, is deemed not filed for purposes of section 18 of the Securities Exchange Act of 1934, and otherwise is not subject to liability under these sections.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MATSON, INC.</w:t>
            </w:r>
          </w:p>
        </w:tc>
        <w:tc>
          <w:tcPr>
            <w:tcW w:w="40" w:type="dxa"/>
            <w:vAlign w:val="bottom"/>
          </w:tcPr>
          <w:p>
            <w:pPr>
              <w:spacing w:after="0"/>
              <w:rPr>
                <w:sz w:val="20"/>
                <w:szCs w:val="20"/>
                <w:color w:val="auto"/>
              </w:rPr>
            </w:pPr>
          </w:p>
        </w:tc>
      </w:tr>
      <w:tr>
        <w:trPr>
          <w:trHeight w:val="224"/>
        </w:trPr>
        <w:tc>
          <w:tcPr>
            <w:tcW w:w="35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19"/>
                <w:szCs w:val="19"/>
                <w:color w:val="auto"/>
              </w:rPr>
            </w:pPr>
          </w:p>
        </w:tc>
      </w:tr>
      <w:tr>
        <w:trPr>
          <w:trHeight w:val="634"/>
        </w:trPr>
        <w:tc>
          <w:tcPr>
            <w:tcW w:w="3500" w:type="dxa"/>
            <w:vAlign w:val="bottom"/>
          </w:tcPr>
          <w:p>
            <w:pPr>
              <w:spacing w:after="0"/>
              <w:rPr>
                <w:sz w:val="20"/>
                <w:szCs w:val="20"/>
                <w:color w:val="auto"/>
              </w:rPr>
            </w:pPr>
            <w:r>
              <w:rPr>
                <w:rFonts w:ascii="Arial" w:cs="Arial" w:eastAsia="Arial" w:hAnsi="Arial"/>
                <w:sz w:val="18"/>
                <w:szCs w:val="18"/>
                <w:color w:val="auto"/>
              </w:rPr>
              <w:t>Date: May 7, 2014</w:t>
            </w:r>
          </w:p>
        </w:tc>
        <w:tc>
          <w:tcPr>
            <w:tcW w:w="22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Joel. M. Wine</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4"/>
              </w:rPr>
              <w:t>Joel M. Wine</w:t>
            </w:r>
          </w:p>
        </w:tc>
        <w:tc>
          <w:tcPr>
            <w:tcW w:w="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Senior Vice President and</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40" w:type="dxa"/>
            <w:vAlign w:val="bottom"/>
          </w:tcPr>
          <w:p>
            <w:pPr>
              <w:spacing w:after="0"/>
              <w:rPr>
                <w:sz w:val="20"/>
                <w:szCs w:val="20"/>
                <w:color w:val="auto"/>
              </w:rPr>
            </w:pP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May 7, 2014</w:t>
            </w:r>
          </w:p>
        </w:tc>
        <w:tc>
          <w:tcPr>
            <w:tcW w:w="22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Dale B. Hendler</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2"/>
              </w:rPr>
              <w:t>Dale B. Hendler</w:t>
            </w:r>
          </w:p>
        </w:tc>
        <w:tc>
          <w:tcPr>
            <w:tcW w:w="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Vice President and Controller,</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(principal accounting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7920" w:type="dxa"/>
            <w:vAlign w:val="bottom"/>
            <w:gridSpan w:val="2"/>
          </w:tcPr>
          <w:p>
            <w:pPr>
              <w:jc w:val="right"/>
              <w:ind w:right="553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4"/>
                <w:szCs w:val="24"/>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276" w:gutter="0" w:footer="0" w:header="0"/>
          <w:type w:val="continuous"/>
        </w:sectPr>
      </w:pPr>
    </w:p>
    <w:bookmarkStart w:id="11" w:name="page12"/>
    <w:bookmarkEnd w:id="1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225" w:lineRule="exact"/>
        <w:rPr>
          <w:rFonts w:ascii="Arial" w:cs="Arial" w:eastAsia="Arial" w:hAnsi="Arial"/>
          <w:sz w:val="18"/>
          <w:szCs w:val="18"/>
          <w:color w:val="auto"/>
        </w:rPr>
      </w:pPr>
    </w:p>
    <w:p>
      <w:pPr>
        <w:ind w:right="340" w:firstLine="8"/>
        <w:spacing w:after="0" w:line="342" w:lineRule="auto"/>
        <w:tabs>
          <w:tab w:leader="none" w:pos="6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8"/>
        <w:spacing w:after="0" w:line="277"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300" w:firstLine="8"/>
        <w:spacing w:after="0" w:line="264"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80" w:firstLine="8"/>
        <w:spacing w:after="0" w:line="264" w:lineRule="auto"/>
        <w:tabs>
          <w:tab w:leader="none" w:pos="6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8"/>
        <w:spacing w:after="0" w:line="26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00" w:firstLine="8"/>
        <w:spacing w:after="0" w:line="277" w:lineRule="auto"/>
        <w:tabs>
          <w:tab w:leader="none" w:pos="6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40" w:firstLine="8"/>
        <w:spacing w:after="0" w:line="26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300" w:firstLine="8"/>
        <w:spacing w:after="0" w:line="308" w:lineRule="auto"/>
        <w:tabs>
          <w:tab w:leader="none" w:pos="64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 w:firstLine="8"/>
        <w:spacing w:after="0" w:line="277" w:lineRule="auto"/>
        <w:tabs>
          <w:tab w:leader="none" w:pos="6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80" w:firstLine="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jc w:val="right"/>
              <w:ind w:right="13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Matthew J. Cox</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16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Matthew J. Cox, President and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160" w:type="dxa"/>
            <w:vAlign w:val="bottom"/>
            <w:vMerge w:val="restart"/>
          </w:tcPr>
          <w:p>
            <w:pPr>
              <w:jc w:val="right"/>
              <w:ind w:right="4710"/>
              <w:spacing w:after="0"/>
              <w:rPr>
                <w:sz w:val="20"/>
                <w:szCs w:val="20"/>
                <w:color w:val="auto"/>
              </w:rPr>
            </w:pPr>
            <w:r>
              <w:rPr>
                <w:rFonts w:ascii="Arial" w:cs="Arial" w:eastAsia="Arial" w:hAnsi="Arial"/>
                <w:sz w:val="18"/>
                <w:szCs w:val="18"/>
                <w:color w:val="auto"/>
                <w:w w:val="91"/>
              </w:rPr>
              <w:t>Date: May 7, 2014</w:t>
            </w:r>
          </w:p>
        </w:tc>
        <w:tc>
          <w:tcPr>
            <w:tcW w:w="52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vMerge w:val="continue"/>
          </w:tcPr>
          <w:p>
            <w:pPr>
              <w:spacing w:after="0"/>
              <w:rPr>
                <w:sz w:val="18"/>
                <w:szCs w:val="18"/>
                <w:color w:val="auto"/>
              </w:rPr>
            </w:pPr>
          </w:p>
        </w:tc>
        <w:tc>
          <w:tcPr>
            <w:tcW w:w="5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6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16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2" w:name="page13"/>
    <w:bookmarkEnd w:id="1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225" w:lineRule="exact"/>
        <w:rPr>
          <w:rFonts w:ascii="Arial" w:cs="Arial" w:eastAsia="Arial" w:hAnsi="Arial"/>
          <w:sz w:val="18"/>
          <w:szCs w:val="18"/>
          <w:color w:val="auto"/>
        </w:rPr>
      </w:pPr>
    </w:p>
    <w:p>
      <w:pPr>
        <w:ind w:right="340" w:firstLine="8"/>
        <w:spacing w:after="0" w:line="342" w:lineRule="auto"/>
        <w:tabs>
          <w:tab w:leader="none" w:pos="6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8"/>
        <w:spacing w:after="0" w:line="277"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300" w:firstLine="8"/>
        <w:spacing w:after="0" w:line="264"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80" w:firstLine="8"/>
        <w:spacing w:after="0" w:line="264" w:lineRule="auto"/>
        <w:tabs>
          <w:tab w:leader="none" w:pos="6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8"/>
        <w:spacing w:after="0" w:line="26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00" w:firstLine="8"/>
        <w:spacing w:after="0" w:line="277" w:lineRule="auto"/>
        <w:tabs>
          <w:tab w:leader="none" w:pos="6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40" w:firstLine="8"/>
        <w:spacing w:after="0" w:line="26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300" w:firstLine="8"/>
        <w:spacing w:after="0" w:line="308" w:lineRule="auto"/>
        <w:tabs>
          <w:tab w:leader="none" w:pos="64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 w:firstLine="8"/>
        <w:spacing w:after="0" w:line="277" w:lineRule="auto"/>
        <w:tabs>
          <w:tab w:leader="none" w:pos="6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80" w:firstLine="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jc w:val="right"/>
              <w:ind w:right="9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Joel M. Wine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12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Joel M. Wine, Senior Vice President and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120" w:type="dxa"/>
            <w:vAlign w:val="bottom"/>
            <w:vMerge w:val="restart"/>
          </w:tcPr>
          <w:p>
            <w:pPr>
              <w:jc w:val="right"/>
              <w:ind w:right="4670"/>
              <w:spacing w:after="0"/>
              <w:rPr>
                <w:sz w:val="20"/>
                <w:szCs w:val="20"/>
                <w:color w:val="auto"/>
              </w:rPr>
            </w:pPr>
            <w:r>
              <w:rPr>
                <w:rFonts w:ascii="Arial" w:cs="Arial" w:eastAsia="Arial" w:hAnsi="Arial"/>
                <w:sz w:val="18"/>
                <w:szCs w:val="18"/>
                <w:color w:val="auto"/>
                <w:w w:val="91"/>
              </w:rPr>
              <w:t>Date: May 7, 2014</w:t>
            </w: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vMerge w:val="continue"/>
          </w:tcPr>
          <w:p>
            <w:pPr>
              <w:spacing w:after="0"/>
              <w:rPr>
                <w:sz w:val="18"/>
                <w:szCs w:val="18"/>
                <w:color w:val="auto"/>
              </w:rPr>
            </w:pPr>
          </w:p>
        </w:tc>
        <w:tc>
          <w:tcPr>
            <w:tcW w:w="5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2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120" w:type="dxa"/>
            <w:vAlign w:val="bottom"/>
            <w:tcBorders>
              <w:bottom w:val="single" w:sz="8" w:color="010101"/>
            </w:tcBorders>
          </w:tcPr>
          <w:p>
            <w:pPr>
              <w:spacing w:after="0"/>
              <w:rPr>
                <w:sz w:val="11"/>
                <w:szCs w:val="11"/>
                <w:color w:val="auto"/>
              </w:rPr>
            </w:pPr>
          </w:p>
        </w:tc>
        <w:tc>
          <w:tcPr>
            <w:tcW w:w="5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Matson, Inc. (the “Company”) for the quarterly period ended March 31, 2014, as filed with the Securities and Exchange Commission on the date hereof (the “Report”), Matthew J. Cox, as President and Chief Executive Officer of the Company, and Joel M. Wine, as Senior Vice President and Chief Financial Officer of the Company, each hereby certifies, pursuant to 18 U.S.C. Section 1350, that to their knowledge:</w:t>
      </w:r>
    </w:p>
    <w:p>
      <w:pPr>
        <w:spacing w:after="0" w:line="18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Matthew J. Cox</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ind w:left="140"/>
              <w:spacing w:after="0"/>
              <w:rPr>
                <w:sz w:val="20"/>
                <w:szCs w:val="20"/>
                <w:color w:val="auto"/>
              </w:rPr>
            </w:pPr>
            <w:r>
              <w:rPr>
                <w:rFonts w:ascii="Arial" w:cs="Arial" w:eastAsia="Arial" w:hAnsi="Arial"/>
                <w:sz w:val="18"/>
                <w:szCs w:val="18"/>
                <w:color w:val="auto"/>
              </w:rPr>
              <w:t>May 7, 2014</w:t>
            </w:r>
          </w:p>
        </w:tc>
      </w:tr>
      <w:tr>
        <w:trPr>
          <w:trHeight w:val="648"/>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Joel M. Wine</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ind w:left="140"/>
              <w:spacing w:after="0" w:line="195" w:lineRule="exact"/>
              <w:rPr>
                <w:sz w:val="20"/>
                <w:szCs w:val="20"/>
                <w:color w:val="auto"/>
              </w:rPr>
            </w:pPr>
            <w:r>
              <w:rPr>
                <w:rFonts w:ascii="Arial" w:cs="Arial" w:eastAsia="Arial" w:hAnsi="Arial"/>
                <w:sz w:val="18"/>
                <w:szCs w:val="18"/>
                <w:color w:val="auto"/>
              </w:rPr>
              <w:t>Joel M. Wine</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ind w:left="140"/>
              <w:spacing w:after="0"/>
              <w:rPr>
                <w:sz w:val="20"/>
                <w:szCs w:val="20"/>
                <w:color w:val="auto"/>
              </w:rPr>
            </w:pPr>
            <w:r>
              <w:rPr>
                <w:rFonts w:ascii="Arial" w:cs="Arial" w:eastAsia="Arial" w:hAnsi="Arial"/>
                <w:sz w:val="18"/>
                <w:szCs w:val="18"/>
                <w:color w:val="auto"/>
              </w:rPr>
              <w:t>May 7, 2014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4"/>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1."/>
      <w:numFmt w:val="decimal"/>
      <w:start w:val="6"/>
    </w:lvl>
  </w:abstractNum>
  <w:abstractNum w:abstractNumId="7">
    <w:nsid w:val="DED7263"/>
    <w:multiLevelType w:val="hybridMultilevel"/>
    <w:lvl w:ilvl="0">
      <w:lvlJc w:val="left"/>
      <w:lvlText w:val="%1."/>
      <w:numFmt w:val="decimal"/>
      <w:start w:val="7"/>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5"/>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5"/>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2019-12-05T02:44:02Z</dcterms:created>
  <dcterms:modified xsi:type="dcterms:W3CDTF">2019-12-05T02:44:02Z</dcterms:modified>
</cp:coreProperties>
</file>