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01" w:lineRule="exact"/>
        <w:rPr>
          <w:sz w:val="24"/>
          <w:szCs w:val="24"/>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6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0140"/>
          </w:cols>
          <w:pgMar w:left="840" w:top="661" w:right="919" w:bottom="1440" w:gutter="0" w:footer="0" w:header="0"/>
        </w:sectPr>
      </w:pPr>
    </w:p>
    <w:p>
      <w:pPr>
        <w:spacing w:after="0" w:line="9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69" w:lineRule="exact"/>
        <w:rPr>
          <w:sz w:val="24"/>
          <w:szCs w:val="24"/>
          <w:color w:val="auto"/>
        </w:rPr>
      </w:pPr>
    </w:p>
    <w:p>
      <w:pPr>
        <w:sectPr>
          <w:pgSz w:w="11900" w:h="16838" w:orient="portrait"/>
          <w:cols w:equalWidth="0" w:num="2">
            <w:col w:w="5520" w:space="580"/>
            <w:col w:w="4040"/>
          </w:cols>
          <w:pgMar w:left="840" w:top="661" w:right="91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001-34187</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Matson, Inc.</w:t>
      </w: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0140"/>
          </w:cols>
          <w:pgMar w:left="840" w:top="661" w:right="919" w:bottom="1440" w:gutter="0" w:footer="0" w:header="0"/>
          <w:type w:val="continuous"/>
        </w:sectPr>
      </w:pPr>
    </w:p>
    <w:p>
      <w:pPr>
        <w:spacing w:after="0" w:line="11"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Hawaii</w:t>
      </w:r>
    </w:p>
    <w:p>
      <w:pPr>
        <w:ind w:left="1660"/>
        <w:spacing w:after="0" w:line="227" w:lineRule="auto"/>
        <w:rPr>
          <w:sz w:val="20"/>
          <w:szCs w:val="20"/>
          <w:color w:val="auto"/>
        </w:rPr>
      </w:pPr>
      <w:r>
        <w:rPr>
          <w:rFonts w:ascii="Times New Roman" w:cs="Times New Roman" w:eastAsia="Times New Roman" w:hAnsi="Times New Roman"/>
          <w:sz w:val="14"/>
          <w:szCs w:val="14"/>
          <w:color w:val="auto"/>
        </w:rPr>
        <w:t>(State or other jurisdiction of</w:t>
      </w:r>
    </w:p>
    <w:p>
      <w:pPr>
        <w:spacing w:after="0" w:line="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99-0032630</w:t>
      </w:r>
    </w:p>
    <w:p>
      <w:pPr>
        <w:jc w:val="center"/>
        <w:ind w:right="1900"/>
        <w:spacing w:after="0" w:line="227" w:lineRule="auto"/>
        <w:rPr>
          <w:sz w:val="20"/>
          <w:szCs w:val="20"/>
          <w:color w:val="auto"/>
        </w:rPr>
      </w:pPr>
      <w:r>
        <w:rPr>
          <w:rFonts w:ascii="Times New Roman" w:cs="Times New Roman" w:eastAsia="Times New Roman" w:hAnsi="Times New Roman"/>
          <w:sz w:val="14"/>
          <w:szCs w:val="14"/>
          <w:color w:val="auto"/>
        </w:rPr>
        <w:t>(I.R.S. Employer</w:t>
      </w:r>
    </w:p>
    <w:p>
      <w:pPr>
        <w:spacing w:after="0" w:line="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37" w:lineRule="exact"/>
        <w:rPr>
          <w:sz w:val="24"/>
          <w:szCs w:val="24"/>
          <w:color w:val="auto"/>
        </w:rPr>
      </w:pPr>
    </w:p>
    <w:p>
      <w:pPr>
        <w:sectPr>
          <w:pgSz w:w="11900" w:h="16838" w:orient="portrait"/>
          <w:cols w:equalWidth="0" w:num="2">
            <w:col w:w="6460" w:space="720"/>
            <w:col w:w="2960"/>
          </w:cols>
          <w:pgMar w:left="840" w:top="661" w:right="91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1411 Sand Island Parkway</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Honolulu, HI 96819</w:t>
      </w:r>
    </w:p>
    <w:p>
      <w:pPr>
        <w:jc w:val="center"/>
        <w:ind w:right="-9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(808) 848-1211</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82" w:lineRule="exact"/>
        <w:rPr>
          <w:sz w:val="24"/>
          <w:szCs w:val="24"/>
          <w:color w:val="auto"/>
        </w:rPr>
      </w:pPr>
    </w:p>
    <w:tbl>
      <w:tblPr>
        <w:tblLayout w:type="fixed"/>
        <w:tblInd w:w="820" w:type="dxa"/>
        <w:tblCellMar>
          <w:top w:w="0" w:type="dxa"/>
          <w:left w:w="0" w:type="dxa"/>
          <w:bottom w:w="0" w:type="dxa"/>
          <w:right w:w="0" w:type="dxa"/>
        </w:tblCellMar>
      </w:tblPr>
      <w:tr>
        <w:trPr>
          <w:trHeight w:val="162"/>
        </w:trPr>
        <w:tc>
          <w:tcPr>
            <w:tcW w:w="286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Trading Symbol(s)</w:t>
            </w:r>
          </w:p>
        </w:tc>
        <w:tc>
          <w:tcPr>
            <w:tcW w:w="330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286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Common Stock, without par value</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6"/>
              </w:rPr>
              <w:t>MATX</w:t>
            </w:r>
          </w:p>
        </w:tc>
        <w:tc>
          <w:tcPr>
            <w:tcW w:w="33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-215900</wp:posOffset>
            </wp:positionV>
            <wp:extent cx="649795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14630"/>
                    </a:xfrm>
                    <a:prstGeom prst="rect">
                      <a:avLst/>
                    </a:prstGeom>
                    <a:noFill/>
                  </pic:spPr>
                </pic:pic>
              </a:graphicData>
            </a:graphic>
          </wp:anchor>
        </w:drawing>
      </w:r>
    </w:p>
    <w:p>
      <w:pPr>
        <w:spacing w:after="0" w:line="3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93" w:lineRule="exact"/>
        <w:rPr>
          <w:sz w:val="24"/>
          <w:szCs w:val="24"/>
          <w:color w:val="auto"/>
        </w:rPr>
      </w:pPr>
    </w:p>
    <w:p>
      <w:pPr>
        <w:ind w:right="2360"/>
        <w:spacing w:after="0" w:line="24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1"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5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10" w:lineRule="exact"/>
        <w:rPr>
          <w:sz w:val="24"/>
          <w:szCs w:val="24"/>
          <w:color w:val="auto"/>
        </w:rPr>
      </w:pPr>
    </w:p>
    <w:p>
      <w:pPr>
        <w:ind w:left="214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23" w:lineRule="exact"/>
        <w:rPr>
          <w:sz w:val="24"/>
          <w:szCs w:val="24"/>
          <w:color w:val="auto"/>
        </w:rPr>
      </w:pPr>
    </w:p>
    <w:p>
      <w:pPr>
        <w:sectPr>
          <w:pgSz w:w="11900" w:h="16838" w:orient="portrait"/>
          <w:cols w:equalWidth="0" w:num="2">
            <w:col w:w="6400" w:space="720"/>
            <w:col w:w="3020"/>
          </w:cols>
          <w:pgMar w:left="840" w:top="661" w:right="919" w:bottom="1440" w:gutter="0" w:footer="0" w:header="0"/>
          <w:type w:val="continuous"/>
        </w:sectPr>
      </w:pPr>
    </w:p>
    <w:p>
      <w:pPr>
        <w:spacing w:after="0" w:line="19" w:lineRule="exact"/>
        <w:rPr>
          <w:sz w:val="24"/>
          <w:szCs w:val="24"/>
          <w:color w:val="auto"/>
        </w:rPr>
      </w:pPr>
    </w:p>
    <w:p>
      <w:pPr>
        <w:ind w:left="218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39" w:lineRule="exact"/>
        <w:rPr>
          <w:sz w:val="24"/>
          <w:szCs w:val="24"/>
          <w:color w:val="auto"/>
        </w:rPr>
      </w:pPr>
    </w:p>
    <w:p>
      <w:pPr>
        <w:sectPr>
          <w:pgSz w:w="11900" w:h="16838" w:orient="portrait"/>
          <w:cols w:equalWidth="0" w:num="2">
            <w:col w:w="6100" w:space="720"/>
            <w:col w:w="3320"/>
          </w:cols>
          <w:pgMar w:left="840" w:top="661" w:right="919" w:bottom="1440" w:gutter="0" w:footer="0" w:header="0"/>
          <w:type w:val="continuous"/>
        </w:sect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highlight w:val="black"/>
        </w:rPr>
        <w:t>☒</w:t>
      </w:r>
    </w:p>
    <w:p>
      <w:pPr>
        <w:spacing w:after="0" w:line="47"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left="2240" w:right="2180" w:hanging="225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highlight w:val="black"/>
        </w:rPr>
        <w:t>☒</w:t>
      </w:r>
      <w:r>
        <w:rPr>
          <w:rFonts w:ascii="Times New Roman" w:cs="Times New Roman" w:eastAsia="Times New Roman" w:hAnsi="Times New Roman"/>
          <w:sz w:val="14"/>
          <w:szCs w:val="14"/>
          <w:color w:val="auto"/>
        </w:rPr>
        <w:t xml:space="preserve"> Aggregate market value of Common Stock held by non-affiliates at June 30, 2023: </w:t>
      </w:r>
      <w:r>
        <w:rPr>
          <w:rFonts w:ascii="Times New Roman" w:cs="Times New Roman" w:eastAsia="Times New Roman" w:hAnsi="Times New Roman"/>
          <w:sz w:val="14"/>
          <w:szCs w:val="14"/>
          <w:b w:val="1"/>
          <w:bCs w:val="1"/>
          <w:color w:val="auto"/>
        </w:rPr>
        <w:t>$2,687,446,747</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Number of shares of Common Stock outstanding at February 16, 2024: </w:t>
      </w:r>
      <w:r>
        <w:rPr>
          <w:rFonts w:ascii="Times New Roman" w:cs="Times New Roman" w:eastAsia="Times New Roman" w:hAnsi="Times New Roman"/>
          <w:sz w:val="14"/>
          <w:szCs w:val="14"/>
          <w:b w:val="1"/>
          <w:bCs w:val="1"/>
          <w:color w:val="auto"/>
        </w:rPr>
        <w:t>34,495,712</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following document is incorporated by reference in Part III of the Annual Report on Form 10-K to the extent described therein: Proxy statement for the annual meeting of shareholders of Matson, Inc. to be held on April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598170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32385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83820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20" w:type="dxa"/>
            <w:vAlign w:val="bottom"/>
          </w:tcPr>
          <w:p>
            <w:pPr>
              <w:spacing w:after="0"/>
              <w:rPr>
                <w:sz w:val="24"/>
                <w:szCs w:val="24"/>
                <w:color w:val="auto"/>
              </w:rPr>
            </w:pPr>
          </w:p>
        </w:tc>
      </w:tr>
      <w:tr>
        <w:trPr>
          <w:trHeight w:val="412"/>
        </w:trPr>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gridSpan w:val="3"/>
          </w:tcPr>
          <w:p>
            <w:pPr>
              <w:spacing w:after="0"/>
              <w:rPr>
                <w:sz w:val="24"/>
                <w:szCs w:val="24"/>
                <w:color w:val="auto"/>
              </w:rPr>
            </w:pPr>
          </w:p>
        </w:tc>
        <w:tc>
          <w:tcPr>
            <w:tcW w:w="324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5"/>
          </w:tcPr>
          <w:p>
            <w:pPr>
              <w:ind w:left="40"/>
              <w:spacing w:after="0" w:line="196" w:lineRule="exact"/>
              <w:rPr>
                <w:sz w:val="20"/>
                <w:szCs w:val="20"/>
                <w:color w:val="auto"/>
              </w:rPr>
            </w:pPr>
            <w:r>
              <w:rPr>
                <w:rFonts w:ascii="Times New Roman" w:cs="Times New Roman" w:eastAsia="Times New Roman" w:hAnsi="Times New Roman"/>
                <w:sz w:val="18"/>
                <w:szCs w:val="18"/>
                <w:color w:val="0000EE"/>
              </w:rPr>
              <w:t>A. Company Overview</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B. Business Description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0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Ocean</w:t>
            </w:r>
            <w:r>
              <w:rPr>
                <w:rFonts w:ascii="Times New Roman" w:cs="Times New Roman" w:eastAsia="Times New Roman" w:hAnsi="Times New Roman"/>
                <w:sz w:val="18"/>
                <w:szCs w:val="18"/>
                <w:color w:val="0000EE"/>
              </w:rPr>
              <w:t xml:space="preserve"> Transportation Segment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Logistics</w:t>
            </w:r>
            <w:r>
              <w:rPr>
                <w:rFonts w:ascii="Times New Roman" w:cs="Times New Roman" w:eastAsia="Times New Roman" w:hAnsi="Times New Roman"/>
                <w:sz w:val="18"/>
                <w:szCs w:val="18"/>
                <w:color w:val="0000EE"/>
              </w:rPr>
              <w:t xml:space="preserve"> Segment</w:t>
            </w:r>
          </w:p>
        </w:tc>
        <w:tc>
          <w:tcPr>
            <w:tcW w:w="4260" w:type="dxa"/>
            <w:vAlign w:val="bottom"/>
            <w:gridSpan w:val="2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 Employees and Labor Relations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5"/>
          </w:tcPr>
          <w:p>
            <w:pPr>
              <w:ind w:left="40"/>
              <w:spacing w:after="0" w:line="196" w:lineRule="exact"/>
              <w:rPr>
                <w:sz w:val="20"/>
                <w:szCs w:val="20"/>
                <w:color w:val="auto"/>
              </w:rPr>
            </w:pPr>
            <w:r>
              <w:rPr>
                <w:rFonts w:ascii="Times New Roman" w:cs="Times New Roman" w:eastAsia="Times New Roman" w:hAnsi="Times New Roman"/>
                <w:sz w:val="18"/>
                <w:szCs w:val="18"/>
                <w:color w:val="0000EE"/>
              </w:rPr>
              <w:t>D. Available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80" w:type="dxa"/>
            <w:vAlign w:val="bottom"/>
            <w:tcBorders>
              <w:top w:val="single" w:sz="8" w:color="0000EE"/>
            </w:tcBorders>
            <w:gridSpan w:val="8"/>
          </w:tcPr>
          <w:p>
            <w:pPr>
              <w:spacing w:after="0"/>
              <w:rPr>
                <w:sz w:val="17"/>
                <w:szCs w:val="17"/>
                <w:color w:val="auto"/>
              </w:rPr>
            </w:pPr>
          </w:p>
        </w:tc>
        <w:tc>
          <w:tcPr>
            <w:tcW w:w="5440" w:type="dxa"/>
            <w:vAlign w:val="bottom"/>
            <w:gridSpan w:val="3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4980" w:type="dxa"/>
            <w:vAlign w:val="bottom"/>
            <w:gridSpan w:val="2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6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020" w:type="dxa"/>
            <w:vAlign w:val="bottom"/>
            <w:gridSpan w:val="3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16"/>
          </w:tcPr>
          <w:p>
            <w:pPr>
              <w:jc w:val="center"/>
              <w:ind w:right="3200"/>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82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4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w:t>
            </w:r>
          </w:p>
        </w:tc>
        <w:tc>
          <w:tcPr>
            <w:tcW w:w="82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of Equity Securities</w:t>
            </w:r>
          </w:p>
        </w:tc>
        <w:tc>
          <w:tcPr>
            <w:tcW w:w="5140" w:type="dxa"/>
            <w:vAlign w:val="bottom"/>
            <w:tcBorders>
              <w:top w:val="single" w:sz="8" w:color="0000EE"/>
            </w:tcBorders>
            <w:gridSpan w:val="33"/>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Removed and Reserved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6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68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260" w:type="dxa"/>
            <w:vAlign w:val="bottom"/>
            <w:gridSpan w:val="2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Conclusion Regarding Effectiveness of Disclosure Controls and Procedures</w:t>
            </w:r>
          </w:p>
        </w:tc>
        <w:tc>
          <w:tcPr>
            <w:tcW w:w="15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Internal Control over Financial Reporting</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04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1000" w:type="dxa"/>
            <w:vAlign w:val="bottom"/>
            <w:tcBorders>
              <w:top w:val="single" w:sz="8" w:color="0000EE"/>
            </w:tcBorders>
            <w:gridSpan w:val="3"/>
          </w:tcPr>
          <w:p>
            <w:pPr>
              <w:spacing w:after="0"/>
              <w:rPr>
                <w:sz w:val="24"/>
                <w:szCs w:val="24"/>
                <w:color w:val="auto"/>
              </w:rPr>
            </w:pPr>
          </w:p>
        </w:tc>
        <w:tc>
          <w:tcPr>
            <w:tcW w:w="214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18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4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5"/>
          </w:tcPr>
          <w:p>
            <w:pPr>
              <w:ind w:left="40"/>
              <w:spacing w:after="0" w:line="196" w:lineRule="exact"/>
              <w:rPr>
                <w:sz w:val="20"/>
                <w:szCs w:val="20"/>
                <w:color w:val="auto"/>
              </w:rPr>
            </w:pPr>
            <w:r>
              <w:rPr>
                <w:rFonts w:ascii="Times New Roman" w:cs="Times New Roman" w:eastAsia="Times New Roman" w:hAnsi="Times New Roman"/>
                <w:sz w:val="18"/>
                <w:szCs w:val="18"/>
                <w:color w:val="0000EE"/>
              </w:rPr>
              <w:t>A. Directors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B. Information About Our Executive Officers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 Corporate Governance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5"/>
          </w:tcPr>
          <w:p>
            <w:pPr>
              <w:ind w:left="40"/>
              <w:spacing w:after="0" w:line="196" w:lineRule="exact"/>
              <w:rPr>
                <w:sz w:val="20"/>
                <w:szCs w:val="20"/>
                <w:color w:val="auto"/>
              </w:rPr>
            </w:pPr>
            <w:r>
              <w:rPr>
                <w:rFonts w:ascii="Times New Roman" w:cs="Times New Roman" w:eastAsia="Times New Roman" w:hAnsi="Times New Roman"/>
                <w:sz w:val="18"/>
                <w:szCs w:val="18"/>
                <w:color w:val="0000EE"/>
              </w:rPr>
              <w:t>D. Code of Ethics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5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18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w:t>
            </w:r>
          </w:p>
        </w:tc>
        <w:tc>
          <w:tcPr>
            <w:tcW w:w="820" w:type="dxa"/>
            <w:vAlign w:val="bottom"/>
          </w:tcPr>
          <w:p>
            <w:pPr>
              <w:spacing w:after="0"/>
              <w:rPr>
                <w:sz w:val="17"/>
                <w:szCs w:val="17"/>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Matters</w:t>
            </w:r>
          </w:p>
        </w:tc>
        <w:tc>
          <w:tcPr>
            <w:tcW w:w="4300" w:type="dxa"/>
            <w:vAlign w:val="bottom"/>
            <w:tcBorders>
              <w:top w:val="single" w:sz="8" w:color="0000EE"/>
            </w:tcBorders>
            <w:gridSpan w:val="29"/>
          </w:tcPr>
          <w:p>
            <w:pPr>
              <w:spacing w:after="0"/>
              <w:rPr>
                <w:sz w:val="17"/>
                <w:szCs w:val="17"/>
                <w:color w:val="auto"/>
              </w:rPr>
            </w:pPr>
          </w:p>
        </w:tc>
        <w:tc>
          <w:tcPr>
            <w:tcW w:w="126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18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5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316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18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384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5"/>
          </w:tcPr>
          <w:p>
            <w:pPr>
              <w:ind w:left="40"/>
              <w:spacing w:after="0" w:line="196" w:lineRule="exact"/>
              <w:rPr>
                <w:sz w:val="20"/>
                <w:szCs w:val="20"/>
                <w:color w:val="auto"/>
              </w:rPr>
            </w:pPr>
            <w:r>
              <w:rPr>
                <w:rFonts w:ascii="Times New Roman" w:cs="Times New Roman" w:eastAsia="Times New Roman" w:hAnsi="Times New Roman"/>
                <w:sz w:val="18"/>
                <w:szCs w:val="18"/>
                <w:color w:val="0000EE"/>
              </w:rPr>
              <w:t>A. Financial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34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B. Financial Statement Schedules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11"/>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34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 Exhibits Required by Item 601 of Regulation 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412"/>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16.</w:t>
            </w:r>
          </w:p>
        </w:tc>
        <w:tc>
          <w:tcPr>
            <w:tcW w:w="18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2040" w:type="dxa"/>
            <w:vAlign w:val="bottom"/>
            <w:tcBorders>
              <w:top w:val="single" w:sz="8" w:color="0000EE"/>
            </w:tcBorders>
            <w:gridSpan w:val="18"/>
          </w:tcPr>
          <w:p>
            <w:pPr>
              <w:spacing w:after="0"/>
              <w:rPr>
                <w:sz w:val="24"/>
                <w:szCs w:val="24"/>
                <w:color w:val="auto"/>
              </w:rPr>
            </w:pPr>
          </w:p>
        </w:tc>
        <w:tc>
          <w:tcPr>
            <w:tcW w:w="344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2"/>
        </w:trPr>
        <w:tc>
          <w:tcPr>
            <w:tcW w:w="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for the Fiscal Year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Ended December 31, 2023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74"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on the Hawaiian islands of Oahu, Hawaii, Maui and Kauai, and for MatNav and other ocean carriers in Alaska.</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w:t>
      </w:r>
    </w:p>
    <w:p>
      <w:pPr>
        <w:spacing w:after="0" w:line="185"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Mission and Vision: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mission is to move freight better than anyone. Our vision is to create value for our shareholders by:</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Being our customers’ first choice,</w:t>
      </w:r>
    </w:p>
    <w:p>
      <w:pPr>
        <w:spacing w:after="0" w:line="47" w:lineRule="exact"/>
        <w:rPr>
          <w:sz w:val="20"/>
          <w:szCs w:val="20"/>
          <w:color w:val="auto"/>
        </w:rPr>
      </w:pPr>
    </w:p>
    <w:p>
      <w:pPr>
        <w:ind w:left="380" w:right="3459"/>
        <w:spacing w:after="0" w:line="250" w:lineRule="auto"/>
        <w:rPr>
          <w:sz w:val="20"/>
          <w:szCs w:val="20"/>
          <w:color w:val="auto"/>
        </w:rPr>
      </w:pPr>
      <w:r>
        <w:rPr>
          <w:rFonts w:ascii="Times New Roman" w:cs="Times New Roman" w:eastAsia="Times New Roman" w:hAnsi="Times New Roman"/>
          <w:sz w:val="18"/>
          <w:szCs w:val="18"/>
          <w:color w:val="auto"/>
        </w:rPr>
        <w:t>Leveraging our core strengths to drive growth and increase profitability, Improving the communities in which we work and live,</w:t>
      </w:r>
    </w:p>
    <w:p>
      <w:pPr>
        <w:ind w:left="380" w:right="4979"/>
        <w:spacing w:after="0" w:line="258" w:lineRule="auto"/>
        <w:rPr>
          <w:sz w:val="20"/>
          <w:szCs w:val="20"/>
          <w:color w:val="auto"/>
        </w:rPr>
      </w:pPr>
      <w:r>
        <w:rPr>
          <w:rFonts w:ascii="Times New Roman" w:cs="Times New Roman" w:eastAsia="Times New Roman" w:hAnsi="Times New Roman"/>
          <w:sz w:val="18"/>
          <w:szCs w:val="18"/>
          <w:color w:val="auto"/>
        </w:rPr>
        <w:t>Being an environmental leader in our industry, and Being a great place to work.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DESCRIPTION</w:t>
      </w:r>
    </w:p>
    <w:p>
      <w:pPr>
        <w:spacing w:after="0" w:line="225" w:lineRule="exact"/>
        <w:rPr>
          <w:sz w:val="20"/>
          <w:szCs w:val="20"/>
          <w:color w:val="auto"/>
        </w:rPr>
      </w:pPr>
    </w:p>
    <w:p>
      <w:pPr>
        <w:ind w:left="1340" w:hanging="642"/>
        <w:spacing w:after="0"/>
        <w:tabs>
          <w:tab w:leader="none" w:pos="1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OCEAN TRANSPORTATION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Services: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Matson’s Ocean Transportation segment provides the following services:</w:t>
      </w:r>
    </w:p>
    <w:p>
      <w:pPr>
        <w:spacing w:after="0" w:line="22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Hawaii Service: </w:t>
      </w:r>
      <w:r>
        <w:rPr>
          <w:rFonts w:ascii="Times New Roman" w:cs="Times New Roman" w:eastAsia="Times New Roman" w:hAnsi="Times New Roman"/>
          <w:sz w:val="18"/>
          <w:szCs w:val="18"/>
          <w:color w:val="auto"/>
        </w:rPr>
        <w:t>Matson’s Hawaii service provides ocean carriage (lift-on/lift-off, roll-on/roll-off and conventional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between the ports of Long Beach and Oakland, California; Tacoma, Washington; and Honolulu, Hawaii. Matson also operates a network of inter-island barges that provide connecting services from its hub at Honolulu to other major Hawaii ports on the islands of Hawaii, Maui and Kauai. Matson is the largest carrier of ocean cargo between the U.S. West Coast and Hawaii.</w:t>
      </w:r>
    </w:p>
    <w:p>
      <w:pPr>
        <w:spacing w:after="0" w:line="185"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Westbound cargo carried by Matson to Hawaii includes dry containers of mixed commodities, refrigerated commodities, food, beverages, retail merchandise, building materials, automobiles and household goods. Matson’s eastbound cargo from Hawaii includes automobiles, household goods, dry containers of mixed commodities and livestock. The majority of Matson’s Hawaii service revenue is derived from the westbound carriage of containerized freight.</w:t>
      </w:r>
    </w:p>
    <w:p>
      <w:pPr>
        <w:spacing w:after="0" w:line="17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China Service: </w:t>
      </w:r>
      <w:r>
        <w:rPr>
          <w:rFonts w:ascii="Times New Roman" w:cs="Times New Roman" w:eastAsia="Times New Roman" w:hAnsi="Times New Roman"/>
          <w:sz w:val="18"/>
          <w:szCs w:val="18"/>
          <w:color w:val="auto"/>
        </w:rPr>
        <w:t>Matson’s expedited China-Long Beach Express (“CLX”) service is part of an integrated service that carries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cargo from Long Beach, California to Honolulu, Hawaii, to Guam, and then to Okinawa, Japan. The vessels continue to Ningbo and Shanghai, China, where they are loaded with cargo to be discharged primarily in Long Beach, California at a Matson-exclusive terminal operated by SSAT. These vessels also carry cargo destined for Hawaii which originated in Guam, Micronesia, Okinawa, China and other Asian countries. Matson provides container transshipment services from many locations in Asia including Southern China, Hong Kong, Vietnam and Xiamen, China to the United States via Shanghai.</w:t>
      </w:r>
    </w:p>
    <w:p>
      <w:pPr>
        <w:spacing w:after="0" w:line="18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Matson operates a second expedited service to the U.S. West Coast with the China-Long Beach Express Plus (“CLX+”) service. The CLX+ service primarily uses chartered vessels and operates weekly from Ningbo and Shanghai, China where they are loaded with cargo to be discharged primarily at Long Beach, California, calling at an SSAT-operated terminal. On February 18, 2024, the Company renamed the CLX+ service to Matson Asia Express (“MAX”).</w:t>
      </w:r>
    </w:p>
    <w:p>
      <w:pPr>
        <w:spacing w:after="0" w:line="180"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Eastbound cargo from China to Long Beach, California consists mainly of garments, e-commerce related goods, consumer electronics, footwear and other merchandise.</w:t>
      </w:r>
    </w:p>
    <w:p>
      <w:pPr>
        <w:spacing w:after="0" w:line="16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Guam Service: </w:t>
      </w:r>
      <w:r>
        <w:rPr>
          <w:rFonts w:ascii="Times New Roman" w:cs="Times New Roman" w:eastAsia="Times New Roman" w:hAnsi="Times New Roman"/>
          <w:sz w:val="18"/>
          <w:szCs w:val="18"/>
          <w:color w:val="auto"/>
        </w:rPr>
        <w:t>Matson’s Guam service provides weekly carriage between the U.S. West Coast and Guam, as part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CLX service. Matson also provides weekly connecting service from Guam to the Commonwealth of the Northern Mariana Islands. Cargo destined to Guam mainly includes dry containers of mixed commodities, refrigerated containers of food, beverages, retail merchandise, building materials, and household goods.</w:t>
      </w:r>
    </w:p>
    <w:p>
      <w:pPr>
        <w:spacing w:after="0" w:line="180" w:lineRule="exact"/>
        <w:rPr>
          <w:sz w:val="20"/>
          <w:szCs w:val="20"/>
          <w:color w:val="auto"/>
        </w:rPr>
      </w:pPr>
    </w:p>
    <w:p>
      <w:pPr>
        <w:ind w:left="60" w:right="4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Japan Service: </w:t>
      </w:r>
      <w:r>
        <w:rPr>
          <w:rFonts w:ascii="Times New Roman" w:cs="Times New Roman" w:eastAsia="Times New Roman" w:hAnsi="Times New Roman"/>
          <w:sz w:val="18"/>
          <w:szCs w:val="18"/>
          <w:color w:val="auto"/>
        </w:rPr>
        <w:t>Matson’s Japan service provides weekly carriage between the U.S. West Coast and the port of Naha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Okinawa, Japan, as part of its CLX service. This service mainly carries general sustenance cargo in both dry and refrigerated containers and household goods supporting the U.S. military.</w:t>
      </w:r>
    </w:p>
    <w:p>
      <w:pPr>
        <w:spacing w:after="0" w:line="17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Micronesia Service: </w:t>
      </w:r>
      <w:r>
        <w:rPr>
          <w:rFonts w:ascii="Times New Roman" w:cs="Times New Roman" w:eastAsia="Times New Roman" w:hAnsi="Times New Roman"/>
          <w:sz w:val="18"/>
          <w:szCs w:val="18"/>
          <w:color w:val="auto"/>
        </w:rPr>
        <w:t>Matson’s Micronesia service provides carriage between the U.S. West Coast and the islands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Kwajalein, Ebeye and Majuro in the Republic of the Marshall Islands, the islands of Yap, Pohnpei, Chuuk and Kosrae in the Federated States of Micronesia, and the Republic of Palau. Cargo destined for these locations is transshipped through Guam and consists mainly of general sustenance cargo, building materials, hardware and retail merchandise.</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Alaska Service: </w:t>
      </w:r>
      <w:r>
        <w:rPr>
          <w:rFonts w:ascii="Times New Roman" w:cs="Times New Roman" w:eastAsia="Times New Roman" w:hAnsi="Times New Roman"/>
          <w:sz w:val="18"/>
          <w:szCs w:val="18"/>
          <w:color w:val="auto"/>
        </w:rPr>
        <w:t>Matson’s Alaska service provides ocean carriage between the port of Tacoma, Washington, and the 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Anchorage, Kodiak and Dutch Harbor, Alaska. Matson also provides a barge service between Dutch Harbor and Akutan in Alaska, and transportation services to other locations in Alaska including the Kenai Peninsula, Fairbanks and the North Slope.</w:t>
      </w:r>
    </w:p>
    <w:p>
      <w:pPr>
        <w:spacing w:after="0" w:line="182"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Northbound cargo to Alaska consists mainly of dry containers of mixed commodities, refrigerated commodities, food, beverages, retail merchandise, household goods and automobiles. Southbound cargo from Alaska primarily consists of seafood, household goods and automobiles.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Matson’s Alaska-Asia Express (“AAX”) service provides carriage of seafood primarily from Kodiak and Dutch Harbor, Alaska to many locations in Asia via its transshipment ports of Ningbo and Shanghai, China, and Busan, South Korea. The AAX service utilizes CLX+ vessels on their westbound return voyages to China.</w:t>
      </w:r>
    </w:p>
    <w:p>
      <w:pPr>
        <w:spacing w:after="0" w:line="174"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South Pacific Service: </w:t>
      </w:r>
      <w:r>
        <w:rPr>
          <w:rFonts w:ascii="Times New Roman" w:cs="Times New Roman" w:eastAsia="Times New Roman" w:hAnsi="Times New Roman"/>
          <w:sz w:val="18"/>
          <w:szCs w:val="18"/>
          <w:color w:val="auto"/>
        </w:rPr>
        <w:t>Matson’s New Zealand Express (“NZX”) service provides carriage of general sustenance cargo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Auckland, New Zealand and select islands in the South Pacific, including Fiji (Suva and Lautoka), Samoa (Apia), American Samoa (Pago Pago), the Cook Islands (Rarotonga and Aitutaki), Tonga (Nukualofa and Vava’u), and Niue. Additionally, Matson provides slot charter arrangements for the transportation of cargo from major ports on the east coast of Australia to ports in the South Pacific islands. The NZX service also distributes and sells domestic bulk fuel to a variety of these islands.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Terminal and Other Related Services:</w:t>
      </w:r>
    </w:p>
    <w:p>
      <w:pPr>
        <w:spacing w:after="0" w:line="22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Matson provides stevedoring, refrigerated cargo services, inland transportation, container equipment maintenance and other terminal services (collectively, “terminal services”) at terminals located on the Hawaiian islands of Oahu, Hawaii, Maui and Kauai; and in the Alaska terminal locations of Anchorage, Kodiak and Dutch Harbor.</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SSAT currently provides terminal and stevedoring services to various carriers at eight terminal facilities on the U.S. West Coast, including three facilities dedicated for MatNav’s use, in Long Beach and Oakland, California and in Tacoma, Washington.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utilizes the services of other third-party terminal operators at all of the other ports where its vessels are served.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Vessel Management Services:</w:t>
      </w:r>
    </w:p>
    <w:p>
      <w:pPr>
        <w:spacing w:after="0" w:line="227"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Matson contracts with the U.S. Department of Transportation to provide vessel management services to manage and maintain three Ready Reserve Force vessels on behalf of the U.S. Department of Transportation Maritime Administration (“MARAD”).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Vessel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Vessels:</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Matson’s fleet includes both owned and chartered vessels. Matson’s owned vessels represent an investment of approximately $2.3 billion. The majority of Matson’s owned vessels are U.S. flagged and Jones Act qualified vessels, and operate in Matson’s Hawaii, China, Guam, Japan, Micronesia and Alaska services. Details of Matson’s active and reserve vessels as of December 31, 2023 are as follows: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Borders>
              <w:bottom w:val="single" w:sz="8" w:color="auto"/>
            </w:tcBorders>
            <w:gridSpan w:val="5"/>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Usable Cargo Capacity</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bottom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Containers</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Vehicles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Design</w:t>
            </w:r>
          </w:p>
        </w:tc>
        <w:tc>
          <w:tcPr>
            <w:tcW w:w="9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Charter</w:t>
            </w:r>
          </w:p>
        </w:tc>
        <w:tc>
          <w:tcPr>
            <w:tcW w:w="0" w:type="dxa"/>
            <w:vAlign w:val="bottom"/>
          </w:tcPr>
          <w:p>
            <w:pPr>
              <w:spacing w:after="0"/>
              <w:rPr>
                <w:sz w:val="1"/>
                <w:szCs w:val="1"/>
                <w:color w:val="auto"/>
              </w:rPr>
            </w:pPr>
          </w:p>
        </w:tc>
      </w:tr>
      <w:tr>
        <w:trPr>
          <w:trHeight w:val="117"/>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Vessels</w:t>
            </w:r>
          </w:p>
        </w:tc>
        <w:tc>
          <w:tcPr>
            <w:tcW w:w="160" w:type="dxa"/>
            <w:vAlign w:val="bottom"/>
          </w:tcPr>
          <w:p>
            <w:pPr>
              <w:spacing w:after="0"/>
              <w:rPr>
                <w:sz w:val="10"/>
                <w:szCs w:val="10"/>
                <w:color w:val="auto"/>
              </w:rPr>
            </w:pPr>
          </w:p>
        </w:tc>
        <w:tc>
          <w:tcPr>
            <w:tcW w:w="3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160" w:type="dxa"/>
            <w:vAlign w:val="bottom"/>
          </w:tcPr>
          <w:p>
            <w:pPr>
              <w:spacing w:after="0"/>
              <w:rPr>
                <w:sz w:val="10"/>
                <w:szCs w:val="10"/>
                <w:color w:val="auto"/>
              </w:rPr>
            </w:pPr>
          </w:p>
        </w:tc>
        <w:tc>
          <w:tcPr>
            <w:tcW w:w="5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Official</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TEUs (1)</w:t>
            </w:r>
          </w:p>
        </w:tc>
        <w:tc>
          <w:tcPr>
            <w:tcW w:w="560" w:type="dxa"/>
            <w:vAlign w:val="bottom"/>
            <w:gridSpan w:val="2"/>
          </w:tcPr>
          <w:p>
            <w:pPr>
              <w:jc w:val="center"/>
              <w:ind w:left="68"/>
              <w:spacing w:after="0" w:line="118" w:lineRule="exact"/>
              <w:rPr>
                <w:sz w:val="20"/>
                <w:szCs w:val="20"/>
                <w:color w:val="auto"/>
              </w:rPr>
            </w:pPr>
            <w:r>
              <w:rPr>
                <w:rFonts w:ascii="Times New Roman" w:cs="Times New Roman" w:eastAsia="Times New Roman" w:hAnsi="Times New Roman"/>
                <w:sz w:val="13"/>
                <w:szCs w:val="13"/>
                <w:b w:val="1"/>
                <w:bCs w:val="1"/>
                <w:color w:val="auto"/>
              </w:rPr>
              <w:t>Reefer</w:t>
            </w:r>
          </w:p>
        </w:tc>
        <w:tc>
          <w:tcPr>
            <w:tcW w:w="160" w:type="dxa"/>
            <w:vAlign w:val="bottom"/>
          </w:tcPr>
          <w:p>
            <w:pPr>
              <w:spacing w:after="0"/>
              <w:rPr>
                <w:sz w:val="10"/>
                <w:szCs w:val="10"/>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Autos</w:t>
            </w:r>
          </w:p>
        </w:tc>
        <w:tc>
          <w:tcPr>
            <w:tcW w:w="16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160" w:type="dxa"/>
            <w:vAlign w:val="bottom"/>
          </w:tcPr>
          <w:p>
            <w:pPr>
              <w:spacing w:after="0"/>
              <w:rPr>
                <w:sz w:val="10"/>
                <w:szCs w:val="10"/>
                <w:color w:val="auto"/>
              </w:rPr>
            </w:pPr>
          </w:p>
        </w:tc>
        <w:tc>
          <w:tcPr>
            <w:tcW w:w="8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Speed</w:t>
            </w:r>
          </w:p>
        </w:tc>
        <w:tc>
          <w:tcPr>
            <w:tcW w:w="9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Deadweight</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3"/>
        </w:trPr>
        <w:tc>
          <w:tcPr>
            <w:tcW w:w="2240" w:type="dxa"/>
            <w:vAlign w:val="bottom"/>
            <w:gridSpan w:val="2"/>
            <w:vMerge w:val="continue"/>
          </w:tcPr>
          <w:p>
            <w:pPr>
              <w:spacing w:after="0"/>
              <w:rPr>
                <w:sz w:val="15"/>
                <w:szCs w:val="15"/>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Slots</w:t>
            </w: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(Knots) (2)</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(Long Tons)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Vessels-Owned:</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DANIEL K. INOUYE (4)(8)</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1274136</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854’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KAIMANA HILA (4)</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1274135</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3,220</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854’ 0”</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MANOA (4)(7)</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1982</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651627</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860’ 2”</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MAHIMAHI (4)(7)</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1982</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653424</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860’ 2”</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LURLINE (4)</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1274143</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869’ 5”</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MATSONIA (4)</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2020</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1274123</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869’ 5”</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MANULANI (4)(7)</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2005</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7"/>
              </w:rPr>
              <w:t>1168529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712’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MAUNAWILI (4)(7)</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7"/>
              </w:rPr>
              <w:t>1153166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711’ 9”</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MANUKAI (4)(7)</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2003</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7"/>
              </w:rPr>
              <w:t>1141163</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711’ 9”</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R.J. PFEIFFER (4)(7)</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1992</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979814</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2,245</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713’ 6”</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MOKIHANA (4)</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1983</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655397</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860’ 2”</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MAUNALEI (4)(7)</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2006</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7"/>
              </w:rPr>
              <w:t>1181627</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1,992</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681’ 1”</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KODIAK (4)(7)</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1987</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910308</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710’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ANCHORAGE (4)(7)</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1987</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910306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710’ 0”</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TACOMA (4)(7)</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1987</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910307</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710’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KAMOKUIKI (5)</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2000</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9232979</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433’ 9”</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OLOMANA (6)</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9184225</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388’ 7”</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IMUA (6)</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9184237</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90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388’ 6”</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LILOA II (6)</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2006</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9184249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90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388’ 6”</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PAPA MAU (6)</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1999</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9141704</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60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381’ 5”</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Vessels-Chartered: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WAIKIKI (6)</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9349801</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4,946</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902’ 0”</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September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LANAI (6)</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2007</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9334143</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855’ 2”</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MAUI (6)</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2007</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9340764</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854’ 8”</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OAHU (6)</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9352406</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4,245</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853’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October 2024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KAUAI (6)</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9353278</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4,218</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881’ 11”</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MATSON MOLOKAI (6)</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2007</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9338084</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728’ 10”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2025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Barges-Owned: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MAUNA LOA (4)</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2013</w:t>
            </w:r>
          </w:p>
        </w:tc>
        <w:tc>
          <w:tcPr>
            <w:tcW w:w="6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1247426</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78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362’ 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HALEAKALA (4)</w:t>
            </w:r>
          </w:p>
        </w:tc>
        <w:tc>
          <w:tcPr>
            <w:tcW w:w="4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6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1324310</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72</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362’ 6”</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Barges-Chartered:</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ILIULIUK BAY (4)</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2013</w:t>
            </w:r>
          </w:p>
        </w:tc>
        <w:tc>
          <w:tcPr>
            <w:tcW w:w="6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1249384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Pr>
          <w:p>
            <w:pPr>
              <w:spacing w:after="0"/>
              <w:rPr>
                <w:sz w:val="16"/>
                <w:szCs w:val="16"/>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 0”</w:t>
            </w:r>
          </w:p>
        </w:tc>
        <w:tc>
          <w:tcPr>
            <w:tcW w:w="160" w:type="dxa"/>
            <w:vAlign w:val="bottom"/>
          </w:tcPr>
          <w:p>
            <w:pPr>
              <w:spacing w:after="0"/>
              <w:rPr>
                <w:sz w:val="16"/>
                <w:szCs w:val="16"/>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43180</wp:posOffset>
            </wp:positionV>
            <wp:extent cx="14141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34"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Twenty-foot Equivalent Units (“TEU”) is a standard measure of cargo volume correlated to a standard 20-foot dry cargo container.</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operating speed of the vessel may vary from the Vessel Design Speed.</w:t>
      </w:r>
    </w:p>
    <w:p>
      <w:pPr>
        <w:ind w:left="380" w:right="239"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Charter expiration date represents the approximate earliest month the vessel can be returned to its owner. Some vessel charter agreements include options for the Company to further extend the charter period.</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flagged and Jones Act qualified vessel or barge.</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flagged vessel.</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Foreign-flagged vessel.</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installed with exhaust gas cleaning systems (commonly referred to as “scrubbers”).</w:t>
      </w:r>
    </w:p>
    <w:p>
      <w:pPr>
        <w:ind w:left="380" w:hanging="330"/>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can operate on liquified natural gas (“LNG”), conventional or alternative fuels.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Fleet Renewal Program:</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is constructing three new vessels with the following specifications and expected delivery dates: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Usable Cargo Capacity</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Containers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Vessel</w:t>
            </w:r>
          </w:p>
        </w:tc>
        <w:tc>
          <w:tcPr>
            <w:tcW w:w="10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Type of</w:t>
            </w:r>
          </w:p>
        </w:tc>
        <w:tc>
          <w:tcPr>
            <w:tcW w:w="12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Expected</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TEUs</w:t>
            </w: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Reefer</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8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Speed</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Deadweight</w:t>
            </w:r>
          </w:p>
        </w:tc>
        <w:tc>
          <w:tcPr>
            <w:tcW w:w="0" w:type="dxa"/>
            <w:vAlign w:val="bottom"/>
          </w:tcPr>
          <w:p>
            <w:pPr>
              <w:spacing w:after="0"/>
              <w:rPr>
                <w:sz w:val="1"/>
                <w:szCs w:val="1"/>
                <w:color w:val="auto"/>
              </w:rPr>
            </w:pPr>
          </w:p>
        </w:tc>
      </w:tr>
      <w:tr>
        <w:trPr>
          <w:trHeight w:val="173"/>
        </w:trPr>
        <w:tc>
          <w:tcPr>
            <w:tcW w:w="2500" w:type="dxa"/>
            <w:vAlign w:val="bottom"/>
            <w:gridSpan w:val="2"/>
            <w:vMerge w:val="continue"/>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Delivery Date</w:t>
            </w:r>
          </w:p>
        </w:tc>
        <w:tc>
          <w:tcPr>
            <w:tcW w:w="820" w:type="dxa"/>
            <w:vAlign w:val="bottom"/>
            <w:gridSpan w:val="2"/>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Slots</w:t>
            </w:r>
          </w:p>
        </w:tc>
        <w:tc>
          <w:tcPr>
            <w:tcW w:w="800" w:type="dxa"/>
            <w:vAlign w:val="bottom"/>
            <w:gridSpan w:val="2"/>
            <w:vMerge w:val="continue"/>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(Knots)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 Tons)</w:t>
            </w:r>
          </w:p>
        </w:tc>
        <w:tc>
          <w:tcPr>
            <w:tcW w:w="0" w:type="dxa"/>
            <w:vAlign w:val="bottom"/>
          </w:tcPr>
          <w:p>
            <w:pPr>
              <w:spacing w:after="0"/>
              <w:rPr>
                <w:sz w:val="1"/>
                <w:szCs w:val="1"/>
                <w:color w:val="auto"/>
              </w:rPr>
            </w:pPr>
          </w:p>
        </w:tc>
      </w:tr>
      <w:tr>
        <w:trPr>
          <w:trHeight w:val="196"/>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Aloha Class</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Containership</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Q4 2026</w:t>
            </w: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3,620</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853’ 2”</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23.5</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r>
        <w:trPr>
          <w:trHeight w:val="20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Aloha Class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Containership</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Q2 2027</w:t>
            </w: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3,620</w:t>
            </w:r>
          </w:p>
        </w:tc>
        <w:tc>
          <w:tcPr>
            <w:tcW w:w="2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853’ 2”</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23.5</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Aloha Class</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Containership</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Q4 2027</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3,620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853’ 2”</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Matson expects to deploy the three new vessels in the CLX service and redeploy three existing vessels into the Alaska service. The new vessels will have dual-fuel engines and be equipped with tanks, piping and cryogenic equipment designed to operate on LNG, conventional and alternative fuels. The new vessels are also being designed with state-of-the-art green technology features and fuel-efficient hulls. Each new vessel is expected to provide approximately 500 containers of additional capacity per voyage in the CLX service.</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contract cost of the new vessel program is approximately $1.0 billion in total, and milestone payments are expected to be financed with cash currently on deposit in the Company’s Capital Construction Fund, cash and cash equivalents on the Company’s Consolidated Balance Sheets and through cash flows generated from future operations, borrowings available under the Company’s unsecured revolving credit facility or additional debt financings. Actual and future vessel construction progress milestone payments based on signed agreements and change orders, excluding vessel steel price adjustments, owners’ items and capitalized interest, are expected to be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Future Milestone Payments</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Vessel Construction Obligations (in millions)</w:t>
            </w:r>
          </w:p>
        </w:tc>
        <w:tc>
          <w:tcPr>
            <w:tcW w:w="140" w:type="dxa"/>
            <w:vAlign w:val="bottom"/>
            <w:vMerge w:val="restart"/>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5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40" w:type="dxa"/>
            <w:vAlign w:val="bottom"/>
            <w:vMerge w:val="restart"/>
          </w:tcPr>
          <w:p>
            <w:pPr>
              <w:spacing w:after="0"/>
              <w:rPr>
                <w:sz w:val="12"/>
                <w:szCs w:val="12"/>
                <w:color w:val="auto"/>
              </w:rPr>
            </w:pPr>
          </w:p>
        </w:tc>
        <w:tc>
          <w:tcPr>
            <w:tcW w:w="6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Aloha Class Containerships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$ 71.0</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$ 367.1</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$ 323.0</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$ 132.0</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$ 6.0</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Matson is also installing tanks, piping and cryogenic equipment on existing Aloha Class vessels so that they can operate on LNG, conventional and alternative fuels. The LNG installation project on </w:t>
      </w:r>
      <w:r>
        <w:rPr>
          <w:rFonts w:ascii="Times New Roman" w:cs="Times New Roman" w:eastAsia="Times New Roman" w:hAnsi="Times New Roman"/>
          <w:sz w:val="18"/>
          <w:szCs w:val="18"/>
          <w:i w:val="1"/>
          <w:iCs w:val="1"/>
          <w:color w:val="auto"/>
        </w:rPr>
        <w:t>Daniel K. Inouye</w:t>
      </w:r>
      <w:r>
        <w:rPr>
          <w:rFonts w:ascii="Times New Roman" w:cs="Times New Roman" w:eastAsia="Times New Roman" w:hAnsi="Times New Roman"/>
          <w:sz w:val="18"/>
          <w:szCs w:val="18"/>
          <w:color w:val="auto"/>
        </w:rPr>
        <w:t xml:space="preserve"> was completed in the third quarter of 2023 at a total cost of approximately $47 million. LNG installation work on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xml:space="preserve"> is currently scheduled to begin during the second quarter of 2024, and the total cost is expected to be approximately $47 million. Additionally, in the third quarter of 2023, the Company commenced the reengining of </w:t>
      </w:r>
      <w:r>
        <w:rPr>
          <w:rFonts w:ascii="Times New Roman" w:cs="Times New Roman" w:eastAsia="Times New Roman" w:hAnsi="Times New Roman"/>
          <w:sz w:val="18"/>
          <w:szCs w:val="18"/>
          <w:i w:val="1"/>
          <w:iCs w:val="1"/>
          <w:color w:val="auto"/>
        </w:rPr>
        <w:t>Manukai</w:t>
      </w:r>
      <w:r>
        <w:rPr>
          <w:rFonts w:ascii="Times New Roman" w:cs="Times New Roman" w:eastAsia="Times New Roman" w:hAnsi="Times New Roman"/>
          <w:sz w:val="18"/>
          <w:szCs w:val="18"/>
          <w:color w:val="auto"/>
        </w:rPr>
        <w:t xml:space="preserve"> to operate on LNG, conventional and alternative fuels and the total cost is expected to be approximately $72 million.</w:t>
      </w:r>
    </w:p>
    <w:p>
      <w:pPr>
        <w:spacing w:after="0" w:line="18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three new Aloha Class vessels and LNG installation projects are important steps towards achieving Matson’s medium-term greenhouse gas (“GHG”) emissions goal which is to reduce Scope 1 GHG emissions from its owned fleet by 40% by 2030, using 2016 as a baseline year. Matson has also set a long-term goal to achieve net zero Scope 1 GHG emissions from its owned fleet by 2050. For more information on Matson’s environmental stewardship initiatives, including GHG reduction goals, see Matson’s Sustainability Report and other information available at https://www.matson.com/sustainability.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Vessel Emission Regulations:</w:t>
      </w:r>
    </w:p>
    <w:p>
      <w:pPr>
        <w:spacing w:after="0" w:line="22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Being a leader in environmental stewardship is one of Matson’s core values. Matson’s vessels transit through some of the most environmentally sensitive areas in the United States including the Hawaiian Islands and the coasts of California, Oregon, Washington and Alaska. In particular, Matson is focused on reducing transportation emissions, including carbon dioxide, methane, nitrous oxide, particulate matter and sulfur dioxide through improvements in vessel fuel consumption, choice of fuel types and the development of more fuel-efficient transportation solutions. Matson further contributes positively to the environment by testing and deploying leading technologies as the fleet is modernized.</w:t>
      </w:r>
    </w:p>
    <w:p>
      <w:pPr>
        <w:spacing w:after="0" w:line="18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International Maritime Organization (“IMO”), to which the U.S. and over 100 other countries are signatories, is a specialized agency of the United Nations that sets international environmental standards applicable to vessels operating under the flag of any signatory country. Effective January 1, 2020, the IMO imposed regulations that generally require all vessels to burn fuel oil with a maximum sulfur content of ≤0.5 percent. With respect to North America, all waters,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with certain limited exceptions, within 200 nautical miles of U.S. and Canadian coastlines have been designated emission control areas (“ECAs”). Since January 1, 2015, U.S. Environmental Protection Agency regulations have reduced the fuel oil maximum sulfur content in designated ECAs. In addition, since August 1, 2012, the California Air Resources Board has reduced the fuel oil maximum sulfur content to ≤0.1 percent within 24 miles of the California coastline.</w:t>
      </w:r>
    </w:p>
    <w:p>
      <w:pPr>
        <w:spacing w:after="0" w:line="164" w:lineRule="exact"/>
        <w:rPr>
          <w:sz w:val="20"/>
          <w:szCs w:val="20"/>
          <w:color w:val="auto"/>
        </w:rPr>
      </w:pPr>
    </w:p>
    <w:p>
      <w:pPr>
        <w:ind w:left="60" w:right="539"/>
        <w:spacing w:after="0" w:line="261" w:lineRule="auto"/>
        <w:rPr>
          <w:sz w:val="20"/>
          <w:szCs w:val="20"/>
          <w:color w:val="auto"/>
        </w:rPr>
      </w:pPr>
      <w:r>
        <w:rPr>
          <w:rFonts w:ascii="Times New Roman" w:cs="Times New Roman" w:eastAsia="Times New Roman" w:hAnsi="Times New Roman"/>
          <w:sz w:val="18"/>
          <w:szCs w:val="18"/>
          <w:color w:val="auto"/>
        </w:rPr>
        <w:t>All of Matson’s vessels are designed to operate in compliance with current IMO and ECA regulations as applicable. Matson also maintains vessels which may operate as dry-dock relief or for emergency activation purposes under an Environmental Protection Agency (“EPA”) approved ECA permit enabling the use of fuel oil with a maximum sulfur content of ≤0.5 percent within the North America ECA or at any time on IMO compliant fuels.</w:t>
      </w:r>
    </w:p>
    <w:p>
      <w:pPr>
        <w:spacing w:after="0" w:line="180" w:lineRule="exact"/>
        <w:rPr>
          <w:sz w:val="20"/>
          <w:szCs w:val="20"/>
          <w:color w:val="auto"/>
        </w:rPr>
      </w:pPr>
    </w:p>
    <w:p>
      <w:pPr>
        <w:ind w:left="60" w:right="119"/>
        <w:spacing w:after="0" w:line="236" w:lineRule="auto"/>
        <w:rPr>
          <w:sz w:val="20"/>
          <w:szCs w:val="20"/>
          <w:color w:val="auto"/>
        </w:rPr>
      </w:pPr>
      <w:r>
        <w:rPr>
          <w:rFonts w:ascii="Times New Roman" w:cs="Times New Roman" w:eastAsia="Times New Roman" w:hAnsi="Times New Roman"/>
          <w:sz w:val="18"/>
          <w:szCs w:val="18"/>
          <w:color w:val="auto"/>
        </w:rPr>
        <w:t>In June 2021, the IMO adopted regulations requiring that, beginning with a vessel’s first annual, intermediate or renewal survey for an International Air Pollution Prevention (“IAPP”) certificate on or after January 1, 2023, all containerships with more than 10,000 dead weight tons meet specified Energy Efficiency Existing Ship Index (“EEXI”) levels. EEXI is a one-time certification measuring a ship’s theoretical carbon dioxide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emissions per transport work based on its design parameters. Beginning in 2023, containerships with over 5,000 gross tonnage (“GT”) are also required to meet annual Carbon Intensity Indicator (“CII”) levels that become increasingly stringent towards 2030. CII measures how efficiently a ship transports goods, and uses actual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to determine an annual rating. For ships that are not in compliance, a corrective action plan needs to be developed as part of the vessels’ Ship Energy Efficiency Management Plan (“SEEMP”) and approved. The Company believes that its vessels are currently in compliance with these regulations. For more information on Matson’s environmental stewardship initiatives, including GHG emission reduction goals, see Matson’s Sustainability Report and other information available at https://www.matson.com/sustainability.</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Hawaii Terminal Modernization and Expansion Program:</w:t>
      </w:r>
    </w:p>
    <w:p>
      <w:pPr>
        <w:spacing w:after="0" w:line="22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Matson completed the first phase of its program to modernize and renovate its terminal facility at Sand Island, Honolulu, and is progressing on the second phase. As part of this program, Matson completed the installation of three new 65 long-ton capacity gantry cranes, upgraded and renovated three existing cranes, demolished four outdated cranes, and installed upgrades to the electrical infrastructure at the terminal. In addition, Matson completed the installation, energization and transition to a new redundant main switchgear. Additional projects for the second phase relate to improvements to its existing backup power generators, installation of new above ground fuel storage tanks and other upgrades at the terminal, and are expected to be completed within the next three years.</w:t>
      </w:r>
    </w:p>
    <w:p>
      <w:pPr>
        <w:spacing w:after="0" w:line="189"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The third phase represents a broader and long-term terminal expansion program at the Sand Island terminal facility. Matson expects to expand into Pier 51A and portions of Pier 51B after Pasha Hawaii (“Pasha”) relocates to the newly constructed Kapalama container terminal (“KCT”) facility in 2025. From 2024 to 2025, Matson expects to perform surveying, planning and design work in preparation for this expansion.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Equipment:</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As a complement to its fleet of vessels, Matson owns a variety of equipment including cranes, terminal equipment, containers and chassis, which represents an investment of approximately $0.8 billion as of December 31, 2023. Matson also leases containers, chassis and other equipment under various operating lease agreements.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Major components of Matson’s Ocean Transportation operating costs are as follows:</w:t>
      </w:r>
    </w:p>
    <w:p>
      <w:pPr>
        <w:spacing w:after="0" w:line="223"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Cargo Expense </w:t>
      </w:r>
      <w:r>
        <w:rPr>
          <w:rFonts w:ascii="Times New Roman" w:cs="Times New Roman" w:eastAsia="Times New Roman" w:hAnsi="Times New Roman"/>
          <w:sz w:val="18"/>
          <w:szCs w:val="18"/>
          <w:color w:val="auto"/>
        </w:rPr>
        <w:t>includes terminal handling costs including labor, purchased outside transportation and other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158"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Vessel Operating Expense </w:t>
      </w:r>
      <w:r>
        <w:rPr>
          <w:rFonts w:ascii="Times New Roman" w:cs="Times New Roman" w:eastAsia="Times New Roman" w:hAnsi="Times New Roman"/>
          <w:sz w:val="18"/>
          <w:szCs w:val="18"/>
          <w:color w:val="auto"/>
        </w:rPr>
        <w:t>includes crew wages and related costs; fuel, pilots, tugs and line related costs; vessel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other vessel operating related expenses. Matson purchases fuel oil, lubricants and gasoline for its operations and pays fuel-related surcharges to other third-party transportation providers.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Overhead </w:t>
      </w:r>
      <w:r>
        <w:rPr>
          <w:rFonts w:ascii="Times New Roman" w:cs="Times New Roman" w:eastAsia="Times New Roman" w:hAnsi="Times New Roman"/>
          <w:sz w:val="18"/>
          <w:szCs w:val="18"/>
          <w:color w:val="auto"/>
        </w:rPr>
        <w:t>includes equipment repair costs, equipment lease and repositioning expenses, vessel repair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costs, depreciation and dry-docking amortization, insurance, port engineers and other maintenance costs, and other vessel and shoreside related overhead.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major competitors in Matson’s Ocean Transportation segment:</w:t>
      </w:r>
    </w:p>
    <w:p>
      <w:pPr>
        <w:spacing w:after="0" w:line="22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Hawaii Service: </w:t>
      </w:r>
      <w:r>
        <w:rPr>
          <w:rFonts w:ascii="Times New Roman" w:cs="Times New Roman" w:eastAsia="Times New Roman" w:hAnsi="Times New Roman"/>
          <w:sz w:val="18"/>
          <w:szCs w:val="18"/>
          <w:color w:val="auto"/>
        </w:rPr>
        <w:t>Matson’s Hawaii service has one major U.S. flagged Jones Act competitor, Pasha, which operates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 and roll-on/roll-off services between the ports of Long Beach, Oakland and San Diego, California to Hawaii. A U.S. flagged Jones Act barge operator, Aloha Marine Lines, also offers barge service between Seattle, Washington and Hawaii.</w:t>
      </w:r>
    </w:p>
    <w:p>
      <w:pPr>
        <w:spacing w:after="0" w:line="18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Foreign-flagged vessels carrying cargo to Hawaii from non-U.S. locations also provide alternatives for companies shipping to Hawaii. Other competitors in the Hawaii service include proprietary operators and contract carriers of bulk cargo, and air freight carriers.</w:t>
      </w:r>
    </w:p>
    <w:p>
      <w:pPr>
        <w:spacing w:after="0" w:line="1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Matson operates three strings of vessels to Hawaii. These strings provide customers an industry-leading five departures from ports on the U.S. West Coast – two each from Long Beach and Oakland, California and one from Tacoma, Washington, with three arrivals in Honolulu each week. Each of these strings operates on a fixed day-of-the-week schedule. One of the vessel strings continues from Honolulu to China before returning to Long Beach. Matson’s frequent sailings and punctuality permit customers to reduce inventory carrying costs. Matson also competes by offering a comprehensive service network to customers, including: the only container service to and from the three largest U.S. West Coast ports; the most efficient terminal network on the U.S. West Coast with three exclusive use terminals provided by SSAT; a dedicated inter-island barge network which is integrated with Matson’s line haul schedule; roll-on/roll-off service from Long Beach and Oakland; a world-class customer service team; and efficiency and experience in handling cargo of many types.</w:t>
      </w:r>
    </w:p>
    <w:p>
      <w:pPr>
        <w:spacing w:after="0" w:line="192"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Alaska Service: </w:t>
      </w:r>
      <w:r>
        <w:rPr>
          <w:rFonts w:ascii="Times New Roman" w:cs="Times New Roman" w:eastAsia="Times New Roman" w:hAnsi="Times New Roman"/>
          <w:sz w:val="18"/>
          <w:szCs w:val="18"/>
          <w:color w:val="auto"/>
        </w:rPr>
        <w:t>Matson’s Alaska service has one major U.S. flagged Jones Act competitor, Totem Ocean Trailer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 Inc., which operates a roll-on/roll-off service between Tacoma, Washington and Anchorage, Alaska. There are also two primary U.S. flagged Jones Act barge operators, Alaska Marine Lines, which mainly provides services from Seattle, Washington to the ports of Anchorage, Dutch Harbor, and other locations in Alaska, and Samson Tug &amp; Barge, which mainly serves Western Alaska and other locations. The barge operators have historically shipped lower value commodities that can accommodate a longer transit time, as well as construction materials and other cargo that are not conducive to movement in containers. Foreign-flagged vessels provide alternatives for companies shipping cargo (mainly seafood) from the Alaska ports of Kodiak and Dutch Harbor to international destinations. Other competitors include air freight carriers and over-the-road trucking services. Matson’s AAX service has two primary competitors, CMA CGM and Maersk Lines, which provide services between Dutch Harbor, Alaska and Asia.</w:t>
      </w:r>
    </w:p>
    <w:p>
      <w:pPr>
        <w:spacing w:after="0" w:line="187"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Matson offers customers twice weekly scheduled service from Tacoma, Washington to Anchorage and Kodiak, Alaska, and a weekly service to Dutch Harbor, Alaska. The Company also provides a barge service between Dutch Harbor and Akutan in Alaska. Matson is the only Jones Act containership operator providing service to Kodiak and Dutch Harbor in Alaska, which are the primary loading ports for southbound seafood. Matson offers dedicated terminal services at the Alaska ports of Anchorage, Kodiak and Dutch Harbor performed by Matson, and at the port of Tacoma, Washington performed by SSAT. Matson’s AAX service also offers customers a service from Kodiak and Dutch Harbor, Alaska to Ningbo and Shanghai, China, and Busan, South Korea, with transshipment services from those ports to other locations in Asia.</w:t>
      </w:r>
    </w:p>
    <w:p>
      <w:pPr>
        <w:spacing w:after="0" w:line="169"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China Service: </w:t>
      </w:r>
      <w:r>
        <w:rPr>
          <w:rFonts w:ascii="Times New Roman" w:cs="Times New Roman" w:eastAsia="Times New Roman" w:hAnsi="Times New Roman"/>
          <w:sz w:val="18"/>
          <w:szCs w:val="18"/>
          <w:color w:val="auto"/>
        </w:rPr>
        <w:t>Major competitors to Matson’s China service include large international transpacific carriers such as CMA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CGM, OOCL, ZIM, Evergreen and Cosco. Other competitors include air freight carriers.</w:t>
      </w:r>
    </w:p>
    <w:p>
      <w:pPr>
        <w:spacing w:after="0" w:line="1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Matson’s China service (CLX and CLX+) competes by offering fast and reliable service from the ports of Ningbo and Shanghai in China, and feeder services from other Asian ports of origin, to Long Beach, California. Matson provides fixed day-of-the-week arrivals and industry leading cargo availability. Matson’s service is further differentiated by best-in-class stevedoring services provided by SSAT, Matson dedicated terminal space, access to Shippers Transport Express off-dock container yards for faster truck turn times, Matson-dedicated equipment including chassis to speed cargo availability, one-stop intermodal connections, and world-class customer service. Matson also provides intermodal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services in coordination with Matson Logistics. Matson has offices located in Shanghai, Shenzhen, Xiamen, Ningbo and Hong Kong, and has contracted with terminal operators in Ningbo and Shanghai.</w:t>
      </w:r>
    </w:p>
    <w:p>
      <w:pPr>
        <w:spacing w:after="0" w:line="16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Guam Service: </w:t>
      </w:r>
      <w:r>
        <w:rPr>
          <w:rFonts w:ascii="Times New Roman" w:cs="Times New Roman" w:eastAsia="Times New Roman" w:hAnsi="Times New Roman"/>
          <w:sz w:val="18"/>
          <w:szCs w:val="18"/>
          <w:color w:val="auto"/>
        </w:rPr>
        <w:t>Matson’s Guam service has one major competitor, APL, a U.S. flagged subsidiary of CMA CGM,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operates a U.S. flagged container service connecting the U.S. West Coast to Guam and Saipan, via transshipments to U.S. flagged feeder vessels in Yokohama, Japan and Busan, South Korea via a two-ship feeder service. There are also other several foreign carriers that call at Guam from foreign origin ports, and air freight carriers.</w:t>
      </w:r>
    </w:p>
    <w:p>
      <w:pPr>
        <w:spacing w:after="0" w:line="18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Matson offers customers a weekly service to Guam as part of the CLX service from three ports on the U.S. West Coast. Matson’s ocean transit time, frequent sailing and reliable on-time performance provides an industry-leading service to its customers.</w:t>
      </w:r>
    </w:p>
    <w:p>
      <w:pPr>
        <w:spacing w:after="0" w:line="174"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Japan Service: </w:t>
      </w:r>
      <w:r>
        <w:rPr>
          <w:rFonts w:ascii="Times New Roman" w:cs="Times New Roman" w:eastAsia="Times New Roman" w:hAnsi="Times New Roman"/>
          <w:sz w:val="18"/>
          <w:szCs w:val="18"/>
          <w:color w:val="auto"/>
        </w:rPr>
        <w:t>Matson’s Japan service has one major competitor, APL, which operates a U.S. flagged containership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U.S. West Coast to the port of Naha in Okinawa, Japan.</w:t>
      </w:r>
    </w:p>
    <w:p>
      <w:pPr>
        <w:spacing w:after="0" w:line="160"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Matson offers customers a fast and reliable weekly service to the port of Naha in Okinawa, Japan as part of the CLX service from three ports on the U.S. West Coast.</w:t>
      </w:r>
    </w:p>
    <w:p>
      <w:pPr>
        <w:spacing w:after="0" w:line="160"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Micronesia and South Pacific Services: </w:t>
      </w:r>
      <w:r>
        <w:rPr>
          <w:rFonts w:ascii="Times New Roman" w:cs="Times New Roman" w:eastAsia="Times New Roman" w:hAnsi="Times New Roman"/>
          <w:sz w:val="18"/>
          <w:szCs w:val="18"/>
          <w:color w:val="auto"/>
        </w:rPr>
        <w:t>Matson’s Micronesia and South Pacific services compete with a variety of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 carriers that provide freight services to the area.</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Matson serves customers in numerous industries and carries a wide variety of cargo, mitigating its dependence upon any single customer or single type of cargo. The Company’s 10 largest Ocean Transportation customers account for approximately 16 percent of the Company’s Ocean Transportation revenue. For additional information on Ocean Transportation revenues for the years ended December 31, 2023, 2022 and 2021, see Note 2 to the Consolidated Financial Statements in Item 8 of Part II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Historically, Matson’s Ocean Transportation services have typically experienced seasonality in volume, generally following a pattern of increasing volume starting in the second quarter of each year, culminating in a peak season throughout the third quarter, with subsequent decline in demand during the fourth and first quarters. This seasonality is amplified in the Alaska service primarily due to winter weather and the timing of southbound seafood trade. As a result, earnings have tended to follow a similar pattern, offset by periodic vessel dry-docking and other episodic cost factors, which can lead to earnings variability. In addition, in the China trade, volume demand is generally stronger in the second and third quarters primarily driven by U.S. consumer demand for goods ahead of key retail selling seasons. Freight rates can be impacted by these seasonality trends as well as macro supply and demand variables.</w:t>
      </w:r>
    </w:p>
    <w:p>
      <w:pPr>
        <w:spacing w:after="0" w:line="19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Relatively high inflation and the impact of high interest rates on household discretionary income may affect the demand for consumer goods in our markets, which could impact seasonal variability and demand for the Company’s Ocean Transportation services in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Maritime Laws and the Jones Act:</w:t>
      </w:r>
    </w:p>
    <w:p>
      <w:pPr>
        <w:spacing w:after="0" w:line="227"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Maritime Laws: </w:t>
      </w:r>
      <w:r>
        <w:rPr>
          <w:rFonts w:ascii="Times New Roman" w:cs="Times New Roman" w:eastAsia="Times New Roman" w:hAnsi="Times New Roman"/>
          <w:sz w:val="18"/>
          <w:szCs w:val="18"/>
          <w:color w:val="auto"/>
        </w:rPr>
        <w:t>All interstate and intrastate marine commerce within the U.S. falls under the Merchant Marine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1920 (commonly referred to as the Jones Act).</w:t>
      </w:r>
    </w:p>
    <w:p>
      <w:pPr>
        <w:spacing w:after="0" w:line="160"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w:t>
      </w:r>
    </w:p>
    <w:p>
      <w:pPr>
        <w:spacing w:after="0" w:line="1"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75 percent owned by U.S. citizens. U.S. flagged vessels are generally required to be maintained at higher standards than foreign-flagged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2022 and 2021, approximately 55 percent, 39 percent and 41 percent, respectively, of Matson’s Ocean Transportation revenues came from the Hawaii and Alaska trades that were subject to the Jones Act. Matson’s Hawaii and Alaska trade routes are included within the non-contiguous Jones Act market. The commerce of both Hawaii, as an island economy, and Alaska, due to its geographical location, are dependent on ocean transportation. The Jones Act ensures frequent, reliable, roundtrip service to these locations. Matson’s vessels operating in these trade routes are Jones Act qualified and maintained in compliance with such requirements.</w:t>
      </w:r>
    </w:p>
    <w:p>
      <w:pPr>
        <w:spacing w:after="0" w:line="18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Matson is a member of the American Maritime Partnership (“AMP”), which supports the retention of the Jones Act and similar cabotage laws. The Jones Act has broad support from both houses of Congress and the Executive Branch. Matson believes that the geopolitical environment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foreign-flagged vessel operators that do not have to abide by all U.S. laws and regulations to sail between U.S. ports in direct competition with Matson and other U.S. domestic operators that must comply with all such laws and regulations.</w:t>
      </w:r>
    </w:p>
    <w:p>
      <w:pPr>
        <w:spacing w:after="0" w:line="18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Other U.S. maritime laws require vessels operating between Guam, a U.S. territory, and U.S. ports to be U.S. flagged and predominantly U.S. crewed, but not U.S. built.</w:t>
      </w:r>
    </w:p>
    <w:p>
      <w:pPr>
        <w:spacing w:after="0" w:line="16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Cabotage laws are not unique to the United States, and similar laws exist around the world in over 90 countries, including regions in which Matson provides ocean transportation services. Any changes in such laws may have an impact on the services provided by Matson in those regions.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Rate Regulations and Fuel-Related Surcharges: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seeks to provide a 30-day notice to customers of any increases in general rates and other charges, and passes along decreases as soon as possible.</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Matson’s Ocean Transportation services engaged in U.S.-foreign commerce are subject to the jurisdiction of the Federal Maritime Commission (“FMC”). The FMC is a federal independent regulatory agency that is responsible for the regulation of international ocean-borne transportation to and from the U.S.</w:t>
      </w:r>
    </w:p>
    <w:p>
      <w:pPr>
        <w:spacing w:after="0" w:line="176"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Matson applies a fuel-related surcharge rate to its Ocean Transportation customers. Matson’s fuel-related surcharge is correlated to market rates for fuel prices and other factors, and is intended to help Matson recover fuel-related expenses.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Regulations:</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vessel emission regulations discussed above, Matson’s operations are required to comply with other environmental regulations and requirements including the Oil Pollution Act of 1990, the Comprehensive Environmental Response Compensation &amp; Liability Act of 1980, the Rivers and Harbors Act of 1899, the Clean Water Act, the Invasive Species Act and the Clean Air Act. Matson is also subject to state regulations affecting terminal and vessel emissions, such as the requirement to shut down vessel generator engines while at berth at California ports and switch to shore electrical power or achieve equivalent emissions reductions. The Company actively monitors its operations for compliance with these and other regulations.</w:t>
      </w:r>
    </w:p>
    <w:p>
      <w:pPr>
        <w:spacing w:after="0" w:line="18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more information on Matson’s environmental stewardship initiatives, including its environmental goals, see Matson’s Sustainability Report and other information available at https://www.matson.com/sustainability.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40" w:hanging="642"/>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LOGISTICS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Services: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Logistics provides the following services:</w:t>
      </w:r>
    </w:p>
    <w:p>
      <w:pPr>
        <w:spacing w:after="0" w:line="223"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Transportation Brokerage Services: </w:t>
      </w:r>
      <w:r>
        <w:rPr>
          <w:rFonts w:ascii="Times New Roman" w:cs="Times New Roman" w:eastAsia="Times New Roman" w:hAnsi="Times New Roman"/>
          <w:sz w:val="18"/>
          <w:szCs w:val="18"/>
          <w:color w:val="auto"/>
        </w:rPr>
        <w:t>Matson Logistics provides intermodal rail, highway, and other third-party logistics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for North American customers and international ocean carrier customers, including MatNav. Matson Logistics creates significant benefits and value for its customers through volume purchases of rail, motor carrier and ocean transportation services, augmented by services such as shipment tracking and tracing, accessibility to its private fleet of 53-foot intermodal containers and single-vendor invoicing. Matson Logistics operates customer service centers and has sales offices throughout North America.</w:t>
      </w:r>
    </w:p>
    <w:p>
      <w:pPr>
        <w:spacing w:after="0" w:line="18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Freight Forwarding Services: </w:t>
      </w:r>
      <w:r>
        <w:rPr>
          <w:rFonts w:ascii="Times New Roman" w:cs="Times New Roman" w:eastAsia="Times New Roman" w:hAnsi="Times New Roman"/>
          <w:sz w:val="18"/>
          <w:szCs w:val="18"/>
          <w:color w:val="auto"/>
        </w:rPr>
        <w:t>Matson Logistics provides LCL consolidation and freight forwarding services primarily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Alaska market through its wholly-owned subsidiary, Span Intermediate, LLC (“Span Alaska”). Span Alaska’s business aggregates LCL freight at its cross-dock facility in Auburn, Washington for consolidation and shipment to its service center in Anchorage and a network of other facilities in Alaska. Span Alaska also provides trucking services to its Auburn cross-dock facility and from its Alaska based cross-dock facilities to final customer destinations in Alaska.</w:t>
      </w:r>
    </w:p>
    <w:p>
      <w:pPr>
        <w:spacing w:after="0" w:line="183"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Warehousing and Distribution Services: </w:t>
      </w:r>
      <w:r>
        <w:rPr>
          <w:rFonts w:ascii="Times New Roman" w:cs="Times New Roman" w:eastAsia="Times New Roman" w:hAnsi="Times New Roman"/>
          <w:sz w:val="18"/>
          <w:szCs w:val="18"/>
          <w:color w:val="auto"/>
        </w:rPr>
        <w:t>Matson Logistics operates two warehouses in Georgia and two warehouses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California providing warehousing, trans-loading, value-added packaging and distribution services.</w:t>
      </w:r>
    </w:p>
    <w:p>
      <w:pPr>
        <w:spacing w:after="0" w:line="158" w:lineRule="exact"/>
        <w:rPr>
          <w:sz w:val="20"/>
          <w:szCs w:val="20"/>
          <w:color w:val="auto"/>
        </w:rPr>
      </w:pPr>
    </w:p>
    <w:p>
      <w:pPr>
        <w:jc w:val="both"/>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Supply Chain Management and Other Services: </w:t>
      </w:r>
      <w:r>
        <w:rPr>
          <w:rFonts w:ascii="Times New Roman" w:cs="Times New Roman" w:eastAsia="Times New Roman" w:hAnsi="Times New Roman"/>
          <w:sz w:val="18"/>
          <w:szCs w:val="18"/>
          <w:color w:val="auto"/>
        </w:rPr>
        <w:t>Matson Logistics provides customers with a variety of logistics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purchase order management, booking services, customs brokerage, LCL and full container load NVOCC freight forwarding services. Matson Logistics has supply chain operations in North America, China and other locations.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Matson Logistics’ operating costs primarily consist of the costs of purchased transportation, leases of warehouses, cross-dock and other facility operating costs, salaries and benefits, and other operating overhead.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Matson Logistics competes with hundreds of local, regional, national and international companies that provide transportation and third-party logistics services. The industry is highly fragmented and, therefore, competition varies by geography and areas of service.</w:t>
      </w:r>
    </w:p>
    <w:p>
      <w:pPr>
        <w:spacing w:after="0" w:line="1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Matson Logistics’ transportation brokerage services compete most directly with C.H. Robinson Worldwide, Hub Group, RXO and other freight brokers and intermodal marketing companies, and asset-invested market leaders such as J.B. Hunt. Matson Logistics competes by relying on the depth, scale and scope of its customer relationships; vendor relationships and rates; network capacity; real-time visibility into the movement of customers’ goods; and other technology solutions. Additionally, while Matson Logistics primarily provides surface transportation brokerage, it also competes to a lesser degree with other forms of transportation for the movement of cargo such as air freight.</w:t>
      </w:r>
    </w:p>
    <w:p>
      <w:pPr>
        <w:spacing w:after="0" w:line="18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Matson Logistics’ freight forwarding services compete most directly with a variety of freight forwarding companies that operate within Alaska including Carlile, Lynden and American Fast Freight.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Matson Logistics serves customers in numerous industries and geographical locations. The Company’s 10 largest logistics customers account for approximately 21 percent of the Company’s Logistics revenue. For additional information on Logistics revenues for the years ended December 31, 2023, 2022 and 2021, see Note 2 to the Consolidated Financial Statements in Item 8 of Part II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0" w:right="79"/>
        <w:spacing w:after="0" w:line="312" w:lineRule="auto"/>
        <w:rPr>
          <w:sz w:val="20"/>
          <w:szCs w:val="20"/>
          <w:color w:val="auto"/>
        </w:rPr>
      </w:pPr>
      <w:r>
        <w:rPr>
          <w:rFonts w:ascii="Times New Roman" w:cs="Times New Roman" w:eastAsia="Times New Roman" w:hAnsi="Times New Roman"/>
          <w:sz w:val="17"/>
          <w:szCs w:val="17"/>
          <w:color w:val="auto"/>
        </w:rPr>
        <w:t>In general, Matson Logistics’ services are not significantly impacted by seasonality factors, with the exception of its freight forwarding service to Alaska which may be affected by winter weather and the seasonal nature of the tourism industry.</w:t>
      </w:r>
    </w:p>
    <w:p>
      <w:pPr>
        <w:spacing w:after="0" w:line="352" w:lineRule="exact"/>
        <w:rPr>
          <w:sz w:val="20"/>
          <w:szCs w:val="20"/>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AND LABOR RELATIONS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Strategy:</w:t>
      </w:r>
    </w:p>
    <w:p>
      <w:pPr>
        <w:spacing w:after="0" w:line="229" w:lineRule="exact"/>
        <w:rPr>
          <w:sz w:val="20"/>
          <w:szCs w:val="20"/>
          <w:color w:val="auto"/>
        </w:rPr>
      </w:pPr>
    </w:p>
    <w:p>
      <w:pPr>
        <w:ind w:left="60" w:right="339"/>
        <w:spacing w:after="0" w:line="256" w:lineRule="auto"/>
        <w:rPr>
          <w:sz w:val="20"/>
          <w:szCs w:val="20"/>
          <w:color w:val="auto"/>
        </w:rPr>
      </w:pPr>
      <w:r>
        <w:rPr>
          <w:rFonts w:ascii="Times New Roman" w:cs="Times New Roman" w:eastAsia="Times New Roman" w:hAnsi="Times New Roman"/>
          <w:sz w:val="18"/>
          <w:szCs w:val="18"/>
          <w:color w:val="auto"/>
        </w:rPr>
        <w:t>In support of Matson’s vision to be a great place to work for all employees, the Company focuses on a variety of human capital programs that have been developed to attract, retain and motivate its employee workforce. As a company that operates in various global locations, the Company’s human capital programs are designed to reflect the unique market practices in each geographic location. The Company’s success depends in part on employing a diverse, talented and engaged workforce that reflects its local communities, supports an environment of high standards and performance, and thrives in the Company’s collaborative and respectful culture.</w:t>
      </w:r>
    </w:p>
    <w:p>
      <w:pPr>
        <w:spacing w:after="0" w:line="18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During 2023, Matson had 4,315 employees worldwide, of which 158 employees were based in international locations and 3,012 employees were covered by collective bargaining agreements with unions. These numbers include seagoing personnel who rotate through billets (as described below) and temporary employees, but do not include employees of SSAT or other non-employee affiliates such as agents and contractors. The composition of Matson’s workforce by geography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33655</wp:posOffset>
            </wp:positionV>
            <wp:extent cx="1139825" cy="994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982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Matson’s fleet of active vessels requires 326 billets to operate. Each billet corresponds to a position on a vessel that typically is filled by two or more employees because seagoing personnel rotate between active sea-duty and time ashore. These amounts exclude billets related to Matson’s foreign-flagged chartered vessels where the vessel owner is responsible for its seagoing personnel. Matson’s vessel management services also employed personnel in 32 billets to manage three U.S. government vessels.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D0D0D"/>
        </w:rPr>
        <w:t>Diversity, Equity and Inclusion (“DE&amp;I”):</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For many years, Matson has been committed to improving diversity, providing equal pay for equal work and creating an inclusive culture. While Matson’s workforce is representative of many of the communities where it operates, the Company has taken steps intended to help improve diversity within the Company and industry and to promote inclusivity for all. In 2023, the Company continued to advance many of its diversity, equity and inclusion efforts. This included continuing its efforts to analyze pay among various employee groups to confirm pay equity across the Company.</w:t>
      </w:r>
    </w:p>
    <w:p>
      <w:pPr>
        <w:spacing w:after="0" w:line="183" w:lineRule="exact"/>
        <w:rPr>
          <w:sz w:val="20"/>
          <w:szCs w:val="20"/>
          <w:color w:val="auto"/>
        </w:rPr>
      </w:pPr>
    </w:p>
    <w:p>
      <w:pPr>
        <w:ind w:left="60" w:right="239"/>
        <w:spacing w:after="0" w:line="281" w:lineRule="auto"/>
        <w:rPr>
          <w:sz w:val="20"/>
          <w:szCs w:val="20"/>
          <w:color w:val="auto"/>
        </w:rPr>
      </w:pPr>
      <w:r>
        <w:rPr>
          <w:rFonts w:ascii="Times New Roman" w:cs="Times New Roman" w:eastAsia="Times New Roman" w:hAnsi="Times New Roman"/>
          <w:sz w:val="17"/>
          <w:szCs w:val="17"/>
          <w:color w:val="auto"/>
        </w:rPr>
        <w:t>As part of its overall DE&amp;I strategy, Matson continues to focus on developing and promoting equal employment opportunities, particularly for leadership positions. The Company utilizes both internal and external learning and development programs to encourage and promote career opportunities and inclusivity for all within our diverse employee groups. In 2023, over half of Matson promotions in management roles were women and/or diverse individuals.</w:t>
      </w:r>
    </w:p>
    <w:p>
      <w:pPr>
        <w:spacing w:after="0" w:line="16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Matson is also focused on supporting a more inclusive talent pool over the long-term by encouraging historically underrepresented groups such as women and diverse individuals to pursue careers in the maritime and logistics sectors. To this end, in 2023 the Company awarded seventeen scholarships to diverse, high-achieving students at higher education institutions and maritime academies.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support of the rollout of a new performance management program, Matson’s DE&amp;I training efforts in 2023 emphasized recognizing and minimizing bias when reviewing employee performance, with over 260 managers participating in the program. Specifically, the training focused on building awareness of types of bias, using objective criteria when assessing performance and increasing the number of performance feedback opportunities.</w:t>
      </w:r>
    </w:p>
    <w:p>
      <w:pPr>
        <w:spacing w:after="0" w:line="180"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composition of Matson’s domestic shoreside workforce by gender and diversity status in 2023 is as follows (data for seagoing personnel is not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71120</wp:posOffset>
            </wp:positionV>
            <wp:extent cx="3034665" cy="994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346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composition of management positions within Matson’s domestic shoreside workforce by gender and diversity status in 2023 is as follows (data for seagoing personnel is not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114300</wp:posOffset>
            </wp:positionV>
            <wp:extent cx="3000375" cy="994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037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“Diverse” in these graphs refers to any employee who self-identifies as a minority under the categories established by the Equal Employment Opportunity Commission.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D0D0D"/>
        </w:rPr>
        <w:t>Total Rewards Programs:</w:t>
      </w:r>
    </w:p>
    <w:p>
      <w:pPr>
        <w:spacing w:after="0" w:line="229"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Matson provides a highly competitive and balanced total rewards program designed to attract, retain and motivate its employees. While factors such as job, location and business unit ultimately determine which plans an employee may be eligible for, the Company’s total rewards offering includes market competitive base salaries, cash and equity incentives, recognition awards, health and welfare benefits, and employee and employer funded retirement plans. The Company believes that management level positions should have a portion of pay aligned with its short- and long-term business objectives. Accordingly, the Company’s total rewards program contains several pay-for-performance components tied to individual, business unit and Company performance, as well as Matson’s stock price performance.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D0D0D"/>
        </w:rPr>
        <w:t>Succession and Career Planning:</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Matson’s workforce is characterized by uniquely skilled, long-tenured employees. To create career pathways for future leaders while planning for the loss of retiring employees, the Company takes a proactive approach to succession and career planning. The Company focuses on providing the next generation of promising talent with the tools they need to build their own careers at Matson. In 2023, 41 percent of open positions were filled through internal promotions. The Company also provided approximately 2,200 hours of employee training and professional development opportunities, and tuition reimbursement programs, while giving annual performance reviews to its non-union workforce.</w:t>
      </w:r>
    </w:p>
    <w:p>
      <w:pPr>
        <w:spacing w:after="0" w:line="187" w:lineRule="exact"/>
        <w:rPr>
          <w:sz w:val="20"/>
          <w:szCs w:val="20"/>
          <w:color w:val="auto"/>
        </w:rPr>
      </w:pPr>
    </w:p>
    <w:p>
      <w:pPr>
        <w:ind w:left="60" w:right="1179"/>
        <w:spacing w:after="0" w:line="282" w:lineRule="auto"/>
        <w:rPr>
          <w:sz w:val="20"/>
          <w:szCs w:val="20"/>
          <w:color w:val="auto"/>
        </w:rPr>
      </w:pPr>
      <w:r>
        <w:rPr>
          <w:rFonts w:ascii="Times New Roman" w:cs="Times New Roman" w:eastAsia="Times New Roman" w:hAnsi="Times New Roman"/>
          <w:sz w:val="18"/>
          <w:szCs w:val="18"/>
          <w:color w:val="141412"/>
        </w:rPr>
        <w:t xml:space="preserve">For more information on Matson’s human capital programs, see our Sustainability Report which is available at </w:t>
      </w:r>
      <w:r>
        <w:rPr>
          <w:rFonts w:ascii="Times New Roman" w:cs="Times New Roman" w:eastAsia="Times New Roman" w:hAnsi="Times New Roman"/>
          <w:sz w:val="18"/>
          <w:szCs w:val="18"/>
          <w:color w:val="000000"/>
        </w:rPr>
        <w:t>www.matson.com/sustainability</w:t>
      </w:r>
      <w:r>
        <w:rPr>
          <w:rFonts w:ascii="Times New Roman" w:cs="Times New Roman" w:eastAsia="Times New Roman" w:hAnsi="Times New Roman"/>
          <w:sz w:val="18"/>
          <w:szCs w:val="18"/>
          <w:color w:val="141412"/>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Bargaining Agreements:</w:t>
      </w:r>
    </w:p>
    <w:p>
      <w:pPr>
        <w:spacing w:after="0" w:line="22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Matson’s shoreside and seagoing employees are represented by a variety of unions. Matson has collective bargaining agreements with these unions that expire at various dates in the future. As shown in the chart below, Matson’s shoreside and seagoing union employees comprise 70 percent of Matson’s global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80645</wp:posOffset>
            </wp:positionV>
            <wp:extent cx="1183005" cy="9944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8300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Matson and SSAT are also members of the Pacific Maritime Association (“PMA”), which on behalf of its members negotiates collective bargaining agreements with the International Longshore and Warehouse Union (“ILWU”) on the U.S. West Coast. The PMA/ILWU collective bargaining agreements cover substantially all U.S. West Coast longshore labor. ILWU employees employed by SSAT are not included in the chart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Multi-employer Pension and Post-retirement Plans:</w:t>
      </w:r>
    </w:p>
    <w:p>
      <w:pPr>
        <w:spacing w:after="0" w:line="229"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Matson contributes to several multi-employer pension and post-retirement plans. Matson has no present intention of withdrawing from and does not anticipate the termination of any of the multi-employer pension plans to which it contributes (see Notes 11 and 12 to the Consolidated Financial Statements in Item 8 of Part II below for a discussion of withdrawal liabilities under certain multi-employer pension plans).</w:t>
      </w:r>
    </w:p>
    <w:p>
      <w:pPr>
        <w:spacing w:after="0" w:line="392" w:lineRule="exact"/>
        <w:rPr>
          <w:sz w:val="20"/>
          <w:szCs w:val="20"/>
          <w:color w:val="auto"/>
        </w:rPr>
      </w:pPr>
    </w:p>
    <w:p>
      <w:pPr>
        <w:ind w:left="700" w:hanging="650"/>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amended, as soon as reasonably practicable after it electronically files such material with, or furnishes them to, the U.S. Securities and Exchange Commission (“SEC”). The address of Matson’s Internet website is www.matson.com. This website and other websites included in this document are provided for convenience only, and the contents of such websites do not constitute a part of and are not incorporated by reference into this Form 10-K.</w:t>
      </w:r>
    </w:p>
    <w:p>
      <w:pPr>
        <w:spacing w:after="0" w:line="189"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proxy and information statements, and other information regarding Matson and other issuers that file electronically with the SEC. The address of the SEC’s Internet website is www.sec.gov.</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following material risks, events and uncertainties may make an investment in the Company speculative or risky and should be reviewed carefully. The Company faces the material risks set forth below; however, the description below does not purport to include all risks the Company faces, and additional risks or uncertainties that are currently unknown or are not currently believed to be material may occur or become material. The occurrence of these or the risks and uncertainties described below may, in ways the Company may not be able to accurately predict, recognize or mitigate, adversely affect the Company’s business, competitive environment, strategy, financial condition, operating results, cash flows, liquidity, demand, revenue, growth, prospects, reputation or stock price. All forward-looking statements made in this Form 10-K are qualified by the risks and uncertainties described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Jones Act</w:t>
      </w:r>
    </w:p>
    <w:p>
      <w:pPr>
        <w:spacing w:after="0" w:line="225"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color w:val="auto"/>
        </w:rPr>
        <w:t>Repeal, substantial amendment, or waiver of the Jones Act or changes in its application would have an adverse effect on the Company’s business.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Merchant Marine Act of 1920 (commonly referred to as the Jones Act) regulates all interstate and intrastate marine commerce within the U.S. If the Jones Act were to be repealed, substantially amended or waived and, as a consequence, competitors were to enter the Hawaii or Alaska markets with lower operating costs by utilizing their ability to acquire and operate foreign-flagged and foreign-built vessels and/or being exempt from other U.S. regulations, the Company’s business would be adversely affected. In addition, the Company’s position as a U.S. citizen operator of Jones Act vessels would be negatively impacted if periodic efforts and attempts by foreign interests to circumvent certain aspects of the Jones Act were successful. If maritime cabotage services were included in the General Agreement on Trade in Services, the United States-Mexico-Canada Agreement, or other international trade agreements, or if the restrictions contained in the Jones Act were otherwise altered, the shipping of cargo between covered U.S. ports could be opened to foreign-flagged or foreign-built vessels, which could have other adverse impacts to our business.</w:t>
      </w:r>
    </w:p>
    <w:p>
      <w:pPr>
        <w:spacing w:after="0" w:line="190"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would be adversely affected if the Company were determined not to be a U.S. citizen under the Jones Act.</w:t>
      </w:r>
    </w:p>
    <w:p>
      <w:pPr>
        <w:spacing w:after="0" w:line="159" w:lineRule="exact"/>
        <w:rPr>
          <w:sz w:val="20"/>
          <w:szCs w:val="20"/>
          <w:color w:val="auto"/>
        </w:rPr>
      </w:pPr>
    </w:p>
    <w:p>
      <w:pPr>
        <w:jc w:val="both"/>
        <w:ind w:left="60" w:right="139"/>
        <w:spacing w:after="0" w:line="277" w:lineRule="auto"/>
        <w:rPr>
          <w:sz w:val="20"/>
          <w:szCs w:val="20"/>
          <w:color w:val="auto"/>
        </w:rPr>
      </w:pPr>
      <w:r>
        <w:rPr>
          <w:rFonts w:ascii="Times New Roman" w:cs="Times New Roman" w:eastAsia="Times New Roman" w:hAnsi="Times New Roman"/>
          <w:sz w:val="17"/>
          <w:szCs w:val="17"/>
          <w:color w:val="auto"/>
        </w:rPr>
        <w:t>Certain provisions of the Company’s articles of incorporation protect the Company’s ability to maintain its status as a U.S. citizen under the Jones Act. If non-U.S. citizens were able to defeat such articles of incorporation restrictions and own, in the aggregate, more than 25 percent of the Company’s common stock, the Company would no longer be considered a U.S. citizen under the Jones Act. Such an event could result in the Company’s ineligibility to engage in coastwise trade and the imposition of substantial penalties against the Company, including seizure or forfeiture of its vessels.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Company’s Operations</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macroeconomic conditions, geopolitical developments, or governmental policies, including due to outbreaks of disease, have affected and could in the future affect the Company.</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transportation industry in which the Company operates has been and could in the future be impacted by macroeconomic fluctuations, volatility, downturns, inflation, recessions, rising interest rates and other economic shifts or market instabilities, including due to outbreaks of disease and instability in financial institutions, as well as the development of and changes in governmental policies, relations, priorities and budgeting constraints, and uncertainties resulting from the U.S. political environment, including increased political polarization and the potential for political gridlock (such as the prospect of a shutdown of the U.S. federal government), and geopolitical developments across the jurisdictions in which it operates. For example, there have been increases in geopolitical and trade tensions among a number of the world’s major economies. These tensions have resulted in the implementation of tariffs, non-tariff trade barriers and sanctions, including the use of export control restrictions and sanctions against certain countries and individual companies, which have, and may continue to have, an adverse economic impact in the markets in which the Company operates and could result in a reduced demand for the Company’s services.</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These adverse economic conditions may also impact the Company’s customers’ business levels and needs. Within the U.S., a weakening of economic drivers in Hawaii, Alaska and Guam, which include tourism, military spending, construction, personal income growth and employment, the weakening of consumer confidence, market demand, the economy in the U.S. Mainland, inflation, rising interest rates, recessionary fears, increased political polarization and the potential for political gridlock (such as the prospect of a shutdown of the U.S. federal government), and the effect of a change in the strength of the U.S. dollar against other foreign currencies has reduced and could in the future reduce the demand for goods, adversely affecting inland and ocean transportation volumes or rates. In addition, overcapacity in the global or transpacific ocean transportation markets, a change in the cost of goods or currency exchange rates, pressure from U.S. or foreign governments, imposition of tariffs and uncertainties regarding tariff rates or a change in international trade policies could adversely affect freight volumes and rates in the Company’s China services. Additionally, fluctuations in the price of oil could further impact the Alaskan economy, which in turn could impact the Company’s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color w:val="auto"/>
        </w:rPr>
        <w:t>The shipping industry is competitive, and the Company has been and may continue to be impacted by new or increased competition.</w:t>
      </w:r>
    </w:p>
    <w:p>
      <w:pPr>
        <w:spacing w:after="0" w:line="15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has faced and may continue to face new competition by established or start-up shipping operators that enter into the Company’s markets. The shipping industry is competitive with limited barriers to entry, especially in international tradelanes. Ocean carriers can shift vessels in and out of tradelanes or charter vessels to manage capacity and meet customer demands. The Company also competes with air freight carriers some of which are able to offer more attractive schedules and services, or to increase capacity. The entry of a new competitor or the addition of new vessels or capacity by existing competitors on any of the Company’s routes could result in a significant increase in available shipping capacity that could have an adverse effect on the Company’s volumes and rates.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loss of or damage to key customer relationships may adversely affect the Company’s business.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businesses are dependent on their relationships with customers and derive a significant portion of their revenues from the Company’s largest customers. The Company’s business relies on its relationships with the U.S. military, freight forwarders and non-vessel owning common carriers, large retailers and consumer goods manufacturers, as well as other larger customers. For more information regarding the Company’s significant customers, see the discussion in Part I, Item 1 of this Annual Report.</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could also be adversely affected by any changes in the services, or changes to the costs of services, provided by third-party vendors such as railroads, truckers, terminals, agents and shipping companies, including charter vessel owners. Service structures and relationships with these parties are important in the Company’s intermodal business, as well as in the China, Guam, Micronesia, Japan, Alaska export and South Pacific services.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loss of or damage to any of these key relationships may adversely affect the Company’s business and revenue.</w:t>
      </w:r>
    </w:p>
    <w:p>
      <w:pPr>
        <w:spacing w:after="0" w:line="221"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Company is dependent upon key vendors and third parties for equipment, capacity, facilities, infrastructure and services essential to operate its business, and if the Company fails to secure sufficient third-party services, its business could be adversely affected.</w:t>
      </w:r>
    </w:p>
    <w:p>
      <w:pPr>
        <w:spacing w:after="0" w:line="175"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Company’s businesses are dependent upon key vendors who provide terminal, rail, truck, and ocean transportation services. If the Company cannot reliably secure sufficient transportation equipment, capacity or services from these third parties at reasonable prices or rates to meet its or its customers’ needs and schedules, customers may seek to have their transportation and logistics needs met by others on a temporary or permanent basis. If this were to occur, the Company’s business, results of operations and financial condition could be adversely affected.</w:t>
      </w:r>
    </w:p>
    <w:p>
      <w:pPr>
        <w:spacing w:after="0" w:line="179"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An increase in fuel prices, changes in the Company’s ability to collect fuel-related surcharges, and/or the cost or limited availability of required fuels may adversely affect the Company’s profits.</w:t>
      </w:r>
    </w:p>
    <w:p>
      <w:pPr>
        <w:spacing w:after="0" w:line="15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Fuel, including LNG fuels and biofuels, is a significant operating expense for the Company’s Ocean Transportation business. The price and supply of fuel are unpredictable and fluctuate based on events beyond the Company’s control, including impacts from global macroeconomic conditions and geopolitical events. Increases in the price of fuel may adversely affect the Company’s results of operations. Any such increases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surcharges may adversely affect the Company’s competitive position and may not correspond exactly with the timing of increases in fuel expense. Changes in the Company’s ability to collect fuel-related surcharges, including recovery of all or most fuel-related expenses, also may adversely affect its results of operations.</w:t>
      </w:r>
    </w:p>
    <w:p>
      <w:pPr>
        <w:spacing w:after="0" w:line="18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development of alternative fuels (such as low- or carbon-neutral fuels), including the necessary infrastructure and technology to utilize such fuels, is still in early experimental stages. There is significant uncertainty as to when, if at all, these alternative fuels will become commercially available or viable, and whether Matson will be able to utilize or have access to these alternative fuels (or any such alternative fuels developed in the future) in a timely and cost-effective manner. In addition, advances in fuel technology could require Matson to incur significant capital costs to utilize any such technologies (including, for example, efforts to accelerate building of new vessels, retrofit existing vessels, retire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vessels early or make reserve vessels unusable) and Matson may be unable to equip its vessels with these technologies on a timely basis, if at all.</w:t>
      </w:r>
    </w:p>
    <w:p>
      <w:pPr>
        <w:spacing w:after="0" w:line="158"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color w:val="auto"/>
        </w:rPr>
        <w:t>Evolving regulations and stakeholder expectations related to sustainability matters exposes the Company to heightened scrutiny, additional costs, operational challenges and a number of risks.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SEC and other regulators, investors, advisory firms, employees, customers, suppliers, governments and other stakeholders are increasingly focused on and have established regulations and expectations related to sustainability matters and related corporate practices, disclosures and initiatives. These evolving regulations and expectations may impact the Company’s reputation, business and attractiveness as an investment, employer or business partner to the extent the Company – including its initiatives, goals and reporting – fails to satisfy or is perceived to fail to satisfy those regulations and expectations, including as a result of any third-party rating or assessment. The adoption and expansion of related legislation and regulations have also resulted and may again result in increased capital expenditures and compliance, operational and other costs to the Company. For example, the state of California has adopted new climate change disclosure requirements. Compliance with such rules could require significant effort and resources and result in changes to the Company’s current GHG emission reduction goals.</w:t>
      </w:r>
    </w:p>
    <w:p>
      <w:pPr>
        <w:spacing w:after="0" w:line="19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Company’s public disclosures on its climate, sustainability, human capital and other initiatives include its goals or expectations with respect to those matters, including GHG emission reduction targets. These disclosures are aspirational and based on standards and frameworks for presenting and measuring progress that are not harmonized and are still developing, assumptions that may change, disclosure controls and procedures that continue to evolve, and with respect to our GHG emissions targets, dependent in part on the industry’s successful and timely development of alternative fuels and technologies. The Company’s use of disclosure frameworks and standards, and the interpretation or application of those frameworks and standards, may change from time to time or differ from those of others. This may result in a lack of consistent or meaningful comparative data from period to period or between the Company and other companies in the same industry. The Company’s initiatives and goals may not be favored by certain stakeholders and could impact the attraction and retention of investors, customers and employees, as well as the Company’s willingness to do business with other companies or customers or their willingness to do business with the Company. Efforts to achieve or accurately track the Company’s initiatives and goals face numerous risks and may be untimely, be unsuccessful, result in additional costs or experience delays, and as a result may have an adverse impact on the Company, including its brand, reputation, financial performance and growth and stock price, and may expose the Company to increased scrutiny from the investment community as well as enforcement authorities.</w:t>
      </w:r>
    </w:p>
    <w:p>
      <w:pPr>
        <w:spacing w:after="0" w:line="192"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not be timely or successful in completing its fleet upgrade initiatives, which may result in significant costs and adversely impact the Company’s ability to meet its climate goals.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The Company’s four new Aloha and Kanaloa class vessels include dual fuel capable engines that can run on low sulfur fuel oil or LNG. The Company has completed the installation of tanks, piping and cryogenic equipment on </w:t>
      </w:r>
      <w:r>
        <w:rPr>
          <w:rFonts w:ascii="Times New Roman" w:cs="Times New Roman" w:eastAsia="Times New Roman" w:hAnsi="Times New Roman"/>
          <w:sz w:val="18"/>
          <w:szCs w:val="18"/>
          <w:i w:val="1"/>
          <w:iCs w:val="1"/>
          <w:color w:val="auto"/>
        </w:rPr>
        <w:t>Daniel K. Inouye</w:t>
      </w:r>
      <w:r>
        <w:rPr>
          <w:rFonts w:ascii="Times New Roman" w:cs="Times New Roman" w:eastAsia="Times New Roman" w:hAnsi="Times New Roman"/>
          <w:sz w:val="18"/>
          <w:szCs w:val="18"/>
          <w:color w:val="auto"/>
        </w:rPr>
        <w:t xml:space="preserve"> to operate on LNG; begun re-engining </w:t>
      </w:r>
      <w:r>
        <w:rPr>
          <w:rFonts w:ascii="Times New Roman" w:cs="Times New Roman" w:eastAsia="Times New Roman" w:hAnsi="Times New Roman"/>
          <w:sz w:val="18"/>
          <w:szCs w:val="18"/>
          <w:i w:val="1"/>
          <w:iCs w:val="1"/>
          <w:color w:val="auto"/>
        </w:rPr>
        <w:t>Manukai</w:t>
      </w:r>
      <w:r>
        <w:rPr>
          <w:rFonts w:ascii="Times New Roman" w:cs="Times New Roman" w:eastAsia="Times New Roman" w:hAnsi="Times New Roman"/>
          <w:sz w:val="18"/>
          <w:szCs w:val="18"/>
          <w:color w:val="auto"/>
        </w:rPr>
        <w:t xml:space="preserve">; and announced plans for LNG installations on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xml:space="preserve"> in 2024. In addition, the Company has announced plans to construct three new LNG-ready Aloha Class vessels. The Company anticipates making significant capital expenditures in connection with these fleet initiatives. These initiatives may be hindered by substantial delays and long lead times for necessary equipment, including as a result of ongoing supply chain congestion, increased demand across the industry for LNG installations and conversions, and new ship-building. Additional operating costs may be incurred to the extent additional ships are needed to maintain schedule integrity while such updates and installations are performed. Once completed, operation of these vessels may be slowed to the extent they present new maintenance requirements or unforeseen complications.</w:t>
      </w:r>
    </w:p>
    <w:p>
      <w:pPr>
        <w:spacing w:after="0" w:line="194"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Company’s investments in LNG-ready vessels, whether on their own or in addition to other Company initiatives, may be insufficient to meet the Company’s previously announced GHG emission reduction goals on a timely basis or at all. There is no guarantee that the Company will be able to secure LNG via bunker barges or other methods on the U.S. West Coast or in China in sufficient amounts to fuel its vessels or at a reasonable cost, as increased demand for LNG could decrease available supply of LNG and increase prices. Governments have in the past and may again in the future impose tariffs on LNG that also may increase supply costs. As a result of these risks, the Company may not fully realize the benefits of these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vessel construction agreements with Philly Shipyard subject the Company to risks.</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On November 1, 2022, MatNav and Philly Shipyard entered into vessel construction agreements pursuant to which Philly Shipyard will construct three new 3,600-TEU Aloha Class dual-fuel capable containerships, with expected delivery dates during the fourth quarter of 2026 and subsequent deliveries currently expected in the second and fourth quarters of 2027. Failure of any party to the vessel construction agreements to fulfill its obligations under the agreements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in South Korea that prevent one or more significant subcontractors to Philly Shipyard from performing, (iv) loss of key personnel at either Philly Shipyard or any of its subcontractors, (v) work stoppages or other labor disruptions that may occur as a result of the failure of Philly Shipyard to negotiate collective bargaining agreements with its unions, or (vi) the insolvency of, or the refusal or inability to perform for any reason, by Philly Shipyard or any of its subcontractors. Significant delays in the delivery of the new vessels could limit our ability to replace aging vessels in the Alaska service without substantial modifications and delay the Company’s ability to upsize the CLX service, which could also have an adverse impact on our business plans, financial condition and results of operations.</w:t>
      </w:r>
    </w:p>
    <w:p>
      <w:pPr>
        <w:spacing w:after="0" w:line="19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operations are susceptible to weather, natural disasters, maritime accidents, spill events and other physical and operating risks, including those arising from climate change.</w:t>
      </w:r>
    </w:p>
    <w:p>
      <w:pPr>
        <w:spacing w:after="0" w:line="159"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As a maritime transportation company, the Company’s operations are vulnerable to delay, disruptions and loss of life and property as a result of weather, natural disasters and other climate-driven events, such as rising temperatures and heat waves, rising sea levels, bad weather at sea (including increased storm severity), lightning strikes, wildfires, lava flows, hurricanes, typhoons, tsunamis, droughts, windstorms, floods and earthquakes. Climate change has increased and may continue to increase the frequency, severity and uncertainty of such events. For example, sea level rise could potentially impact coastal and other low-lying areas, cause erosion of shorelines, higher water tables and increased flooding, which could damage the Company’s vessels, terminals or facilities. In addition, the Company’s customers and the island communities it serves throughout the Pacific are particularly vulnerable to rising sea levels and severe storms, which may drive inhabitants away from these regions and reduce demand for the Company’s services in the affected areas and adversely impact our business.</w:t>
      </w:r>
    </w:p>
    <w:p>
      <w:pPr>
        <w:spacing w:after="0" w:line="19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operations are also vulnerable to risks related to the operation of ocean-going vessels, including risks of potential marine accidents, or disasters, including grounding, fires, explosions, collisions, mechanical failures, human error, maintenance issues, latent defects, oil or other spill or environmental accidents, whale strikes, war, terrorism and piracy, lost or damaged cargo, delays, injury and loss of life. These risks could be exacerbated by severe weather or other climate-driven events. Changing macroeconomic and geopolitical conditions, including geopolitical conflict, may also result increased attacks on vessels, piracy or terrorism.</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Such events could interfere with the Company’s ability to provide on-time scheduled service, require evacuation of personnel or stoppage of services or impact the Company’s customer’s operations, resulting in increased expenses and potential loss of business associated with such events. In addition, severe weather and natural disasters can result in interference with the Company’s terminal operations and may cause serious damage to its vessels and cranes. These impacts could be particularly acute in ports such as Dutch Harbor and Kodiak, Alaska where the Company is dependent on a single crane. The Company’s vessels and their cargoes, terminals and other facilities are also subject to operating risks such as mechanical failure, collisions and human error.</w:t>
      </w:r>
    </w:p>
    <w:p>
      <w:pPr>
        <w:spacing w:after="0" w:line="18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occurrence of any of these events may result in damage to or loss of terminals, port facilities and infrastructure, vessels, containers, cargo and other equipment, increased maintenance expense, loss of life or physical injury to its employees or people, pollution, or the slow down or suspension of operations. For example, damage to the Company’s vessels could require repair at a dry-docking facility. The costs of repairs may be substantial which may adversely affect the Company’s business and financial condition. Further, the Company may be unable to find space at a suitable dry-docking facility, the vessels may be forced to wait for space or be towed to a different facility, all of which could result in additional expenses and delays, and may adversely affect the Company’s business.</w:t>
      </w:r>
    </w:p>
    <w:p>
      <w:pPr>
        <w:spacing w:after="0" w:line="18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These events can also expose the Company to reputational harm and liability for resulting damages, including for loss of life and property, and possible penalties that, pursuant to typical maritime industry policies, it must pay and then seek reimbursement from its insurer. Affected vessels may also be removed from service and thus would be unavailable for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income-generating activity. Furthermore, the Port of Alaska requires upgrades to its port facilities and infrastructure to improve operational safety and efficiency, accommodate modern shipping operations and improve resiliency, as well as to mitigate the risk of failure due to corrosion or loss of load bearing capacity. As a result, there is an increased risk that an earthquake or other natural disaster could damage or render inoperable, in whole or in part, port facilities and infrastructure at the Port of Alaska. This, in turn, could adversely affect transportation volumes or rates in Alaska and adversely impact the Company’s Ocean Transportation business and Span Alaska’s freight forwarding business, particularly given the Alaskan economy’s dependence on this port for ocean cargo.</w:t>
      </w:r>
    </w:p>
    <w:p>
      <w:pPr>
        <w:spacing w:after="0" w:line="18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There is no assurance that our efforts to mitigate the impact of these risks, including from severe weather or other climate-driven events on our operations, will be effective. Although we take measures that we believe are reasonable to mitigate these risks, it is not practicable to eliminate such risks altogether. The Company’s casualty and liability insurance policies are generally subject to large retentions and deductibles and may not cover all losses the Company may incur.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be impacted by transitional and other risks arising from climate change.</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Company may be impacted by transitional and other risks arising from climate change and the global shift toward a low carbon future. Organizational, industrial and governmental shifts in operations as well as legal and regulatory requirements to reduce or eliminate emissions and/or increase efficiency may require the Company to increase expenditures, make changes to existing infrastructure, vessels and equipment, limit the speed at which the Company’s vessels are permitted to travel, and make other changes to its business model. For example, the maritime industry is moving toward deployment of clean energy technologies and use of electricity powered by renewable energy sources to power terminal operations as a way to reduce shoreside GHG emissions. As the Company and SSAT increase their reliance on the power grid at terminals, including for cold-ironing and ground service fleets, the Company may experience increased risks related to power outages, brown outs or black outs. The likelihood of these risks is compounded by uncertainties regarding the reliability of renewable energy sources as well as any increased frequency of extreme weather events that may disrupt the generation or transmission of electricity.</w:t>
      </w:r>
    </w:p>
    <w:p>
      <w:pPr>
        <w:spacing w:after="0" w:line="192"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addition, compliance with new climate change requirements or regulations such as the IMO’s requirements related to EEXI and CII, may create schedule disruptions and could require Matson’s fleet to slow down if efficiency improvements or transitions to alternative fuels together are not enough to reduce GHG emissions sufficiently, thus impacting Matson’s expedited business model and competitive advantage.</w:t>
      </w:r>
    </w:p>
    <w:p>
      <w:pPr>
        <w:spacing w:after="0" w:line="18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New environmental requirements for vessel performance and operation could also require the Company to accelerate the building of new vessels, increase the construction costs for new vessels and equipment to accommodate even newer technology as it emerges while today’s technology becomes obsolete, initiate unexpected retrofit projects for existing vessels, retire older vessels earlier than expected, or render reserve vessels unusable. If these outcomes were to occur, the Company’s business, results of operations, cash flows and financial condition could be adversely affected.</w:t>
      </w:r>
    </w:p>
    <w:p>
      <w:pPr>
        <w:spacing w:after="0" w:line="17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faces risks related to actual or threatened health epidemics, outbreaks of disease, pandemics or other major health crises, which could significantly disrupt the Company’s business.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Company’s business could be impacted adversely by outbreaks of disease, the effects of public health epidemics, pandemics or other major heath crises (which the Company refers to collectively as public health crises). Actual or threatened public health crises may have a number of adverse impacts, including volatility in the global economy, impacts to the Company’s customers’ business operations, reduced tourism in the markets the Company serves, potential restrictions on employee travel, or significant disruptions in ocean-borne transportation of goods, logistics demand and supply chain activity, caused by a variety of factors such as quarantines, factory and office closures, port closures, or other government-imposed restrictions, any of which could adversely impact the Company’s business, financial condition, operating results and cash flows. In addition, the Company’s business and operations has in the past, and could in the future, be impacted by outbreaks of disease, such as the COVID-19 pandemic. For instance, during the height of the COVID-19 pandemic, the Company’s operations faced risks from employees potentially being restricted from or unable to perform their duties, the Company’s or SSAT’s terminals potentially being temporarily closed, or potential outbreaks aboard the Company’s vessels that could cause the Company to miss port calls. As the COVID-19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pandemic subsided, supply and demand trends have normalized and the high volumes and rates the Company previously experienced in its China service have declined, however, certain fixed costs remain. Additionally, the global macroeconomic effects of the COVID-19 pandemic and related impacts on the Company’s customers’ business operations, including financial difficulties or bankruptcies, may continue to persist for an indefinite period.</w:t>
      </w:r>
    </w:p>
    <w:p>
      <w:pPr>
        <w:spacing w:after="0" w:line="176"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significant operating agreements and leases could be renewed/replaced on less favorable terms or may not be renewed/replaced on acceptable terms, if at all.</w:t>
      </w:r>
    </w:p>
    <w:p>
      <w:pPr>
        <w:spacing w:after="0" w:line="15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significant operating agreements and leases entered into by the Company in the course of its operations, including those related to terminals, chartered vessels and warehouses as well as those with SSAT, expire at various points in time and may not be renewed/replaced with comparable assets with the specifications necessary for the Company’s or SSAT’s businesses or could be renewed/replaced on less favorable terms, if at all, thereby adversely affecting the Company’s future financial position, results of operations and cash flows.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The Company routinely engages shipyards to dry-dock its vessels for regulatory compliance and to provide repair and maintenance. Vessels may also have to be dry-docked or repaired at sea in the event of accidents or other unforeseen damage. Unexpected dry-dockings or repairs could require the Company to activate a reserve vessel, purchase additional fuel and operate a less-efficient, smaller vessel for a period of time. The Company also operates a number of older active and reserve vessels that may require more frequent and extensive maintenance. The cost of repairs is difficult to predict and can be substantial. In addition, the time when a vessel is out of service for maintenance is determined by a number of factors, including regulatory deadlines, market conditions, shipyard availability, shipyard location, availability of employees and repairmen, and customer requirements, and accordingly, the length of time that a vessel may be out of service may be longer than anticipated, which could adversely affect the Company’s business, financial condition, results of operations and cash flows. The timing and expense required for repairs could be exacerbated by compliance with MARAD requirements.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involved in a joint venture and is subject to risks associated with joint venture relationships.</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Company is involved in a terminal joint venture with SSAT (and through SSAT, other joint ventures at various U.S. West Coast terminals), and may initiate future joint venture projects. A joint venture involves certain risks for the Company such as:</w:t>
      </w:r>
    </w:p>
    <w:p>
      <w:pPr>
        <w:spacing w:after="0" w:line="176" w:lineRule="exact"/>
        <w:rPr>
          <w:sz w:val="20"/>
          <w:szCs w:val="20"/>
          <w:color w:val="auto"/>
        </w:rPr>
      </w:pPr>
    </w:p>
    <w:p>
      <w:pPr>
        <w:ind w:left="380" w:right="459" w:hanging="330"/>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lack of voting control over the joint venture, including the risk that the joint venture takes actions resulting in reputational harm to the Company;</w:t>
      </w: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Misalignment or inconsistency of interests between the Company and the joint venture partner;</w:t>
      </w:r>
    </w:p>
    <w:p>
      <w:pPr>
        <w:spacing w:after="0" w:line="9"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joint venture partner to fund its share of capital or fulfill its other commitments, including the risk that the joint venture partner could become bankrupt; and</w:t>
      </w:r>
    </w:p>
    <w:p>
      <w:pPr>
        <w:ind w:left="380" w:right="159" w:hanging="330"/>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difficulties and financial losses at the joint venture, which may lead to the Company writing down assets or incurring impairment charges.</w:t>
      </w:r>
    </w:p>
    <w:p>
      <w:pPr>
        <w:spacing w:after="0" w:line="181"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 Furthermore, the Company’s results of operations have been and may continue to be impacted by lower contributions from SSAT, including as a result of declines in detention and demurrage revenue and lift volumes due to reduced carrier volumes into U.S. West Coast ports.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left="60" w:right="859"/>
        <w:spacing w:after="0" w:line="282" w:lineRule="auto"/>
        <w:rPr>
          <w:sz w:val="20"/>
          <w:szCs w:val="20"/>
          <w:color w:val="auto"/>
        </w:rPr>
      </w:pPr>
      <w:r>
        <w:rPr>
          <w:rFonts w:ascii="Times New Roman" w:cs="Times New Roman" w:eastAsia="Times New Roman" w:hAnsi="Times New Roman"/>
          <w:sz w:val="18"/>
          <w:szCs w:val="18"/>
          <w:color w:val="auto"/>
        </w:rPr>
        <w:t>Matson’s China, Alaska export, Micronesia, Japan and South Pacific services are subject to risks associated with conducting business in a foreign shipping market, which include:</w:t>
      </w:r>
    </w:p>
    <w:p>
      <w:pPr>
        <w:spacing w:after="0" w:line="162" w:lineRule="exact"/>
        <w:rPr>
          <w:sz w:val="20"/>
          <w:szCs w:val="20"/>
          <w:color w:val="auto"/>
        </w:rPr>
      </w:pPr>
    </w:p>
    <w:p>
      <w:pPr>
        <w:ind w:left="380" w:right="61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operating in foreign countries and developing relationships with foreign companies, business associates and governments, including as a result of cultural differences;</w:t>
      </w: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dynamic employment and immigration laws;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399" w:hanging="330"/>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comply with U.S. and foreign legal and regulatory restrictions, including anti-corruption laws such as the Foreign Corrupt Practices Act;</w:t>
      </w: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having continued access to existing port facilities or feeder vessels;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changes in the cost of goods or currency exchange rate fluctuations;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instability;</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or slower growth in the local markets or geographic areas in which we conduct business;</w:t>
      </w:r>
    </w:p>
    <w:p>
      <w:pPr>
        <w:spacing w:after="0" w:line="9" w:lineRule="exact"/>
        <w:rPr>
          <w:rFonts w:ascii="Times New Roman" w:cs="Times New Roman" w:eastAsia="Times New Roman" w:hAnsi="Times New Roman"/>
          <w:sz w:val="18"/>
          <w:szCs w:val="18"/>
          <w:color w:val="auto"/>
        </w:rPr>
      </w:pPr>
    </w:p>
    <w:p>
      <w:pPr>
        <w:ind w:left="380" w:right="319" w:hanging="330"/>
        <w:spacing w:after="0" w:line="250"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Dynamics involving U.S. trade relations with other countries, including the imposition of or uncertainty associated with the level of tariffs, non-tariff trade barriers or sanctions, including the use of export control restrictions and sanctions against certain countries and individual companies, or other governmental actions, and responsive actions taken by the Company’s customers, including with respect to their supply chains; and</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preferences to diversify supply chains away from, or otherwise limit sourcing from, certain countries.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terminals in Hawaii and Alaska require modernization.</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has completed the first phase of renovating and modernizing its Sand Island terminal in Honolulu Harbor. However, significant upgrades remain, including projects to improve resiliency, including to risks due to severe weather events, natural disasters, sea level rise and climate-change related risks. The Company is continuing discussions with state and local authorities regarding a port modernization program for the Port of Alaska. Significant upgrades to the terminal and port facilities at the Port of Alaska are needed to improve operational safety and efficiency, accommodate modern shipping operations, and improve resiliency, including to risks due to severe weather events, natural disasters and climate-change related risks. For example, the aging docks of the port are increasingly exposed to the risk of failure due to corrosion and the loss of load-bearing capacity particularly in the event of extreme seismic events or other natural disasters. Regulatory, construction or other delays or cost overruns related to the expansion and modernization of the terminals could have an adverse impact on the Company’s business plans, financial condition and results of operations. In addition, the terminal modernization programs may not result in improved operational productivity or improved resiliency to severe weather events, extreme seismic events or other natural disasters or generate expected returns.</w:t>
      </w:r>
    </w:p>
    <w:p>
      <w:pPr>
        <w:spacing w:after="0" w:line="18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5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War, terrorist attacks and other acts of violence may cause consumer confidence and spending to decrease, or may affect the ability or willingness of tourists to travel to Hawaii, Guam or Alaska, thereby adversely affecting those economies and the Company. Wars or terrorism could impact global supply chains due to changes in vessel routing, product sourcing decisions, or governmental sanctions or restrictions. Additionally, acts of war and future terrorist attacks could increase volatility in the U.S. and worldwide financial markets. Acts of war or terrorism may also be directed at the Company’s shipping operations or may cause the U.S. government to take control of Matson’s vessels for military operations. Heightened security measures, including customs inspections and related procedures in countries of origin and destination, potentially slow the movement and increase the cost of freight through U.S. or foreign ports, across borders or on U.S. or foreign railroads or highways.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Acquisitions may have an adverse effect on the Company’s business.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Company’s growth strategy includes expansion through acquisitions, including, for example, the Company’s acquisitions of Horizon Lines, Inc. (“Horizon”) in 2015 and Span Alaska in 2016. There is no assurance that the Company will be successful in identifying, negotiating, or consummating any future acquisitions. Even if suitable candidates are identified, such transactions may result in regulatory scrutiny, litigation and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Employees</w:t>
      </w:r>
    </w:p>
    <w:p>
      <w:pPr>
        <w:spacing w:after="0" w:line="225" w:lineRule="exact"/>
        <w:rPr>
          <w:sz w:val="20"/>
          <w:szCs w:val="20"/>
          <w:color w:val="auto"/>
        </w:rPr>
      </w:pPr>
    </w:p>
    <w:p>
      <w:pPr>
        <w:jc w:val="both"/>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Work stoppages or other labor disruptions caused by the Company’s unionized workers and other workers or their unions in related industries could adversely affect the Company’s operations.</w:t>
      </w:r>
    </w:p>
    <w:p>
      <w:pPr>
        <w:spacing w:after="0" w:line="159"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A significant portion of Matson’s employees are covered by collective bargaining agreements. Furthermore, the Company relies on the services of third parties, including SSAT, which employ persons covered by collective bargaining agreements. For additional information on collective bargaining agreements with unions, see Part I, Item 1, Subheading C. Employees and Labor Relations of this Annual Report.</w:t>
      </w:r>
    </w:p>
    <w:p>
      <w:pPr>
        <w:spacing w:after="0" w:line="180"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Previously, the Company has been adversely affected by actions taken by employees of the Company or other companies in related industries against efforts by management of the Company or other companies to control labor costs, restrain wage or benefit increases or modify work practices. In the past, strikes, slow-downs and disruptions have occurred as a result of the failure of Matson or other companies in its industry to negotiate collective bargaining agreements with such unions successfully.</w:t>
      </w:r>
    </w:p>
    <w:p>
      <w:pPr>
        <w:spacing w:after="0" w:line="183"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 addition, any slow-downs, strikes, lock-outs or other disruptions, including limits on the availability of labor through trade union hiring halls, have had and in the future, particularly in years when collective bargaining agreements are being negotiated, could have an adverse impact on Matson’s or SSAT’s operations.</w:t>
      </w:r>
    </w:p>
    <w:p>
      <w:pPr>
        <w:spacing w:after="0" w:line="17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color w:val="auto"/>
        </w:rPr>
        <w:t>Loss of the Company’s key personnel or failure to adequately manage human capital could adversely affect its business.</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Company’s future success depends, in significant part, upon the continued services of its key personnel and skilled employees, including its senior management, as well as key personnel at its joint venture partners. The permanent or temporary loss of the services of key personnel could adversely affect the Company’s future operating results because of such employees’ experience with and knowledge of the Company’s business and customer relationships. If key personnel and skilled employees depart or are unable or unwilling to work, the Company’s ability to execute its business model could be impaired to the extent it cannot replace such personnel or sufficiently train new personnel in a timely manner. In addition, the Company may incur significant costs to replace these employees. Whether the Company can meet its labor needs is subject to a variety of pressures, including market compensation and benefit levels, which may be impacted by pressure within the industry to increase wages, including due to the threat of a labor strike; the availability of labor, which may be impacted by national and global labor trends including higher-than-normal levels of individuals leaving the workforce and industry trends including aging workforces that may reduce the available pool of skilled workers; a mismatch of skills or experience to support the evolving needs of the Company’s business; and employee expectations or desire for changes in the work environment. In addition, the Company’s workforce is aging, and within the next few years an increasing number of employees will be eligible to retire, which may result in a period of higher turnover rates than we have historically experienced and could amplify these challenges. The Company does not maintain key person insurance on any of its key personnel.</w:t>
      </w:r>
    </w:p>
    <w:p>
      <w:pPr>
        <w:spacing w:after="0" w:line="19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Company’s investments in and efforts to manage its human capital and maintain a desirable workplace culture, including to create a safe and healthy work environment, improve diversity and create a respectful, responsive and inclusive culture, and foster a rewarding workplace for employee development and advancement, may not be successful in identifying, attracting, developing, motivating, retaining, competing for or replacing qualified personnel. These efforts and the Company’s reputation may also be impacted by any failure or perceived failure to meet or timely progress on publicly disclosed human capital-related goals and initiatives, including with respect to diversity, equity and inclusion, or to compare favorably with the progress or goals of its industry or peers.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w:t>
      </w:r>
    </w:p>
    <w:p>
      <w:pPr>
        <w:spacing w:after="0" w:line="225"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is not able to use its information technology and communications systems effectively, the Company’s ability to conduct business might be negatively impacted.</w:t>
      </w:r>
    </w:p>
    <w:p>
      <w:pPr>
        <w:spacing w:after="0" w:line="15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is highly dependent on the proper functioning of its information technology systems to enable operations and compete effectively. The Company regularly updates its information technology systems or implements new systems, which could cause substantial business interruption. There is no assurance that the systems upgrades or new systems will meet the Company’s current or future business needs, or that they will operate as designed.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Company’s information technology systems also rely on third-party service providers for access to the Internet, satellite-based communications systems, the electric grid, database storage facilities and telecommunications providers. The Company has no control over the operations of these third-party service providers. In the past, disruptions in the Company’s third-party service providers have impacted the Company’s operations, including the Company’s ability to book and manage freight, stow vessels, and process customs declarations. Some of the Company’s employees work from home or remotely, increasing the Company’s dependence on its information technology systems and third-party providers during those times. If the Company’s information technology and communications systems experience reliability issues, integration or compatibility concerns or if the Company’s third-party providers are unable to perform effectively or experience disruptions, cyber attacks or failures, there could be an adverse impact on the availability and functioning of the Company’s information technology and communications systems, which could lead to business disruption or inefficiencies, reputational harm or loss of customers.</w:t>
      </w:r>
    </w:p>
    <w:p>
      <w:pPr>
        <w:spacing w:after="0" w:line="188" w:lineRule="exact"/>
        <w:rPr>
          <w:sz w:val="20"/>
          <w:szCs w:val="20"/>
          <w:color w:val="auto"/>
        </w:rPr>
      </w:pPr>
    </w:p>
    <w:p>
      <w:pPr>
        <w:ind w:left="60" w:right="159"/>
        <w:spacing w:after="0" w:line="317" w:lineRule="auto"/>
        <w:rPr>
          <w:sz w:val="20"/>
          <w:szCs w:val="20"/>
          <w:color w:val="auto"/>
        </w:rPr>
      </w:pPr>
      <w:r>
        <w:rPr>
          <w:rFonts w:ascii="Times New Roman" w:cs="Times New Roman" w:eastAsia="Times New Roman" w:hAnsi="Times New Roman"/>
          <w:sz w:val="17"/>
          <w:szCs w:val="17"/>
          <w:b w:val="1"/>
          <w:bCs w:val="1"/>
          <w:color w:val="auto"/>
        </w:rPr>
        <w:t>The Company’s information technology systems have in the past and may in the future be exposed to cybersecurity risks and other disruptions that could impair the Company’s ability to operate and adversely affect its business.</w:t>
      </w:r>
    </w:p>
    <w:p>
      <w:pPr>
        <w:spacing w:after="0" w:line="13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shipping industry is a more frequent target of cyber attacks than some other industries because of the essential nature of these services. The Company relies extensively on its information technology systems and third-party service providers in many aspects of its business,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The Company’s practices, policies and other efforts, including as described in Part I, Item 1C of this Annual Report on Form 10-K, may not be sufficient to prevent, detect or remediate all cybersecurity risks or other disruptions, and the Company and its service providers have in the past experienced and may in the future experience cybersecurity incidents, disruptions, threats and vulnerabilities such as malware (including computer viruses and ransomware), software bugs, denial-of-service (“DoS”) attacks, phishing, spoofing, identity-based attacks, code injection attacks, cyber terrorism, sabotage, circumvention of security systems (whether physical or virtual), malfeasance, breaches due to employee error, natural disasters, accidents, power disruptions or loss, telecommunications failure, unauthorized access or other catastrophic events or failures at the Company’s facilities, aboard its vessels or at third-party locations.</w:t>
      </w:r>
    </w:p>
    <w:p>
      <w:pPr>
        <w:spacing w:after="0" w:line="19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Any failure, breach or unauthorized access to the Company’s systems or those of third parties on which the Company relies could result in the loss of confidential, sensitive or proprietary information, interruptions in its service or production or otherwise impact the Company’s ability to conduct business operations, and could result in potential reductions in revenue and profits, damage to its reputation or liability.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Matters</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facility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facility based on floating rates. Floating rate debt creates higher debt service requirements if market interest rates increase, as has been the case in connection with the U.S. Federal Reserve’s interest rate increases in 2022 and 2023, which could adversely affect the Company’s cash flow and results of operations. Disruptions to the credit markets as a result of macroeconomic, geopolitical, or financial market developments could increase the Company’s cost of capital and limit the Company’s access to capital.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7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certain prohibitions on additional priority debt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changes to the allowable amounts of foreign derived intangible income deductions; and acquisitions and changes in the Company’s corporate structure. These factors may result in periodic revisions to the Company’s effective income tax rate, which could affect the Company’s cash flow and results of operations.</w:t>
      </w:r>
    </w:p>
    <w:p>
      <w:pPr>
        <w:spacing w:after="0" w:line="19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value of pension assets, or a change in pension law or key assumptions, may adversely affect the Company’s financial performance.</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90"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this Annual Report).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any of the multi-employer plans to which the Company contributes fails to satisfy the minimum funding requirements, the Internal Revenue Service will impose certain penalties and taxes on the Company and other contributing employers.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Regulatory and Compliance Matters</w:t>
      </w:r>
    </w:p>
    <w:p>
      <w:pPr>
        <w:spacing w:after="0" w:line="225"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As an ocean transportation and logistics services company, the Company is subject to numerous safety, environmental, and other laws and regulations that impact the Company’s operations, are costly to comply with and expose us to liability.</w:t>
      </w:r>
    </w:p>
    <w:p>
      <w:pPr>
        <w:spacing w:after="0" w:line="17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 including its vessels and terminals, is subject to numerous federal, state and local laws and regulations, including those related to safety, cabotage, equipment standards and government rates. In addition, the Company is subject to environmental laws and regulations, including those relating to air quality initiatives at port locations; air emissions; use of shore power at California ports; wastewater discharges; management of storm water; the storage, transportation, handling, emission and disposal of solid and hazardous materials, oil and oil related products, hazardous substances and wastes; the investigation and remediation of contamination and liability for damages to the environment; health, safety and the protection of the environment and natural resources; and climate change, including any regulations, mandates or restrictions related to GHG emissions, such as a potential carbon tax, and energy use. Any changes in applicable laws and regulations, including their enforcement, interpretation or implementation that results in more stringent requirements than currently anticipated, as well as any new laws and regulations that are adopted could impose significant additional costs and limitations on the Company’s ability to operate. Mitigation strategies or contingency plans to remain in compliance with applicable laws and regulations may be unsuccessful, result in additional costs or experience delays. Such costs may not be recoverable through increased payments from customers. For a discussion of specific laws and regulations, see Part I, Item 1 of this Annual Report.</w:t>
      </w:r>
    </w:p>
    <w:p>
      <w:pPr>
        <w:spacing w:after="0" w:line="19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Federal, state and local laws and regulations require us to obtain certificates of financial responsibility and to adopt procedures for oil and hazardous substance spill prevention, response and clean up, among other requirements impacting the Company’s business. In complying with applicable laws and regulations, the Company has incurred expenses and may incur material future costs and expenses related to vessel and equipment modifications, new equipment, higher-priced fuel, changes in operating practices and procedures, tracking emissions, changing routes, adopting or modifying energy sources and undergoing additional oversight inspections, all of which could adversely affect the Company’s business and financial condition. For example, Matson’s vessels operate within emissions control areas, and the Company’s U.S. flagged vessels generally must be maintained “in class” and are subject to periodic inspections by the American Bureau of Shipping or similar classification societies. They also must be periodically inspected by, or on behalf of, the United States Coast Guard. The Company’s vessels’ operating certificates and licenses are renewed periodically during the required annual surveys of the vessels, but there is no assurance that the Company’s programs and policies will be sufficient to have such certificates and licenses renewed. The EPA also requires vessels to obtain coverage under a general permit and to comply with inspection, monitoring, discharge, recordkeeping and reporting requirements.</w:t>
      </w:r>
    </w:p>
    <w:p>
      <w:pPr>
        <w:spacing w:after="0" w:line="187"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These laws and regulations provide for substantial fines, sanctions, as well as criminal and civil penalties and significant environmental liabilities, in the event of any violations of, or non-compliance with, their requirements (including any waivers, permits or recordkeeping and other reporting requirements). Any vessel-generated pollution from incidents in U.S. waters within three nautical miles, and in some cases, within the 200-mile exclusive economic zone, for example, could expose us to such fines or penalties.</w:t>
      </w:r>
    </w:p>
    <w:p>
      <w:pPr>
        <w:spacing w:after="0" w:line="179"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nature of the Company’s business exposes it to the potential for disputes, legal or other proceedings, and government inquiries or investigations relating to antitrust matters, labor and employment matters, personal injury, loss of life and property damage, environmental, shore power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continue to be exposed to risks and unknown liabilities related to the Horizon acquisition.</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Company acquired Horizon subject to all of the liabilities and obligations of its non-Hawaii business, including any remaining liabilities and obligations associated with its Puerto Rico operations, which Horizon ceased during the first quarter of 2015. The disposition of these liabilities, and any other obligations that are unknown to the Company, including contingent liabilities, could have an adverse effect on the Company’s financial condition and results of operations.</w:t>
      </w:r>
    </w:p>
    <w:p>
      <w:pPr>
        <w:spacing w:after="0" w:line="18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Pasha acquired Horizon’s former Hawaii business immediately before the Company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Risk management and strategy: </w:t>
      </w:r>
      <w:r>
        <w:rPr>
          <w:rFonts w:ascii="Times New Roman" w:cs="Times New Roman" w:eastAsia="Times New Roman" w:hAnsi="Times New Roman"/>
          <w:sz w:val="18"/>
          <w:szCs w:val="18"/>
          <w:color w:val="auto"/>
        </w:rPr>
        <w:t>Matson’s information security, Internal Audit and risk management teams help to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assess cyber and information security threats and vulnerabilities, and establish the appropriate business systems, preventive controls and risk mitigation strategies. The main objectives of Matson’s approach to cyber and information security are to protect confidential information while maintaining data integrity and availability; support legal and regulatory compliance; and prevent disruptions to business operations. The Company regularly enhances its systems, controls and strategies in an effort to guard against security breaches and unauthorized access to Matson systems or data and develops policies to guide the appropriate handling and protection of sensitive information by Matson. This includes managing third party supply chain risks with its key vendors and business partners. It also maintains incident response and remediation plans which provide that cybersecurity incidents be communicated to the Company’s senior leaders who are responsible for assessing the risks associated with a cybersecurity incident and initiating the Company’s incident response plan. The Company’s incident response and remediation plans are further supported by ongoing security monitoring services as well as a dedicated management team focused on business continuity to help support operations and mitigate disruptions should a breach, unauthorized access or other disruption event occur. In addition, the Company has established a zero trust network access roadmap that includes key security controls designed to help protect Matson employees and contractors with access to Matson systems against phishing and brute force password attacks.</w:t>
      </w:r>
    </w:p>
    <w:p>
      <w:pPr>
        <w:spacing w:after="0" w:line="19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The risk management process occurs throughout the organization, but is facilitated through a risk management steering committee comprised of senior management whose members meet regularly to identify and address specific significant risks. At least twice a year, management assesses and categorizes key risks based on their potential impact to the Company and the likelihood of the risk occurring as part of Matson’s enterprise risk management (“ERM”) program. The ERM program includes regular cyber and information security risk assessments conducted by independent, third-party cybersecurity professionals, including assessors, consultants, auditors and penetration testers. Results from these risk assessments, along with remediation recommendations, are provided to executive leadership and the Company’s Board of Directors (the “Board”). The Board also consults with outside advisors and experts, when appropriate, to anticipate future threats and trends, and their impact on the Company’s risk environment. In addition, the Company utilizes annual third-party audits to test its cybersecurity systems and incident response and remediation plans to help spot vulnerabilities and improve its ability to respond to unexpected events. For more information on Matson’s ERM program, see “—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below.</w:t>
      </w:r>
    </w:p>
    <w:p>
      <w:pPr>
        <w:spacing w:after="0" w:line="190"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As part of its approach, the Company conducts varied due diligence on its key technology vendors to review their cybersecurity risk profiles and scores. This includes pre-contract award due diligence reviews of such vendors and cyber and information security requirements within its vendor contracts. Additionally, the Company leverages independent, third-party services to monitor the cyber and information security posture of key suppliers and vendors. The Company’s Chief Executive Officer and Chief Financial Officer are briefed on a quarterly basis on the results of these reviews.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Training, education and awareness-building are mechanisms Matson uses to help embed a strong culture of cyber and information security within its workplace. The Company’s long-term aim is to have a workforce with high-functioning knowledge of cybersecurity. In furtherance of this aim, the Company conducts training annually for employees that addresses cyber and information security, and holds additional training typically at least three times per year for specific topics such as data and email security. Furthermore, Matson requires enhanced training for employees with access to particularly sensitive information. The Company also has specific escalation processes and resources in place for employees to raise a concern should they notice anything suspicious.</w:t>
      </w:r>
    </w:p>
    <w:p>
      <w:pPr>
        <w:spacing w:after="0" w:line="18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design of Matson’s vessel and office information technology systems is informed in part by the following third-party frameworks or standards:</w:t>
      </w: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 27001</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NIST Cybersecurity Framework</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NIST 800-171</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DFARS 252.204-7012</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IMO MSC-FAL.1/Circ.3/Rev.2</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BIMCO’s Guidelines for Cyber Security Onboard Ships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IAPH’s Cybersecurity Guidelines for Ports and Port Facilities</w:t>
      </w:r>
    </w:p>
    <w:p>
      <w:pPr>
        <w:spacing w:after="0" w:line="20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addition, Matson participates in the following organizations in its effort to better understand best practices and advance its systems and policies over time:</w:t>
      </w: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Security Administration (“NSA”)’s Cybersecurity Collaboration Center</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Cybersecurity and Infrastructure Security Agency’s Critical Partnership</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Bureau of Investigation (“FBI”) InfraGard</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Coast Guard Area Maritime Security Committees and Cybersecurity Subcommittees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Cyber-Hawaii</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Transportation System Information Sharing and Analysis Center (“MTS-ISAC”)</w:t>
      </w:r>
    </w:p>
    <w:p>
      <w:pPr>
        <w:spacing w:after="0" w:line="20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the last fiscal year, Matson has not identified risks from known cybersecurity threats, including as a result of any prior cybersecurity incidents, that have materially affected the Company, but the Company faces certain ongoing cybersecurity risks threats that, if realized, are reasonably likely to materially affect the Company. For more information on the risks and impacts of these matters to Matson, see Part I, Item 1A. Risk Factors – “</w:t>
      </w:r>
      <w:r>
        <w:rPr>
          <w:rFonts w:ascii="Times New Roman" w:cs="Times New Roman" w:eastAsia="Times New Roman" w:hAnsi="Times New Roman"/>
          <w:sz w:val="18"/>
          <w:szCs w:val="18"/>
          <w:i w:val="1"/>
          <w:iCs w:val="1"/>
          <w:color w:val="auto"/>
        </w:rPr>
        <w:t>The Company’s information technology systems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in the past and may in the future be exposed to cybersecurity risks and other disruptions that could impair the Company’s ability to operate and adversely affect its business.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Governance: </w:t>
      </w:r>
      <w:r>
        <w:rPr>
          <w:rFonts w:ascii="Times New Roman" w:cs="Times New Roman" w:eastAsia="Times New Roman" w:hAnsi="Times New Roman"/>
          <w:sz w:val="18"/>
          <w:szCs w:val="18"/>
          <w:color w:val="auto"/>
        </w:rPr>
        <w:t>Matson’s Board of Directors has oversight of the Company’s risk management process, which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overseeing our process for identifying, assessing and mitigating significant financial, operational, legal, strategic, and other risks that may affect the Company. These risks include, among other things, risks related to cybersecurity and information security. Risk oversight plays a role in major Board decisions, and the evaluation of key risks is a core part of the decision-making process – from guidance on strategy to review of major capital expenditures.</w:t>
      </w:r>
    </w:p>
    <w:p>
      <w:pPr>
        <w:spacing w:after="0" w:line="18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Board administers its oversight role in part through its committees. The Audit Committee is responsible for overseeing and reviewing cyber and information security risks, policies and programs and reviews the Company’s risk assessment, risk management and compliance policies twice a year. Senior leaders, including Matson’s Chief Information Officer, review the Company’s cybersecurity program with the Board of Directors at least annually, and the Chief Information Officer meets with the Audit Committee at least twice per year. Matson’s information security efforts are led by its Chief Information Officer, who has over 25 years of experience in enterprise software development, infrastructure and management, including over 17 years with Matson and 7 years at Charles Schwab as Senior Manager of Middleware Security, and Senior Director, Information Security, who is a Certified Information Systems Security Professional, Certified Information Systems Auditor, and is AWS Certified. The Chief Information Officer and Senior Director provide regular briefings to the Chief Executive Officer, the Chief Financial Officer, the Board of Directors, and the Audit Committee. In addition, the Corporate Compliance Committee, comprised of business unit leaders, helps oversee cybersecurity initiatives and reports twice per year to the Audit Committee. These processes are part of the risk management processes described in the risk management and strategy section above.</w:t>
      </w:r>
    </w:p>
    <w:p>
      <w:pPr>
        <w:spacing w:after="0" w:line="18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Audit Committee also oversees Matson’s ERM program, which includes cyber and information security risks. The ERM process, which follows the Committee of Sponsoring Organization Framework, is designed to promote visibility to the Board and management of critical risks and risk mitigation strategies across various time frames, including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short-, medium- and long-term. Risk mitigation efforts are integrated into strategic plans and budgets. The Chief Financial Officer and Head of Internal Audit review the Company’s risk management activities with the Audit Committee and the Board on a regular basis. Management also regularly updates the full Board at and between Board meetings on the ERM program and other risk-related matters. In addition, executive sessions of the Board, which are led by the Lead Independent Director, have focused on certain risk oversight topics from time to time. The Lead Independent Director consults with the Chairman of the Board regarding risk-focused topics at Board meetings.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leases terminal facilities including berth, yard, office and storage spaces. Material terminal facilities used by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Ocean Transportation segment include the following:</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Terminal Location</w:t>
            </w:r>
          </w:p>
        </w:tc>
        <w:tc>
          <w:tcPr>
            <w:tcW w:w="18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Acreage</w:t>
            </w:r>
          </w:p>
        </w:tc>
      </w:tr>
      <w:tr>
        <w:trPr>
          <w:trHeight w:val="209"/>
        </w:trPr>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Honolulu, Hawaii</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Dutch Harbor, Alaska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Kodiak, Alaska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Tacoma, Washington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Point, Guam</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r>
    </w:tbl>
    <w:p>
      <w:pPr>
        <w:spacing w:after="0" w:line="85"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Company’s other primary terminal facilities located at the ports of Oakland and Long Beach, California, and Tacoma, Washington are leased by SSAT.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material facilities used by the Company’s Logistics segment include the following:</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Material Facilities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Square Footage</w:t>
            </w: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Leased facilities:</w:t>
            </w:r>
          </w:p>
        </w:tc>
        <w:tc>
          <w:tcPr>
            <w:tcW w:w="1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Pooler, Georgia</w:t>
            </w:r>
          </w:p>
        </w:tc>
        <w:tc>
          <w:tcPr>
            <w:tcW w:w="2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710,844</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Oakland, California</w:t>
            </w:r>
          </w:p>
        </w:tc>
        <w:tc>
          <w:tcPr>
            <w:tcW w:w="24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406,463</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Pooler, Georgia</w:t>
            </w:r>
          </w:p>
        </w:tc>
        <w:tc>
          <w:tcPr>
            <w:tcW w:w="2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324,832</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Oakland, California</w:t>
            </w:r>
          </w:p>
        </w:tc>
        <w:tc>
          <w:tcPr>
            <w:tcW w:w="24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Auburn, Washington</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 / Cross-dock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facilities: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Anchorage, Alaska</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 / Cross-dock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Fairbanks, Alaska</w:t>
            </w:r>
          </w:p>
        </w:tc>
        <w:tc>
          <w:tcPr>
            <w:tcW w:w="2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 / Cross-dock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3" w:lineRule="exact"/>
        <w:rPr>
          <w:sz w:val="20"/>
          <w:szCs w:val="20"/>
          <w:color w:val="auto"/>
        </w:rPr>
      </w:pPr>
    </w:p>
    <w:p>
      <w:pPr>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 faces certain risks that could result in material expenditures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remediation. The Company believes that based on all information currently available to it, the Company is currently in compliance, in all material respects, with applicable environmental laws and regulations.</w:t>
      </w:r>
    </w:p>
    <w:p>
      <w:pPr>
        <w:spacing w:after="0" w:line="16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In accordance with SEC rules, with respect to administrative or judicial proceedings involving the environment, the Company has determined that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6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7" w:lineRule="exact"/>
        <w:rPr>
          <w:sz w:val="20"/>
          <w:szCs w:val="20"/>
          <w:color w:val="auto"/>
        </w:rPr>
      </w:pPr>
    </w:p>
    <w:p>
      <w:pPr>
        <w:ind w:left="60" w:right="6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Information: </w:t>
      </w:r>
      <w:r>
        <w:rPr>
          <w:rFonts w:ascii="Times New Roman" w:cs="Times New Roman" w:eastAsia="Times New Roman" w:hAnsi="Times New Roman"/>
          <w:sz w:val="18"/>
          <w:szCs w:val="18"/>
          <w:color w:val="auto"/>
        </w:rPr>
        <w:t>Matson’s common stock is traded on the New York Stock Exchange under the ticker symbol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“MATX”. As of February 16, 2024, there were 1,904 shareholders of record of Matson common stock.</w:t>
      </w:r>
    </w:p>
    <w:p>
      <w:pPr>
        <w:spacing w:after="0" w:line="158" w:lineRule="exact"/>
        <w:rPr>
          <w:sz w:val="20"/>
          <w:szCs w:val="20"/>
          <w:color w:val="auto"/>
        </w:rPr>
      </w:pPr>
    </w:p>
    <w:p>
      <w:pPr>
        <w:jc w:val="both"/>
        <w:ind w:left="60" w:right="2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 Return Performance Graph and Trading Information: </w:t>
      </w:r>
      <w:r>
        <w:rPr>
          <w:rFonts w:ascii="Times New Roman" w:cs="Times New Roman" w:eastAsia="Times New Roman" w:hAnsi="Times New Roman"/>
          <w:sz w:val="18"/>
          <w:szCs w:val="18"/>
          <w:color w:val="auto"/>
        </w:rPr>
        <w:t>The following information in this Item 5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filed for purposes of Section 18 of the Securities Exchange Act of 1934, nor shall it be deemed incorporated by reference in any filing under the Securities Act of 1933.</w:t>
      </w:r>
    </w:p>
    <w:p>
      <w:pPr>
        <w:spacing w:after="0" w:line="17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2023.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5563235" cy="4449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63235" cy="444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graph above represents $100 invested on December 31, 2018 in the Company’s stock or the indicated index, including reinvestment of dividends.</w:t>
      </w:r>
    </w:p>
    <w:p>
      <w:pPr>
        <w:spacing w:after="0" w:line="16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Trading volume averaged 274,339 shares a day in 2023, compared with 431,336 shares a day in 2022 and 291,899 shares a day in 2021, as reported by the New York Stock Exchange.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Dividends per share of common stock declared by the Company for each fiscal quarter during 2023,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were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20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0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tcPr>
          <w:p>
            <w:pPr>
              <w:spacing w:after="0"/>
              <w:rPr>
                <w:sz w:val="18"/>
                <w:szCs w:val="18"/>
                <w:color w:val="auto"/>
              </w:rPr>
            </w:pPr>
          </w:p>
        </w:tc>
      </w:tr>
      <w:tr>
        <w:trPr>
          <w:trHeight w:val="209"/>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Matson’s Board of Directors also declared a cash dividend of $0.32 per share for the first quarter 2024, payable on</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March 7, 2024 to shareholders of record on February 8, 2024. Although Matson expects to continue paying quarterly cash dividends on its common stock, the declaration and payment of dividends are subject to the discretion of the Board of Directors and depends upon Matson’s financial condition, results of operations, cash requirements and other factors deemed relevant by the Board of Directors.</w:t>
      </w:r>
    </w:p>
    <w:p>
      <w:pPr>
        <w:spacing w:after="0" w:line="187"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The following is a summary of common stock repurchased by the Company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w:t>
      </w: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1"/>
                <w:szCs w:val="11"/>
                <w:color w:val="auto"/>
              </w:rPr>
            </w:pPr>
          </w:p>
        </w:tc>
        <w:tc>
          <w:tcPr>
            <w:tcW w:w="1260" w:type="dxa"/>
            <w:vAlign w:val="bottom"/>
            <w:gridSpan w:val="2"/>
          </w:tcPr>
          <w:p>
            <w:pPr>
              <w:jc w:val="center"/>
              <w:ind w:right="20"/>
              <w:spacing w:after="0" w:line="138"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14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131,744</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2,829,883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30,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216,664</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2,613,219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499,439</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499,439</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99" w:hanging="330"/>
        <w:spacing w:after="0" w:line="229"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2021, the Company announced that its Board of Directors had approved a share repurchase program of up to 3.0 million shares of common stock from August 3, 2021 through August 2, 2024. On January 27, 2022, the Company’s Board of Directors approved an addition of 3.0 million shares to the Company’s existing share repurchase program. On August 23, 2022, the Company’s Board of Directors approved an addition of 3.0 million shares to the Company’s existing share repurchase program. On April 27, 2023, the Company’s Board of Directors approved an addition of 3.0 million shares to the Company’s existing share repurchase program, for a total of 12.0 million shares of common stock approved under the program since it was established, and extended the program to December 31, 2025. Shares may be repurchased in the open market from time to time, and may be repurchased pursuant to a trading plan in accordance with Rule 10b5-1 of the Securities Exchange Act of 1934.</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229"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2024 or future years, including such references included under “Fourth Quarter 2023 Discussion and Update on Business Conditions,” as well as statements generally identified through the inclusion of words such as “anticipate,” “believe,” “can,” “commit,” “estimate,” “expect,” “goal,” “intend,” “may,” “plan,” “target,” “should,” “seek,”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 Item 1A under the caption “Risk Factors” of this Annual Report on Form 10-K, which section is incorporated herein by reference, and elsewhere in this report.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assists in understanding the changes in the Company’s Consolidated Financial Statements from year to year, the primary factors that accounted for those changes, and how certain accounting principles, policies and estimates affected the Company’s Consolidated Financial Statements. The MD&amp;A is provided as a supplement to the Consolidated Financial Statements and the accompanying notes to the Consolidated Financial Statements in Item 8 of Part II below, and should be read in conjunction with the entirety of the Company’s Annual Report on Form 10-K and other reports on Forms 10-Q and 8-K, and other publicly available information. Discussion and analysis of the financial condition and results of operations of Matson for the year ended December 31, 2022 compared with the year ended December 31, 2021 can be found in Part II, Item 7 of the Company’s </w:t>
      </w:r>
      <w:hyperlink r:id="rId50">
        <w:r>
          <w:rPr>
            <w:rFonts w:ascii="Times New Roman" w:cs="Times New Roman" w:eastAsia="Times New Roman" w:hAnsi="Times New Roman"/>
            <w:sz w:val="18"/>
            <w:szCs w:val="18"/>
            <w:u w:val="single" w:color="auto"/>
            <w:color w:val="0000EE"/>
          </w:rPr>
          <w:t>Annual Report on Form 10-K for the year ended December 31, 2022</w:t>
        </w:r>
      </w:hyperlink>
      <w:r>
        <w:rPr>
          <w:rFonts w:ascii="Times New Roman" w:cs="Times New Roman" w:eastAsia="Times New Roman" w:hAnsi="Times New Roman"/>
          <w:sz w:val="18"/>
          <w:szCs w:val="18"/>
          <w:color w:val="auto"/>
        </w:rPr>
        <w:t>, filed with the SEC on February 24, 2023.</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MD&amp;A is presented in the following sections: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Historical Financial Information</w:t>
      </w:r>
    </w:p>
    <w:p>
      <w:pPr>
        <w:spacing w:after="0" w:line="47" w:lineRule="exact"/>
        <w:rPr>
          <w:sz w:val="20"/>
          <w:szCs w:val="20"/>
          <w:color w:val="auto"/>
        </w:rPr>
      </w:pPr>
    </w:p>
    <w:p>
      <w:pPr>
        <w:ind w:left="720" w:right="4379"/>
        <w:spacing w:after="0" w:line="250" w:lineRule="auto"/>
        <w:rPr>
          <w:sz w:val="20"/>
          <w:szCs w:val="20"/>
          <w:color w:val="auto"/>
        </w:rPr>
      </w:pPr>
      <w:r>
        <w:rPr>
          <w:rFonts w:ascii="Times New Roman" w:cs="Times New Roman" w:eastAsia="Times New Roman" w:hAnsi="Times New Roman"/>
          <w:sz w:val="18"/>
          <w:szCs w:val="18"/>
          <w:color w:val="auto"/>
        </w:rPr>
        <w:t>Fourth Quarter 2023 Discussion and Outlook for 2024 Consolidated Results of Operations</w:t>
      </w:r>
    </w:p>
    <w:p>
      <w:pPr>
        <w:ind w:left="720" w:right="4239"/>
        <w:spacing w:after="0" w:line="250" w:lineRule="auto"/>
        <w:rPr>
          <w:sz w:val="20"/>
          <w:szCs w:val="20"/>
          <w:color w:val="auto"/>
        </w:rPr>
      </w:pPr>
      <w:r>
        <w:rPr>
          <w:rFonts w:ascii="Times New Roman" w:cs="Times New Roman" w:eastAsia="Times New Roman" w:hAnsi="Times New Roman"/>
          <w:sz w:val="18"/>
          <w:szCs w:val="18"/>
          <w:color w:val="auto"/>
        </w:rPr>
        <w:t>Analysis of Operating Revenue and Income by Segment Liquidity and Capital Resources</w:t>
      </w:r>
    </w:p>
    <w:p>
      <w:pPr>
        <w:ind w:left="720" w:right="3419"/>
        <w:spacing w:after="0" w:line="250" w:lineRule="auto"/>
        <w:rPr>
          <w:sz w:val="20"/>
          <w:szCs w:val="20"/>
          <w:color w:val="auto"/>
        </w:rPr>
      </w:pPr>
      <w:r>
        <w:rPr>
          <w:rFonts w:ascii="Times New Roman" w:cs="Times New Roman" w:eastAsia="Times New Roman" w:hAnsi="Times New Roman"/>
          <w:sz w:val="18"/>
          <w:szCs w:val="18"/>
          <w:color w:val="auto"/>
        </w:rPr>
        <w:t>Commitments, Contingencies and Off-Balance Sheet Arrangements Critical Accounting Estimates</w:t>
      </w:r>
    </w:p>
    <w:p>
      <w:pPr>
        <w:ind w:left="400"/>
        <w:spacing w:after="0"/>
        <w:rPr>
          <w:sz w:val="20"/>
          <w:szCs w:val="20"/>
          <w:color w:val="auto"/>
        </w:rPr>
      </w:pPr>
      <w:r>
        <w:rPr>
          <w:rFonts w:ascii="Times New Roman" w:cs="Times New Roman" w:eastAsia="Times New Roman" w:hAnsi="Times New Roman"/>
          <w:sz w:val="18"/>
          <w:szCs w:val="18"/>
          <w:color w:val="auto"/>
        </w:rPr>
        <w:t>Other Matters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HISTORICAL FINANCIAL INFORMATION</w:t>
      </w:r>
    </w:p>
    <w:p>
      <w:pPr>
        <w:spacing w:after="0" w:line="14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comparative selected financial information of the Company is presented for each of the past five years ended December 31, 2023. The information should be read in conjunction with Item 8, “Financial Statements and Supplementary Data.” All fiscal years include 52 weeks, except for the year ended December 31, 2021 which includes 53 weeks (a description of the Company’s fiscal year is included in Note 2 to the Consolidated Financial Statements in Item 8 of Part II below):</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r>
      <w:tr>
        <w:trPr>
          <w:trHeight w:val="196"/>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Ocean Transportation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2,477.0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3,544.6</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3,132.8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1,853.9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1,666.6</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40" w:type="dxa"/>
            <w:vAlign w:val="bottom"/>
            <w:shd w:val="clear" w:color="auto" w:fill="CCEEFF"/>
          </w:tcPr>
          <w:p>
            <w:pPr>
              <w:spacing w:after="0"/>
              <w:rPr>
                <w:sz w:val="17"/>
                <w:szCs w:val="17"/>
                <w:color w:val="auto"/>
              </w:rPr>
            </w:pPr>
          </w:p>
        </w:tc>
      </w:tr>
      <w:tr>
        <w:trPr>
          <w:trHeight w:val="236"/>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3,094.6</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4,343.0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3,925.3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2,383.3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2,203.1</w:t>
            </w:r>
          </w:p>
        </w:tc>
        <w:tc>
          <w:tcPr>
            <w:tcW w:w="4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and Net Income: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Ocean Transportation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Income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1,353.6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1,352.3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taxes (2)</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(288.4)</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w:t>
            </w:r>
          </w:p>
        </w:tc>
      </w:tr>
      <w:tr>
        <w:trPr>
          <w:trHeight w:val="196"/>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Ocean Transportation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40" w:type="dxa"/>
            <w:vAlign w:val="bottom"/>
            <w:shd w:val="clear" w:color="auto" w:fill="CCEEFF"/>
          </w:tcPr>
          <w:p>
            <w:pPr>
              <w:spacing w:after="0"/>
              <w:rPr>
                <w:sz w:val="17"/>
                <w:szCs w:val="17"/>
                <w:color w:val="auto"/>
              </w:rPr>
            </w:pPr>
          </w:p>
        </w:tc>
      </w:tr>
      <w:tr>
        <w:trPr>
          <w:trHeight w:val="236"/>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4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Ocean Transportation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40" w:type="dxa"/>
            <w:vAlign w:val="bottom"/>
            <w:shd w:val="clear" w:color="auto" w:fill="CCEEFF"/>
          </w:tcPr>
          <w:p>
            <w:pPr>
              <w:spacing w:after="0"/>
              <w:rPr>
                <w:sz w:val="17"/>
                <w:szCs w:val="17"/>
                <w:color w:val="auto"/>
              </w:rPr>
            </w:pPr>
          </w:p>
        </w:tc>
      </w:tr>
      <w:tr>
        <w:trPr>
          <w:trHeight w:val="202"/>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Borders>
              <w:bottom w:val="single" w:sz="8" w:color="CCEEFF"/>
            </w:tcBorders>
          </w:tcPr>
          <w:p>
            <w:pPr>
              <w:spacing w:after="0"/>
              <w:rPr>
                <w:sz w:val="17"/>
                <w:szCs w:val="17"/>
                <w:color w:val="auto"/>
              </w:rPr>
            </w:pPr>
          </w:p>
        </w:tc>
      </w:tr>
      <w:tr>
        <w:trPr>
          <w:trHeight w:val="196"/>
        </w:trPr>
        <w:tc>
          <w:tcPr>
            <w:tcW w:w="4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Deferred Dry-docking Amortization — Ocean Transportation</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in Net Income: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4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per share declared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4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Construction Fund (“CCF”)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Debt (before deferred loan fees deduction) (4)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958.4</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2,400.7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2,296.9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1,667.4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805.7</w:t>
            </w:r>
          </w:p>
        </w:tc>
        <w:tc>
          <w:tcPr>
            <w:tcW w:w="40" w:type="dxa"/>
            <w:vAlign w:val="bottom"/>
            <w:shd w:val="clear" w:color="auto" w:fill="CCEEFF"/>
          </w:tcPr>
          <w:p>
            <w:pPr>
              <w:spacing w:after="0"/>
              <w:rPr>
                <w:sz w:val="17"/>
                <w:szCs w:val="17"/>
                <w:color w:val="auto"/>
              </w:rPr>
            </w:pPr>
          </w:p>
        </w:tc>
      </w:tr>
      <w:tr>
        <w:trPr>
          <w:trHeight w:val="210"/>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Shares outstanding</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380" w:right="539" w:hanging="330"/>
        <w:spacing w:after="0" w:line="219"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Ocean Transportation segment includes $2.2 million, $83.1 million, $56.3 million, $26.3 million and $20.8 million of equity in income from the Company’s investment in SSAT for 2023, 2022, 2021, 2020 and 2019, respectively.</w:t>
      </w:r>
    </w:p>
    <w:p>
      <w:pPr>
        <w:ind w:left="380" w:right="139" w:hanging="330"/>
        <w:spacing w:after="0" w:line="208"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Income tax for the year ended December 31, 2019 includes a non-cash income tax benefit of $2.9 million related to the remeasurement of the Company’s deferred assets and liabilities and other discrete adjustments as a result of applying the Tax Cut and Jobs Act of 2017.</w:t>
      </w:r>
    </w:p>
    <w:p>
      <w:pPr>
        <w:ind w:left="380" w:hanging="330"/>
        <w:spacing w:after="0" w:line="221"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Company’s Capital Construction Fund is described in Note 7 to the Consolidated Financial Statements in Item 8 of Part II.</w:t>
      </w:r>
    </w:p>
    <w:p>
      <w:pPr>
        <w:ind w:left="380" w:hanging="330"/>
        <w:spacing w:after="0" w:line="223"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Company’s debt is described in Note 8 to the Consolidated Financial Statements in Item 8 of Part II.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FOURTH QUARTER 2023 DISCUSSION AND OUTLOOK FOR 2024</w:t>
      </w:r>
    </w:p>
    <w:p>
      <w:pPr>
        <w:spacing w:after="0" w:line="227"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The Company’s container volume in the Hawaii service in the fourth quarter 2023 was 1.9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year-over-year. The decrease was primarily due to lower general demand. According to UHERO’s most recent forecast report, the Hawaii economy is projected to grow modestly despite challenged growth in visitor arrivals primarily due to reduced tourism to Maui as a result of the wildfires last year and sluggish recovery of international tourism. The Company expects volume in 2024 to be comparable to the level in 2023, reflecting modest economic growth in Hawaii and stable market share.</w:t>
      </w:r>
    </w:p>
    <w:p>
      <w:pPr>
        <w:spacing w:after="0" w:line="184"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China, the Company’s container volume in the fourth quarter 2023 increased 23.3 percent year-over-year. The increase was primarily due to higher demand for the China service resulting in higher volumes for both CLX and CLX+. The Company achieved lower freight rates in the fourth quarter 2023 as compared to the prior year period. Currently in the Transpacific marketplace, the Company continues to see steady U.S. consumer demand, which the Company expects to lead to similar demand for Matson’s CLX and CLX+ services in 2024 as in 2023. The Company also expects average freight rates in 2024 to be modestly higher than the levels achieved in 2023.</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Guam, the Company’s container volume in the fourth quarter 2023 increased 2.0 percent year-over-year primarily due to higher general demand. In the near-term, the Company expects continued improvement in the Guam economy with a low unemployment rate and a modest increase in tourism. For 2024, the Company expects volume to approximate the level achieved last year.</w:t>
      </w:r>
    </w:p>
    <w:p>
      <w:pPr>
        <w:spacing w:after="0" w:line="18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Alaska, the Company’s container volume for the fourth quarter 2023 decreased 0.6 percent year-over-year due to lower export seafood volume from the Alaska-Asia Express service (“AAX”), partially offset by higher northbound volume due to an additional sailing and higher southbound volume due to higher domestic seafood volume. In the near-term, the Company expects continued economic growth in Alaska supported by a low unemployment rate, jobs growth and lower levels of inflation. For 2024, the Company expects volume to approximate the level achieved last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contribution in the fourth quarter 2023 from the Company’s SSAT joint venture investment was $4.1 million, or</w:t>
      </w:r>
    </w:p>
    <w:p>
      <w:pPr>
        <w:spacing w:after="0" w:line="27"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$3.1 million higher than the fourth quarter 2022. For 2024, the Company expects the contribution from SSAT to be higher than the levels achieved in 2023 due to an expected increase in lift volumes.</w:t>
      </w:r>
    </w:p>
    <w:p>
      <w:pPr>
        <w:spacing w:after="0" w:line="181"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Absent a significant change in trajectory of the U.S. economy, the Company expects trade dynamics across all its tradelanes in 2024 to be comparable to 2023 as consumer-related spending activity is expected to remain stable and, as noted above, the Company also expects increased operating income contributions from SSAT. As such, the Company expects full year 2024 Ocean Transportation operating income to be higher than the $294.8 million achieved in 2023. In the first quarter 2024, the Company expects Ocean Transportation operating income to be lower than the $27.8 million achieved in the first quarter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In the fourth quarter 2023, operating income for the Company’s Logistics segment was $8.9 million, or</w:t>
      </w:r>
    </w:p>
    <w:p>
      <w:pPr>
        <w:spacing w:after="0" w:line="2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$3.9 million lower compared to the level achieved in the fourth quarter 2022. The decrease was primarily due to a lower contribution from transportation brokerage. For 2024, the Company expects challenging business conditions for transportation brokerage at least through the first half of the year, which the Company expects to lead to operating income being lower in 2024 than the level achieved in 2023. For the first quarter 2024, the Company expects Logistics operating income to be lower than the $10.9 million achieved in the first quarter 2023.</w:t>
      </w:r>
    </w:p>
    <w:p>
      <w:pPr>
        <w:spacing w:after="0" w:line="185" w:lineRule="exact"/>
        <w:rPr>
          <w:sz w:val="20"/>
          <w:szCs w:val="20"/>
          <w:color w:val="auto"/>
        </w:rPr>
      </w:pPr>
    </w:p>
    <w:p>
      <w:pPr>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Operating Income: </w:t>
      </w:r>
      <w:r>
        <w:rPr>
          <w:rFonts w:ascii="Times New Roman" w:cs="Times New Roman" w:eastAsia="Times New Roman" w:hAnsi="Times New Roman"/>
          <w:sz w:val="18"/>
          <w:szCs w:val="18"/>
          <w:color w:val="auto"/>
        </w:rPr>
        <w:t>For full year 2024, the Company expects consolidated operating income to approximate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$342.8 million achieved in 2023 and expects comparable seasonality to the prior year. For the first quarter 2024, the Company expects consolidated operating income to be lower than the $38.7 million achieved in the first quarter 2023.</w:t>
      </w:r>
    </w:p>
    <w:p>
      <w:pPr>
        <w:spacing w:after="0" w:line="173"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For the full year 2024, the Company expects depreciation and amortization expense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$180 million, inclusive of dry-docking amortization of approximately $27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Company expects interest income for the full year 2024 to be approximately $35 million.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The Company expects interest expense for the full year 2024 to be approximately $8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The Company expects full year 2024 other income (expense) to be approximately $7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which is attributable to other component costs related to the Company’s pension and post-retirement plans.</w:t>
      </w:r>
    </w:p>
    <w:p>
      <w:pPr>
        <w:spacing w:after="0" w:line="158" w:lineRule="exact"/>
        <w:rPr>
          <w:sz w:val="20"/>
          <w:szCs w:val="20"/>
          <w:color w:val="auto"/>
        </w:rPr>
      </w:pPr>
    </w:p>
    <w:p>
      <w:pPr>
        <w:ind w:left="60" w:right="2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the fourth quarter 2023, the Company’s effective tax rate was 26.0 percent. For the full year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expects its effective tax rate to be approximately 22.0 percent.</w:t>
      </w:r>
    </w:p>
    <w:p>
      <w:pPr>
        <w:spacing w:after="0" w:line="158"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and Vessel Dry-docking Expenditures: </w:t>
      </w:r>
      <w:r>
        <w:rPr>
          <w:rFonts w:ascii="Times New Roman" w:cs="Times New Roman" w:eastAsia="Times New Roman" w:hAnsi="Times New Roman"/>
          <w:sz w:val="18"/>
          <w:szCs w:val="18"/>
          <w:color w:val="auto"/>
        </w:rPr>
        <w:t>For the full year 2023, the Company made capital expenditure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new builds of $195.5 million, capitalized vessel construction expenditures of $52.9 million, and dry-docking payments of $24.1 million. For the full year 2024, the Company expects to make other capital expenditure payments, including maintenance capital expenditures, of approximately $180 to $200 million, new vessel construction expenditures (including capitalized interest and owner’s items) of approximately $75 million, and dry-docking payments of approximately $35 million.</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analysis of the financial results of operations of Matson for the years ended December 31, 2023 and 2022 should be read in conjunction with the Consolidated Financial Statements in Item 8 of Part II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2023 compared with 2022:</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339.0 %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8"/>
              </w:rPr>
              <w:t>(72.4)%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8.42</w:t>
            </w:r>
          </w:p>
        </w:tc>
        <w:tc>
          <w:tcPr>
            <w:tcW w:w="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27.28</w:t>
            </w:r>
          </w:p>
        </w:tc>
        <w:tc>
          <w:tcPr>
            <w:tcW w:w="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(18.86)</w:t>
            </w:r>
          </w:p>
        </w:tc>
        <w:tc>
          <w:tcPr>
            <w:tcW w:w="200" w:type="dxa"/>
            <w:vAlign w:val="bottom"/>
            <w:vMerge w:val="continue"/>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Fiscal years ended December 31, 2023 and 2022 include 52 weeks.</w:t>
      </w:r>
    </w:p>
    <w:p>
      <w:pPr>
        <w:spacing w:after="0" w:line="158" w:lineRule="exact"/>
        <w:rPr>
          <w:sz w:val="20"/>
          <w:szCs w:val="20"/>
          <w:color w:val="auto"/>
        </w:rPr>
      </w:pPr>
    </w:p>
    <w:p>
      <w:pPr>
        <w:ind w:left="60" w:right="2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Operating Revenue </w:t>
      </w:r>
      <w:r>
        <w:rPr>
          <w:rFonts w:ascii="Times New Roman" w:cs="Times New Roman" w:eastAsia="Times New Roman" w:hAnsi="Times New Roman"/>
          <w:sz w:val="18"/>
          <w:szCs w:val="18"/>
          <w:color w:val="auto"/>
        </w:rPr>
        <w:t>for the year ended December 31, 2023 decreased $1,248.4 million, or 28.7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The decrease was due to decrease in Ocean Transportation revenue of $1,067.6 million and a decrease in Logistics revenue of $180.8 million.</w:t>
      </w:r>
    </w:p>
    <w:p>
      <w:pPr>
        <w:spacing w:after="0" w:line="106"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for the year ended December 31, 2023 decreased $237.6 million, or 7.9 percent,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prior year. The decrease was due to a decrease in Ocean Transportation operating costs and expenses of $81.2 million and a decrease in Logistics operating costs and expenses of $156.4 million.</w:t>
      </w:r>
    </w:p>
    <w:p>
      <w:pPr>
        <w:spacing w:after="0" w:line="106"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for the year ended December 31, 2023 decreased $1,010.8 million, or 74.7 percent,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The decrease was due to a decrease in Ocean Transportation operating income of $986.4 million and a decrease in Logistics operating income of $24.4 million.</w:t>
      </w:r>
    </w:p>
    <w:p>
      <w:pPr>
        <w:spacing w:after="0" w:line="10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reasons for changes in operating revenue, operating costs and expenses, and operating income are described below, by business segment, in “Analysis of Operating Revenue and Income by Segment.”</w:t>
      </w:r>
    </w:p>
    <w:p>
      <w:pPr>
        <w:spacing w:after="0" w:line="92"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Interest Income </w:t>
      </w:r>
      <w:r>
        <w:rPr>
          <w:rFonts w:ascii="Times New Roman" w:cs="Times New Roman" w:eastAsia="Times New Roman" w:hAnsi="Times New Roman"/>
          <w:sz w:val="17"/>
          <w:szCs w:val="17"/>
          <w:color w:val="auto"/>
        </w:rPr>
        <w:t>was $36.0 million for the year ended December 31, 2023, compared to $8.2 million in the prior year.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 interest income was due to amounts on deposit in cash and cash equivalent accounts, and cash on deposit within the Capital Construction Fund that were invested in interest bearing accounts during the year ended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was $12.2 million for the year ended December 31, 2023, compared to $18.0 million in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 in interest expense was due to lower outstanding debt during the year ended December 31, 2023, compared to the prior year.</w:t>
      </w:r>
    </w:p>
    <w:p>
      <w:pPr>
        <w:spacing w:after="0" w:line="10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Other Income (Expense), net </w:t>
      </w:r>
      <w:r>
        <w:rPr>
          <w:rFonts w:ascii="Times New Roman" w:cs="Times New Roman" w:eastAsia="Times New Roman" w:hAnsi="Times New Roman"/>
          <w:sz w:val="17"/>
          <w:szCs w:val="17"/>
          <w:color w:val="auto"/>
        </w:rPr>
        <w:t>was $6.4 million for the year ended December 31, 2023, compared to $8.5 million in the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and relates to the amortization of certain components of net periodic benefit costs or gains related to the Company’s pension and post-retirement plans. The decrease in Other income (expense) was due to unfavorable adjustments reflected in the Company’s pension and post-retirement plan liabilities during the year ended December 31, 2023.</w:t>
      </w:r>
    </w:p>
    <w:p>
      <w:pPr>
        <w:spacing w:after="0" w:line="97" w:lineRule="exact"/>
        <w:rPr>
          <w:sz w:val="20"/>
          <w:szCs w:val="20"/>
          <w:color w:val="auto"/>
        </w:rPr>
      </w:pPr>
    </w:p>
    <w:p>
      <w:pPr>
        <w:jc w:val="both"/>
        <w:ind w:left="60" w:right="2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for the year ended December 31, 2023 were $75.9 million, or 20.3 percent of income before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$288.4 million, or 21.3 percent of income before income taxes in the prior year. The 2023 income tax rate benefited from certain discrete tax adjustments that lowered the effective tax rate in the current year.</w:t>
      </w:r>
    </w:p>
    <w:p>
      <w:pPr>
        <w:spacing w:after="0" w:line="106"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during the year ended December 31, 2023 decreased $766.8 million, or 72.1 percent, to $297.1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compared to the prior year.</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OPERATING REVENUE AND INCOME BY SEGMENT</w:t>
      </w:r>
    </w:p>
    <w:p>
      <w:pPr>
        <w:spacing w:after="0" w:line="14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following analysis of operating revenue and income by segment for the years ended December 31, 2023 and 2022 should be read in conjunction with the Company’s reportable segments information included in Note 3 to the Consolidated Financial Statements in Item 8 of Part II.</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Ocean Transportation: 2023 compared with 2022:</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(1,067.6)</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(30.1)%</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(2,182.2)</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(2,263.4)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140" w:type="dxa"/>
            <w:vAlign w:val="bottom"/>
            <w:vMerge w:val="continue"/>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(77.0)%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Hawaii automobiles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(1,900)</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 containers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(22,400)</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(13.7)%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4"/>
        </w:trPr>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containers (2)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219" w:hanging="330"/>
        <w:spacing w:after="0" w:line="233"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92"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Ocean Transportation revenue decreased $1,067.6 million, or 30.1 percent, during the year ended December 31, 2023, compared with the year ended December 31, 2022. The decrease was primarily due to lower average freight rates and volume in China.</w:t>
      </w:r>
    </w:p>
    <w:p>
      <w:pPr>
        <w:spacing w:after="0" w:line="1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On a year-over-year FEU basis, Hawaii container volume decreased 3.0 percent primarily due to lower general westbound demand and lower eastbound volume; Alaska volume decreased 5.8 percent due to lower export seafood volume from the AAX; China volume was 13.7 percent lower primarily due to CCX volume in the first nine months of 2022 (the CCX service was discontinued in the third quarter 2022); Guam volume was 4.7 percent lower primarily due to lower general demand; and Other containers volume decreased 22.2 percent.</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Ocean Transportation operating income decreased $986.4 million during the year ended December 31, 2023, compared with the year ended December 31, 2022. The decrease was primarily due to lower freight rates and volume in China and a lower contribution from SSAT, partially offset by lower operating costs and expenses including fuel-related expenses primarily related to the discontinuation of the CCX service and lower fuel costs and the timing of fuel-related surcharge collections.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Company’s SSAT terminal joint venture investment contributed $2.2 million during the year ended December 31, 2023, compared to a contribution of $83.1 million during the year ended December 31, 2022. The decrease was primarily driven by lower demurrage revenue.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Logistics: 2023 compared with 2022:</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(180.8)</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(22.6)%</w:t>
            </w:r>
          </w:p>
        </w:tc>
        <w:tc>
          <w:tcPr>
            <w:tcW w:w="0" w:type="dxa"/>
            <w:vAlign w:val="bottom"/>
          </w:tcPr>
          <w:p>
            <w:pPr>
              <w:spacing w:after="0"/>
              <w:rPr>
                <w:sz w:val="1"/>
                <w:szCs w:val="1"/>
                <w:color w:val="auto"/>
              </w:rPr>
            </w:pPr>
          </w:p>
        </w:tc>
      </w:tr>
      <w:tr>
        <w:trPr>
          <w:trHeight w:val="432"/>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(569.6)</w:t>
            </w:r>
          </w:p>
        </w:tc>
        <w:tc>
          <w:tcPr>
            <w:tcW w:w="1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(726.0)</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(21.5)%</w:t>
            </w:r>
          </w:p>
        </w:tc>
        <w:tc>
          <w:tcPr>
            <w:tcW w:w="0" w:type="dxa"/>
            <w:vAlign w:val="bottom"/>
          </w:tcPr>
          <w:p>
            <w:pPr>
              <w:spacing w:after="0"/>
              <w:rPr>
                <w:sz w:val="1"/>
                <w:szCs w:val="1"/>
                <w:color w:val="auto"/>
              </w:rPr>
            </w:pPr>
          </w:p>
        </w:tc>
      </w:tr>
      <w:tr>
        <w:trPr>
          <w:trHeight w:val="20"/>
        </w:trPr>
        <w:tc>
          <w:tcPr>
            <w:tcW w:w="5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vMerge w:val="continue"/>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(33.7)%</w:t>
            </w:r>
          </w:p>
        </w:tc>
        <w:tc>
          <w:tcPr>
            <w:tcW w:w="0" w:type="dxa"/>
            <w:vAlign w:val="bottom"/>
          </w:tcPr>
          <w:p>
            <w:pPr>
              <w:spacing w:after="0"/>
              <w:rPr>
                <w:sz w:val="1"/>
                <w:szCs w:val="1"/>
                <w:color w:val="auto"/>
              </w:rPr>
            </w:pPr>
          </w:p>
        </w:tc>
      </w:tr>
      <w:tr>
        <w:trPr>
          <w:trHeight w:val="234"/>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Logistics revenue decreased $180.8 million, or 22.6 percent, during the year ended December 31, 2023, compared with the year ended December 31, 2022. The decrease was primarily due to lower revenue in transportation brokerage.</w:t>
      </w:r>
    </w:p>
    <w:p>
      <w:pPr>
        <w:spacing w:after="0" w:line="162"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Logistics operating income decreased $24.4 million, or 33.7 percent, during the year ended December 31, 2023, compared with the year ended December 31, 2022. The decrease was primarily due to lower contributions from transportation brokerage and supply chain management.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Company’s primary sources of liquidity are its cash flows generated from operating activities and its debt. Sources of liquidity available to the Company as of December 31, 2023 compared to December 31, 2022, were as follows:</w:t>
      </w:r>
    </w:p>
    <w:p>
      <w:pPr>
        <w:spacing w:after="0" w:line="15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 Restricted Cash and Accounts Receivable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and cash equivalents, restricted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 net as of December 31, 2023 and 2022 were as follows: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3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519" w:hanging="330"/>
        <w:spacing w:after="0" w:line="261" w:lineRule="auto"/>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Eligible accounts receivable of $218.1 million and $9.9 million at December 31, 2023 and 2022, respectively, were assigned to the CCF. For additional information on the CCF, see Note 7 to the Consolidated Financial Statements.</w:t>
      </w:r>
    </w:p>
    <w:p>
      <w:pPr>
        <w:spacing w:after="0" w:line="167"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Changes in the Company’s cash, cash equivalents and restricted cash for the years ended December 31, 2023, 2022 and 2021 were as follows:</w:t>
      </w:r>
    </w:p>
    <w:tbl>
      <w:tblPr>
        <w:tblLayout w:type="fixed"/>
        <w:tblInd w:w="4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420" w:type="dxa"/>
            <w:vAlign w:val="bottom"/>
            <w:tcBorders>
              <w:bottom w:val="single" w:sz="8" w:color="auto"/>
            </w:tcBorders>
            <w:gridSpan w:val="4"/>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2023-2022</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2022-2021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1,271.9</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984.1</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 (761.4)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 (2)</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(338.2)</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(729.3)</w:t>
            </w: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(323.4)</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(405.9)</w:t>
            </w:r>
          </w:p>
        </w:tc>
        <w:tc>
          <w:tcPr>
            <w:tcW w:w="0" w:type="dxa"/>
            <w:vAlign w:val="bottom"/>
          </w:tcPr>
          <w:p>
            <w:pPr>
              <w:spacing w:after="0"/>
              <w:rPr>
                <w:sz w:val="1"/>
                <w:szCs w:val="1"/>
                <w:color w:val="auto"/>
              </w:rPr>
            </w:pPr>
          </w:p>
        </w:tc>
      </w:tr>
      <w:tr>
        <w:trPr>
          <w:trHeight w:val="40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 (3)</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(289.7)</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(576.6)</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(392.7)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the period</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1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 (117.4)</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right="279" w:hanging="330"/>
        <w:spacing w:after="0" w:line="26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Net Cash Provided by Operating Activities: </w:t>
      </w:r>
      <w:r>
        <w:rPr>
          <w:rFonts w:ascii="Times New Roman" w:cs="Times New Roman" w:eastAsia="Times New Roman" w:hAnsi="Times New Roman"/>
          <w:sz w:val="18"/>
          <w:szCs w:val="18"/>
          <w:color w:val="auto"/>
        </w:rPr>
        <w:t>Changes in net cash provided by operating activities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December 31, 2023, 2022 and 2021 were as follows:</w:t>
      </w:r>
    </w:p>
    <w:tbl>
      <w:tblPr>
        <w:tblLayout w:type="fixed"/>
        <w:tblInd w:w="40" w:type="dxa"/>
        <w:tblCellMar>
          <w:top w:w="0" w:type="dxa"/>
          <w:left w:w="0" w:type="dxa"/>
          <w:bottom w:w="0" w:type="dxa"/>
          <w:right w:w="0" w:type="dxa"/>
        </w:tblCellMar>
      </w:tblPr>
      <w:tr>
        <w:trPr>
          <w:trHeight w:val="162"/>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2022-2021</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depreciation and amortization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non-cash related changes, net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distribution from SSAT, net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amortization of operating lease right of use assets</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dry-docking payments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deferred dry-docking amortization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9"/>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r>
              <w:rPr>
                <w:rFonts w:ascii="Times New Roman" w:cs="Times New Roman" w:eastAsia="Times New Roman" w:hAnsi="Times New Roman"/>
                <w:sz w:val="18"/>
                <w:szCs w:val="18"/>
                <w:u w:val="single" w:color="auto"/>
                <w:color w:val="auto"/>
              </w:rPr>
              <w:t>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Income from SSAT was $2.2 million for the year ended December 31, 2023, compared to $83.1 million in the prior year. The decrease in income from SSAT was primarily due to lower operating profits generated by SSAT during the year ended December 31, 2023, compared to the prior year. No cash distributions were received from SSAT during the year ended December 31, 2023, compared to $47.3 million of dividends received in the prior year. Cash distributions from SSAT are dependent on the level of cash available for distribution after SSAT’s operational and capital needs. Changes in accounts receivable were primarily due to the timing of collections associated with those receivables. Changes in prepaid expenses and other assets were primarily due to a decrease in prepaid income taxes at the end of December 31, 2023 as compared to the prior year. Changes in accounts payable, accruals and other liabilities were primarily due to the timing of payments associated with those liabilities. Changes in operating lease liabilities were primarily due to operating leases that expired during the year ended December 31, 2023, partially offset by new operating leases entered into during the year ended December 31, 2023. Deferred dry-docking payments were $24.1 million for the year ended December 31, 2023, compared to $25.7 million in the prior year. The decrease in deferred dry-docking payments was due to a decrease in vessel dry-dock related activities during the year ended December 31, 2023, compared to the prior year.</w:t>
      </w:r>
    </w:p>
    <w:p>
      <w:pPr>
        <w:spacing w:after="0" w:line="185" w:lineRule="exact"/>
        <w:rPr>
          <w:sz w:val="20"/>
          <w:szCs w:val="20"/>
          <w:color w:val="auto"/>
        </w:rPr>
      </w:pPr>
    </w:p>
    <w:p>
      <w:pPr>
        <w:ind w:left="380" w:right="139" w:hanging="330"/>
        <w:spacing w:after="0" w:line="26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Net Cash Used in Investing Activities: </w:t>
      </w:r>
      <w:r>
        <w:rPr>
          <w:rFonts w:ascii="Times New Roman" w:cs="Times New Roman" w:eastAsia="Times New Roman" w:hAnsi="Times New Roman"/>
          <w:sz w:val="18"/>
          <w:szCs w:val="18"/>
          <w:color w:val="auto"/>
        </w:rPr>
        <w:t>Changes in net cash used in investing activities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2022 and 2021 were as follows:</w:t>
      </w:r>
    </w:p>
    <w:tbl>
      <w:tblPr>
        <w:tblLayout w:type="fixed"/>
        <w:tblInd w:w="40" w:type="dxa"/>
        <w:tblCellMar>
          <w:top w:w="0" w:type="dxa"/>
          <w:left w:w="0" w:type="dxa"/>
          <w:bottom w:w="0" w:type="dxa"/>
          <w:right w:w="0" w:type="dxa"/>
        </w:tblCellMar>
      </w:tblPr>
      <w:tr>
        <w:trPr>
          <w:trHeight w:val="162"/>
        </w:trPr>
        <w:tc>
          <w:tcPr>
            <w:tcW w:w="7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2023-2022</w:t>
            </w:r>
          </w:p>
        </w:tc>
        <w:tc>
          <w:tcPr>
            <w:tcW w:w="1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2022-2021</w:t>
            </w:r>
          </w:p>
        </w:tc>
        <w:tc>
          <w:tcPr>
            <w:tcW w:w="0" w:type="dxa"/>
            <w:vAlign w:val="bottom"/>
          </w:tcPr>
          <w:p>
            <w:pPr>
              <w:spacing w:after="0"/>
              <w:rPr>
                <w:sz w:val="1"/>
                <w:szCs w:val="1"/>
                <w:color w:val="auto"/>
              </w:rPr>
            </w:pPr>
          </w:p>
        </w:tc>
      </w:tr>
      <w:tr>
        <w:trPr>
          <w:trHeight w:val="210"/>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deposits and interest into the CCF</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Withdrawals from CCF</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vessel construction expenditures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vessel construction expenditures)</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and equipment, net, and other</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2023, cash deposits and interest earned in the CCF were $100.0 million and</w:t>
      </w:r>
    </w:p>
    <w:p>
      <w:pPr>
        <w:spacing w:after="0" w:line="27" w:lineRule="exact"/>
        <w:rPr>
          <w:sz w:val="20"/>
          <w:szCs w:val="20"/>
          <w:color w:val="auto"/>
        </w:rPr>
      </w:pPr>
    </w:p>
    <w:p>
      <w:pPr>
        <w:jc w:val="both"/>
        <w:ind w:left="60" w:right="179"/>
        <w:spacing w:after="0" w:line="265" w:lineRule="auto"/>
        <w:rPr>
          <w:sz w:val="20"/>
          <w:szCs w:val="20"/>
          <w:color w:val="auto"/>
        </w:rPr>
      </w:pPr>
      <w:r>
        <w:rPr>
          <w:rFonts w:ascii="Times New Roman" w:cs="Times New Roman" w:eastAsia="Times New Roman" w:hAnsi="Times New Roman"/>
          <w:sz w:val="17"/>
          <w:szCs w:val="17"/>
          <w:color w:val="auto"/>
        </w:rPr>
        <w:t>$28.5 million, respectively, compared to $579.7 million and $3.1 million in the prior year, respectively. Cash withdrawals from the CCF were $49.9 million during the year ended December 31, 2023, compared to $64.6 million in the prior year, and were related to vessel construction milestone payments. Capitalized vessel construction expenditures were</w:t>
      </w: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$52.9 million for the year ended December 31, 2023, compared to $62.4 million in the prior year. The decrease in capitalized vessel construction expenditures was due to the timing of milestone payments related to the Company’s new fleet renewal program. Capital expenditures (excluding vessel construction expenditures) were $195.5 million for the year ended December 31, 2023, compared to $146.9 million for the prior year. Capital expenditures (excluding vessel construction expenditures) during the year ended December 31, 2023 included costs associated with LNG installations and the reengining of an existing vessel, and the purchase of additional containers, chassis and other terminal equipment to support the Company’s operational activities.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right="519" w:hanging="330"/>
        <w:spacing w:after="0" w:line="26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Net Cash Used in Financing Activities: </w:t>
      </w:r>
      <w:r>
        <w:rPr>
          <w:rFonts w:ascii="Times New Roman" w:cs="Times New Roman" w:eastAsia="Times New Roman" w:hAnsi="Times New Roman"/>
          <w:sz w:val="18"/>
          <w:szCs w:val="18"/>
          <w:color w:val="auto"/>
        </w:rPr>
        <w:t>Changes in net cash used in financing activities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2022 and 2021 were as follows:</w:t>
      </w:r>
    </w:p>
    <w:tbl>
      <w:tblPr>
        <w:tblLayout w:type="fixed"/>
        <w:tblInd w:w="40" w:type="dxa"/>
        <w:tblCellMar>
          <w:top w:w="0" w:type="dxa"/>
          <w:left w:w="0" w:type="dxa"/>
          <w:bottom w:w="0" w:type="dxa"/>
          <w:right w:w="0" w:type="dxa"/>
        </w:tblCellMar>
      </w:tblPr>
      <w:tr>
        <w:trPr>
          <w:trHeight w:val="162"/>
        </w:trPr>
        <w:tc>
          <w:tcPr>
            <w:tcW w:w="7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2023-2022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2022-2021</w:t>
            </w: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Matson common stock</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fixed interest debt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borrowings under revolving credit facility, net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 related to net share settlements of restricted stock units</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r>
              <w:rPr>
                <w:rFonts w:ascii="Times New Roman" w:cs="Times New Roman" w:eastAsia="Times New Roman" w:hAnsi="Times New Roman"/>
                <w:sz w:val="18"/>
                <w:szCs w:val="18"/>
                <w:u w:val="single" w:color="auto"/>
                <w:color w:val="auto"/>
              </w:rPr>
              <w:t>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The Company paid $155.2 million to repurchase common stock during the year ended December 31, 2023, compared to $397.0 million in the prior year. The Company did not issue any new fixed interest debt during the years ended December 31, 2023 and 2022. The Company paid $76.9 million of prepaid and scheduled fixed interest debt principal payments, compared to $111.5 million of prepaid scheduled principal payments during the prior year. During the year ended December 31, 2021, the Company paid $71.8 million, net, to fully repay the Company’s revolving credit facility. There were no borrowings under the revolving credit facility during the years ended December 31, 2023 and 2022.</w:t>
      </w:r>
    </w:p>
    <w:p>
      <w:pPr>
        <w:spacing w:after="0" w:line="116"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Construction Fund: </w:t>
      </w:r>
      <w:r>
        <w:rPr>
          <w:rFonts w:ascii="Times New Roman" w:cs="Times New Roman" w:eastAsia="Times New Roman" w:hAnsi="Times New Roman"/>
          <w:sz w:val="18"/>
          <w:szCs w:val="18"/>
          <w:color w:val="auto"/>
        </w:rPr>
        <w:t>The Company utilizes its CCF to fund milestone payments for the construction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The Company’s CCF is described in Note 7 to the Consolidated Financial Statements. Cash on deposit in the CCF and assigned accounts receivable as of December 31, 2023 and 2022 were as follows: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on deposit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Assigned accounts 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deposited $128.5 million and $582.8 million into the CCF, respectively. During the years ended December 31, 2023 and 2022, the Company made withdrawals of $49.9 million and $64.6 million out of the CCF, respectively, which were used to make milestone payments for the construction of new vessels. Cash on deposit in the CCF is held in short term U.S. Treasury Obligation Funds and is classified as a long-term asset in the Company’s Consolidated Balance Sheets, as the Company intends to use qualified cash withdrawals from the CCF to fund long-term investments in the construction of new vessels. Assigned accounts receivable in the CCF are classified as part of accounts receivable in the Consolidated Balance Sheets due to the nature of the assignment.</w:t>
      </w:r>
    </w:p>
    <w:p>
      <w:pPr>
        <w:spacing w:after="0" w:line="189"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In February 2024, the Company purchased approximately $450 million of fixed-rate U.S. Treasuries with CCF cash deposits. The fixed-rate investments have various maturity dates up to 3 years.</w:t>
      </w:r>
    </w:p>
    <w:p>
      <w:pPr>
        <w:spacing w:after="0" w:line="158" w:lineRule="exact"/>
        <w:rPr>
          <w:sz w:val="20"/>
          <w:szCs w:val="20"/>
          <w:color w:val="auto"/>
        </w:rPr>
      </w:pPr>
    </w:p>
    <w:p>
      <w:pPr>
        <w:ind w:left="60" w:right="33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The Company utilizes a mix of fixed and variable debt for liquidity and to fund the Company’s operations.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as of December 31, 2023 and 2022 is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interest debt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517.5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440.6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517.5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Total debt decreased by $76.9 million during the year ended December 31, 2023 compared to the prior year. The decrease in fixed interest debt was due to the $26.4 million prepayments of Title XI debt, and scheduled debt repayments of private placement term loans and Title XI debt made during the year ended December 31, 2023.</w:t>
      </w:r>
    </w:p>
    <w:p>
      <w:pPr>
        <w:spacing w:after="0" w:line="1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$644.2 million of unused capacity under the revolving credit facility, with a maturity date of March 31, 2026. The Company’s debt is described in Note 8 to the Consolidated Financial Statements in Item 8 of Part II.</w:t>
      </w:r>
    </w:p>
    <w:p>
      <w:pPr>
        <w:spacing w:after="0" w:line="172"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Company had a working capital surplus of $40.0 million at December 31, 2023,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capital surplus of $178.0 million at December 31, 2022. Working capital is primarily impacted by the amount</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of net cash provided by operating activities, the amount of capital expenditures, the amount and timing of collections associated with accounts receivable, prepaid expenses and other assets, and the amount and timing of payments associated with accounts payable, accruals, income taxes, debt and other liabilities. The decrease in the Company’s working capital surplus during the year ended December 31, 2023 was due to the decrease in cash provided by operating activities and higher capital expenditures during the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The Company expects to make the following capital expenditures during the years ending</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2025 and 2026:</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vessel construction milestone payments and related costs</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LNG installations and reengining on existing vessels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other capital expenditures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$110</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w:t>
            </w:r>
          </w:p>
        </w:tc>
        <w:tc>
          <w:tcPr>
            <w:tcW w:w="80" w:type="dxa"/>
            <w:vAlign w:val="bottom"/>
            <w:shd w:val="clear" w:color="auto" w:fill="CCEEFF"/>
          </w:tcPr>
          <w:p>
            <w:pPr>
              <w:spacing w:after="0"/>
              <w:rPr>
                <w:sz w:val="18"/>
                <w:szCs w:val="18"/>
                <w:color w:val="auto"/>
              </w:rPr>
            </w:pPr>
          </w:p>
        </w:tc>
      </w:tr>
      <w:tr>
        <w:trPr>
          <w:trHeight w:val="209"/>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Estimated Capital Expenditures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$275</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$505</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440</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450</w:t>
            </w:r>
          </w:p>
        </w:tc>
        <w:tc>
          <w:tcPr>
            <w:tcW w:w="8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New vessel construction milestone payments and related costs are for the Company’s new vessel program for the construction of three new vessels at a cost of approximately $1.0 billion with expected delivery dates during the fourth quarter of 2026, the second quarter of 2027 and the fourth quarter of 2027. Future milestone payments are expected to be financed with cash currently on deposit in the Company’s CCF, cash and cash equivalents on the Consolidated Balance Sheets and through cash flows generated from future operations, borrowings available under the Company’s unsecured revolving credit facility or additional debt financings.</w:t>
      </w:r>
    </w:p>
    <w:p>
      <w:pPr>
        <w:spacing w:after="0" w:line="18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 xml:space="preserve">LNG installations on existing vessels includes capital expenditures for the installation of tanks, piping and cryogenic equipment on existing Aloha Class vessels so that they can operate on LNG and conventional fuels. The LNG installation project on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xml:space="preserve"> is currently scheduled to begin during the second quarter of 2024 at a cost of approximately $47 million. Additionally, the reengining of </w:t>
      </w:r>
      <w:r>
        <w:rPr>
          <w:rFonts w:ascii="Times New Roman" w:cs="Times New Roman" w:eastAsia="Times New Roman" w:hAnsi="Times New Roman"/>
          <w:sz w:val="18"/>
          <w:szCs w:val="18"/>
          <w:i w:val="1"/>
          <w:iCs w:val="1"/>
          <w:color w:val="auto"/>
        </w:rPr>
        <w:t>Manukai</w:t>
      </w:r>
      <w:r>
        <w:rPr>
          <w:rFonts w:ascii="Times New Roman" w:cs="Times New Roman" w:eastAsia="Times New Roman" w:hAnsi="Times New Roman"/>
          <w:sz w:val="18"/>
          <w:szCs w:val="18"/>
          <w:color w:val="auto"/>
        </w:rPr>
        <w:t xml:space="preserve"> to operate on LNG and conventional fuels is in progress with an expected remaining cost of approximately $72 million.</w:t>
      </w:r>
    </w:p>
    <w:p>
      <w:pPr>
        <w:spacing w:after="0" w:line="18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Maintenance and other capital expenditures include amounts that the Company expects to spend on various capital projects, including capital expenditures related to the second and third phase of its program to modernize and renovate its terminal facility at Sand Island, Honolulu, Hawaii, repurchases of leased equipment, vessel capital maintenance and annual equipment purchases to support the Company’s operations. The Company expects to fund these capital expenditures (including the LNG installations) with cash and cash equivalents on the Consolidated Balance Sheets and through cash flows generated from future operating activities.</w:t>
      </w:r>
    </w:p>
    <w:p>
      <w:pPr>
        <w:spacing w:after="0" w:line="183"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year ended December 31, 2023, the Company repurchased approximately 2.1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for a total cost of $158.2 million. The remaining number of shares that may be repurchased under the Company’s stock repurchase program was 2,462,188 shares at December 31, 2023.</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COMMITMENTS, CONTINGENCIES AND OFF-BALANCE SHEET ARRANGEMENTS</w:t>
      </w:r>
    </w:p>
    <w:p>
      <w:pPr>
        <w:spacing w:after="0" w:line="227" w:lineRule="exact"/>
        <w:rPr>
          <w:sz w:val="20"/>
          <w:szCs w:val="20"/>
          <w:color w:val="auto"/>
        </w:rPr>
      </w:pPr>
    </w:p>
    <w:p>
      <w:pPr>
        <w:ind w:left="60" w:right="27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Commitments and Contingencies: </w:t>
      </w:r>
      <w:r>
        <w:rPr>
          <w:rFonts w:ascii="Times New Roman" w:cs="Times New Roman" w:eastAsia="Times New Roman" w:hAnsi="Times New Roman"/>
          <w:sz w:val="17"/>
          <w:szCs w:val="17"/>
          <w:color w:val="auto"/>
        </w:rPr>
        <w:t>A description of other commitments and contingencies is set forth in Note 9, Note 11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Note 17 to the Consolidated Financial Statements in Item 8 of Part II below, and is incorporated herein by reference.</w:t>
      </w:r>
    </w:p>
    <w:p>
      <w:pPr>
        <w:spacing w:after="0" w:line="135" w:lineRule="exact"/>
        <w:rPr>
          <w:sz w:val="20"/>
          <w:szCs w:val="20"/>
          <w:color w:val="auto"/>
        </w:rPr>
      </w:pPr>
    </w:p>
    <w:p>
      <w:pPr>
        <w:jc w:val="both"/>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The Company is not currently party to any off-balance sheet arrangements that have,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reasonably likely to have, a current or future material effect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Consolidated Financial Statements in Item 8 of Part II below.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in making accounting estimates about future events that may affect the amounts reported in the Consolidated Financial Statements and accompanying notes. Future events and their effects cannot be determined with certainty and actual results will, inevitably, differ from those accounting estimates. These differences could be material.</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the Company could have used different estimates; and (ii) changes in those accounting estimates would have had a material impact on the financial condition or results of operations of the Company. The critical accounting policies and estimates considered in the preparation of the Company’s Consolidated Financial Statements are described below. Management has discussed the development and selection of these critical accounting estimates with the Audit Committee of our Board of Directors.</w:t>
      </w:r>
    </w:p>
    <w:p>
      <w:pPr>
        <w:spacing w:after="0" w:line="188"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Long-Lived Assets, Intangible Assets and Goodwill: </w:t>
      </w:r>
      <w:r>
        <w:rPr>
          <w:rFonts w:ascii="Times New Roman" w:cs="Times New Roman" w:eastAsia="Times New Roman" w:hAnsi="Times New Roman"/>
          <w:sz w:val="18"/>
          <w:szCs w:val="18"/>
          <w:color w:val="auto"/>
        </w:rPr>
        <w:t>The Company evaluates its long-lived assets, intangible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7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Long-lived Assets and Finite-lived Intangible Assets: </w:t>
      </w:r>
      <w:r>
        <w:rPr>
          <w:rFonts w:ascii="Times New Roman" w:cs="Times New Roman" w:eastAsia="Times New Roman" w:hAnsi="Times New Roman"/>
          <w:sz w:val="18"/>
          <w:szCs w:val="18"/>
          <w:color w:val="auto"/>
        </w:rPr>
        <w:t>Long-lived assets and finite-lived intangible assets are grouped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lowest level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and finite-lived intangible assets for impairment and determined that there was no impairment for the years ended December 31, 2023, 2022, and 2021.</w:t>
      </w:r>
    </w:p>
    <w:p>
      <w:pPr>
        <w:spacing w:after="0" w:line="190"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Indefinite-life Intangible Assets and Goodwill: </w:t>
      </w:r>
      <w:r>
        <w:rPr>
          <w:rFonts w:ascii="Times New Roman" w:cs="Times New Roman" w:eastAsia="Times New Roman" w:hAnsi="Times New Roman"/>
          <w:sz w:val="18"/>
          <w:szCs w:val="18"/>
          <w:color w:val="auto"/>
        </w:rPr>
        <w:t>The Company’s intangible assets include goodwill and a trade name,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grouped at the lowest level reporting unit for which identifiable cash flows are available. In estimating the fair value of a reporting unit, the Company uses a combination of a discounted cash flow model and fair value based on market multiples of earnings before interest, income taxes, depreciation and amortization (“EBITDA”). The discounted cash flow approach requires the Company to use a number of assumptions, including market factors specific to the business, the amount and timing of estimated future cash flows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makes judgments about the comparability of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 The Company has evaluated its indefinite-life intangible assets and goodwill for impairment and determined that there was no impairment for the years ended December 31, 2023, 2022, and 2021.</w:t>
      </w:r>
    </w:p>
    <w:p>
      <w:pPr>
        <w:spacing w:after="0" w:line="19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Insurance Related Liabilities: </w:t>
      </w:r>
      <w:r>
        <w:rPr>
          <w:rFonts w:ascii="Times New Roman" w:cs="Times New Roman" w:eastAsia="Times New Roman" w:hAnsi="Times New Roman"/>
          <w:sz w:val="18"/>
          <w:szCs w:val="18"/>
          <w:color w:val="auto"/>
        </w:rPr>
        <w:t>The Company purchases insurance with deductibles or self-insured retentions to mitigate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risks that it is exposed to. Such insurance includes, but is not limited to, employee health, workers’ compensation, marine liability, cybersecurity, auto liability and physical damage to property and equipment. For certain</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risks, the Company elects to not purchase insurance because of the excessive cost of such insurance, the perceived remoteness of the risk or insurance coverage is not commercially available. The Company retains the risk of loss for insurance deductibles and self-insured retentions, for amounts that exceed the limits of the Company’s insurance policies, and for other risks not covered by insurance.</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When estimating its reserves for retained risks and related liabilities, the Company considers a number of factors, including historical claims experience, demographic factors, current trends, and analyses provided by independent third parties. Periodically, management reviews its assumptions and estimates used to determine the adequacy of the Company’s reserves for retained risks and other related liabilities. The Company’s retained risks and other related liabilities contain uncertainties because management is required to apply judgment and make long-term assumptions to estimate the ultimate cost to settle reported claims, and of claims incurred but not reported, as of the balance sheet date. Insurance related liabilities were $41.3 million and $45.4 million at December 31, 2023 and 2022, respectively. The Company’s estimate of insurance related liabilities could change if management uses different assumptions or if different conditions occur in future periods, however the Company does not expect any such change would have a material impact on the Company’s financial condition and results of operations.</w:t>
      </w:r>
    </w:p>
    <w:p>
      <w:pPr>
        <w:spacing w:after="0" w:line="12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The estimation of the Company’s pension and post-retirement benefit expenses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requires the Company to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(loss). Additionally, these unamortized gains and losses are amortized and reclassified to income (loss) over future periods.</w:t>
      </w:r>
    </w:p>
    <w:p>
      <w:pPr>
        <w:spacing w:after="0" w:line="11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Company’s pension and post-retirement plans and assumptions used is included in Note 11 to the Consolidated Financial Statements in Item 8 of Part II below.</w:t>
      </w:r>
    </w:p>
    <w:p>
      <w:pPr>
        <w:spacing w:after="0" w:line="9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Company’s income tax expense requires the Company to make various estimates and judgments.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estimates and judgments are applied in the calculation of taxable income, tax credits, tax benefits, CCF and other tax deductions, and in the calculation of certain deferred tax assets and liabilities, which arise from differences in the timing of recognition of revenue, costs and expenses for tax purposes. The calculation of deferred tax assets and liabilities may be impacted by various factors including but not limited to changes in tax rates; changes in tax laws, regulations, and rulings; changes in interpretations of existing tax laws, regulations and rulings; and changes in the evaluation of the Company’s ability to realize deferred tax assets including operating loss and tax credit carryforwards. Deferred tax assets and liabilities are adjusted to the extent necessary to reflect tax rates expected to be in effect when the temporary differences reverse. Significant changes to these estimates may result in an increase or decrease to the Company’s income taxes in a subsequent period.</w:t>
      </w:r>
    </w:p>
    <w:p>
      <w:pPr>
        <w:spacing w:after="0" w:line="18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Company records a valuation allowance if, based on the weight of available evidence, management believes that it is more likely than not that some portion or all of a recorded deferred tax asset would not be realized in future periods.</w:t>
      </w:r>
    </w:p>
    <w:p>
      <w:pPr>
        <w:spacing w:after="0" w:line="16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Company’s income taxes is included in Note 10 to the Consolidated Financial Statements in Item 8 of Part II below.</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ind w:left="60" w:right="4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Accounting Pronouncements: </w:t>
      </w:r>
      <w:r>
        <w:rPr>
          <w:rFonts w:ascii="Times New Roman" w:cs="Times New Roman" w:eastAsia="Times New Roman" w:hAnsi="Times New Roman"/>
          <w:sz w:val="18"/>
          <w:szCs w:val="18"/>
          <w:color w:val="auto"/>
        </w:rPr>
        <w:t>See Note 2 to the Consolidated Financial Statements in Item 8 of Part II below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on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and Interest Rate Risks: </w:t>
      </w:r>
      <w:r>
        <w:rPr>
          <w:rFonts w:ascii="Times New Roman" w:cs="Times New Roman" w:eastAsia="Times New Roman" w:hAnsi="Times New Roman"/>
          <w:sz w:val="18"/>
          <w:szCs w:val="18"/>
          <w:color w:val="auto"/>
        </w:rPr>
        <w:t>The Company is exposed to changes in interest rates, primarily as a result of its borrowing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investing activities used to maintain liquidity and to fund business operations, including borrowings under its revolving credit facility, private placement term loans and Title XI debt. In order to manage its exposure to changes in interest rates, the Company utilizes a balanced mix of both fixed-rate and variable-rate debt with various maturity dates. The nature and amount of the Company’s outstanding debt are expected to fluctuate as a result of future business requirements, market conditions and other factors.</w:t>
      </w:r>
    </w:p>
    <w:p>
      <w:pPr>
        <w:spacing w:after="0" w:line="184"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Other than in certain events of default, the Company is not obligated to prepay its variable and fixed rate debt prior to maturity. For fixed rate debt, changes in market interest rates would not affect the Company’s financial condition or results of operations.</w:t>
      </w:r>
    </w:p>
    <w:p>
      <w:pPr>
        <w:spacing w:after="0" w:line="1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Company’s debt is included in Note 8 to the Consolidated Financial Statements in Item 8 of Part II below.</w:t>
      </w:r>
    </w:p>
    <w:p>
      <w:pPr>
        <w:spacing w:after="0" w:line="16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Risks: </w:t>
      </w:r>
      <w:r>
        <w:rPr>
          <w:rFonts w:ascii="Times New Roman" w:cs="Times New Roman" w:eastAsia="Times New Roman" w:hAnsi="Times New Roman"/>
          <w:sz w:val="18"/>
          <w:szCs w:val="18"/>
          <w:color w:val="auto"/>
        </w:rPr>
        <w:t>The Company invests excess cash in short-term money market funds that purchase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or corporate debt securities, or in other deposit products. These money market funds and deposits maintain a weighted average maturity of less than 90 days. A one percent change in interest rates is not expected to have a material impact on the fair value of these investments or on the Company’s results of operations.</w:t>
      </w:r>
    </w:p>
    <w:p>
      <w:pPr>
        <w:spacing w:after="0" w:line="18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 may invest funds on deposit in the CCF in money market funds, U.S. Treasury Obligation Funds or other eligible credit-based investments for maturities of up to three years. A one percent change in interest rates is not expected to have a material impact on the fair value of these investments or on the Company’s results of operations.</w:t>
      </w:r>
    </w:p>
    <w:p>
      <w:pPr>
        <w:spacing w:after="0" w:line="17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Risks: </w:t>
      </w:r>
      <w:r>
        <w:rPr>
          <w:rFonts w:ascii="Times New Roman" w:cs="Times New Roman" w:eastAsia="Times New Roman" w:hAnsi="Times New Roman"/>
          <w:sz w:val="18"/>
          <w:szCs w:val="18"/>
          <w:color w:val="auto"/>
        </w:rPr>
        <w:t>The Company has no material exposure to foreign currency risks, although it is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changes in currency rates to the extent that changes in rates affect tourism in Hawaii, Guam, Alaska and other locations. Transactions related to the Company’s China and Japan services are primarily denominated in U.S. dollars, and therefore, a one percent change in the Chinese Yuan or Japanese Yen exchange rate would not have a material effect on the Company’s results of operations. Transactions related to the Company’s South Pacific service are primarily denominated in New Zealand dollars. A one percent change in the New Zealand dollar exchange rate is not expected to have a material effect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8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4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w w:val="99"/>
              </w:rPr>
              <w:t>Management’s Annual Report on Internal Control Over Financial Reporting</w:t>
            </w:r>
          </w:p>
        </w:tc>
        <w:tc>
          <w:tcPr>
            <w:tcW w:w="2580" w:type="dxa"/>
            <w:vAlign w:val="bottom"/>
            <w:vMerge w:val="restart"/>
          </w:tcPr>
          <w:p>
            <w:pPr>
              <w:spacing w:after="0"/>
              <w:rPr>
                <w:sz w:val="24"/>
                <w:szCs w:val="24"/>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tcBorders>
              <w:bottom w:val="single" w:sz="8" w:color="0000EE"/>
            </w:tcBorders>
            <w:gridSpan w:val="23"/>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Income and Comprehensive Income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44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5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52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Business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Significant Accounting Policies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Reportable Segments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Investment in SSAT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Property and Equipment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Goodwill and Intangible Assets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Capital Construction Fund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Debt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Leases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10.</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Income Taxes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Pension and Post-Retirement Plans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12.</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Multi-Employer Withdrawal Liabilities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13.</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Accumulated Other Comprehensive Income (Loss)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14.</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Earnings Per Share</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15.</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Share-Based Awards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Fair Value of Financial Instruments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1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17.</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Commitments and Contingencies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Borders>
              <w:top w:val="single" w:sz="8" w:color="0000EE"/>
            </w:tcBorders>
            <w:gridSpan w:val="12"/>
          </w:tcPr>
          <w:p>
            <w:pPr>
              <w:spacing w:after="0"/>
              <w:rPr>
                <w:sz w:val="24"/>
                <w:szCs w:val="24"/>
                <w:color w:val="auto"/>
              </w:rPr>
            </w:pPr>
          </w:p>
        </w:tc>
        <w:tc>
          <w:tcPr>
            <w:tcW w:w="17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management of Matson, Inc. and subsidiaries (the “Company”) has the responsibility for establishing and maintaining adequate internal control over financial reporting. Internal control over financial reporting is defined in Rules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89" w:lineRule="exact"/>
        <w:rPr>
          <w:sz w:val="20"/>
          <w:szCs w:val="20"/>
          <w:color w:val="auto"/>
        </w:rPr>
      </w:pPr>
    </w:p>
    <w:p>
      <w:pPr>
        <w:ind w:left="380" w:right="619" w:hanging="330"/>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 of the company;</w:t>
      </w:r>
    </w:p>
    <w:p>
      <w:pPr>
        <w:spacing w:after="0" w:line="161" w:lineRule="exact"/>
        <w:rPr>
          <w:rFonts w:ascii="Times New Roman" w:cs="Times New Roman" w:eastAsia="Times New Roman" w:hAnsi="Times New Roman"/>
          <w:sz w:val="18"/>
          <w:szCs w:val="18"/>
          <w:color w:val="auto"/>
        </w:rPr>
      </w:pPr>
    </w:p>
    <w:p>
      <w:pPr>
        <w:ind w:left="380" w:right="199" w:hanging="330"/>
        <w:spacing w:after="0" w:line="261"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380" w:right="199" w:hanging="330"/>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2023.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its assessment, management believes that, as of December 31, 2023, the Company’s internal control over financial reporting is effective. The Company’s independent registered public accounting firm, Deloitte &amp; Touche LLP, has issued an attestation report on the Company’s internal control over financial reporting.</w:t>
      </w: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Matthew J. Cox</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 Joel M. Wine</w:t>
            </w:r>
          </w:p>
        </w:tc>
      </w:tr>
      <w:tr>
        <w:trPr>
          <w:trHeight w:val="191"/>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J. Cox</w:t>
            </w:r>
          </w:p>
        </w:tc>
        <w:tc>
          <w:tcPr>
            <w:tcW w:w="180" w:type="dxa"/>
            <w:vAlign w:val="bottom"/>
          </w:tcPr>
          <w:p>
            <w:pPr>
              <w:spacing w:after="0"/>
              <w:rPr>
                <w:sz w:val="16"/>
                <w:szCs w:val="16"/>
                <w:color w:val="auto"/>
              </w:rPr>
            </w:pPr>
          </w:p>
        </w:tc>
        <w:tc>
          <w:tcPr>
            <w:tcW w:w="4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Joel M. Wine</w:t>
            </w: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23, 2024</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3119"/>
        <w:spacing w:after="0" w:line="497" w:lineRule="auto"/>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 To the Board of Directors and the shareholders of Matson, Inc.</w:t>
      </w:r>
    </w:p>
    <w:p>
      <w:pPr>
        <w:ind w:left="60"/>
        <w:spacing w:after="0"/>
        <w:rPr>
          <w:sz w:val="20"/>
          <w:szCs w:val="20"/>
          <w:color w:val="auto"/>
        </w:rPr>
      </w:pPr>
      <w:r>
        <w:rPr>
          <w:rFonts w:ascii="Times New Roman" w:cs="Times New Roman" w:eastAsia="Times New Roman" w:hAnsi="Times New Roman"/>
          <w:sz w:val="17"/>
          <w:szCs w:val="17"/>
          <w:b w:val="1"/>
          <w:bCs w:val="1"/>
          <w:color w:val="auto"/>
        </w:rPr>
        <w:t>Opinions on the Financial Statements and Internal Control over Financial Reporting</w:t>
      </w:r>
    </w:p>
    <w:p>
      <w:pPr>
        <w:spacing w:after="0" w:line="29" w:lineRule="exact"/>
        <w:rPr>
          <w:sz w:val="20"/>
          <w:szCs w:val="20"/>
          <w:color w:val="auto"/>
        </w:rPr>
      </w:pPr>
    </w:p>
    <w:p>
      <w:pPr>
        <w:ind w:left="60" w:right="59"/>
        <w:spacing w:after="0" w:line="25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Matson, Inc. and subsidiaries (the “Company”) as of December 31, 2023 and 2022, the related consolidated statements of income and comprehensive income, shareholders' equity, and cash flows, for each of the three years in the period ended December 31, 2023, and the related notes (collectively referred to as the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7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7"/>
          <w:szCs w:val="17"/>
          <w:color w:val="auto"/>
        </w:rPr>
        <w:t>In our opinion, the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COSO.</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29"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left="60" w:right="179"/>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6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9" w:lineRule="exact"/>
        <w:rPr>
          <w:sz w:val="20"/>
          <w:szCs w:val="20"/>
          <w:color w:val="auto"/>
        </w:rPr>
      </w:pPr>
    </w:p>
    <w:p>
      <w:pPr>
        <w:ind w:left="60" w:right="119"/>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60" w:right="59" w:hanging="10"/>
        <w:spacing w:after="0" w:line="250" w:lineRule="auto"/>
        <w:tabs>
          <w:tab w:leader="none" w:pos="30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left="60" w:right="559"/>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9"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59" w:lineRule="auto"/>
        <w:rPr>
          <w:sz w:val="20"/>
          <w:szCs w:val="20"/>
          <w:color w:val="auto"/>
        </w:rPr>
      </w:pPr>
      <w:r>
        <w:rPr>
          <w:rFonts w:ascii="Times New Roman" w:cs="Times New Roman" w:eastAsia="Times New Roman" w:hAnsi="Times New Roman"/>
          <w:sz w:val="17"/>
          <w:szCs w:val="17"/>
          <w:color w:val="auto"/>
        </w:rPr>
        <w:t>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Goodwill – Span Alaska Reporting Unit — Refer to Notes 2 and 6 to the financial statements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14"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7"/>
          <w:szCs w:val="17"/>
          <w:color w:val="auto"/>
        </w:rPr>
        <w:t>The Company’s evaluation of goodwill for impairment involves the comparison of the fair value of each reporting unit to its carrying value. In estimating the fair value of a reporting unit, the Company uses a combination of a discounted cash flow model and fair value based on market multiples of earnings before interest, taxes, depreciation and amortization (“EBITDA”). The discounted cash flow approach requires the Company to make several business and valuation assumptions, including, but not limited to, those related to the discount rate. Changes in assumptions and estimates could have a material effect on either the fair value, the amount of any goodwill impairment charge, or both. The goodwill balance was $327.8 million as of December 31, 2023, of which $78.6 million is allocated to the Span Alaska reporting unit in the Logistics reportable segment, resulting from the acquisition of Span Intermediate, LLC (“Span Alaska”) in fiscal year 2016. The Company has evaluated its goodwill for impairment as part of its annual assessment in fiscal year 2023 and determined that the fair value of the Span Alaska reporting unit exceeded the carrying amount as of the date of the impairment review.</w:t>
      </w:r>
    </w:p>
    <w:p>
      <w:pPr>
        <w:spacing w:after="0" w:line="175"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7"/>
          <w:szCs w:val="17"/>
          <w:color w:val="auto"/>
        </w:rPr>
        <w:t>We identified goodwill related to Span Alaska as a critical audit matter because of the significant estimates and assumptions management made to estimate the fair value of Span Alaska. Specifically, performing audit procedures to evaluate the reasonableness of management’s estimates and assumptions related to the selection of the discount rate required a high degree of auditor judgment and an increased extent of effort, including the need to involve our fair value specialists.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Our audit procedures related to the selection of the discount rate for Span Alaska included the following, among others:</w:t>
      </w:r>
    </w:p>
    <w:p>
      <w:pPr>
        <w:spacing w:after="0" w:line="210" w:lineRule="exact"/>
        <w:rPr>
          <w:sz w:val="20"/>
          <w:szCs w:val="20"/>
          <w:color w:val="auto"/>
        </w:rPr>
      </w:pPr>
    </w:p>
    <w:p>
      <w:pPr>
        <w:ind w:left="380" w:right="679" w:hanging="330"/>
        <w:spacing w:after="0" w:line="259"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goodwill impairment evaluation, including those over the selection of the discount rate.</w:t>
      </w:r>
    </w:p>
    <w:p>
      <w:pPr>
        <w:spacing w:after="0" w:line="1" w:lineRule="exact"/>
        <w:rPr>
          <w:rFonts w:ascii="Times New Roman" w:cs="Times New Roman" w:eastAsia="Times New Roman" w:hAnsi="Times New Roman"/>
          <w:sz w:val="17"/>
          <w:szCs w:val="17"/>
          <w:color w:val="auto"/>
        </w:rPr>
      </w:pPr>
    </w:p>
    <w:p>
      <w:pPr>
        <w:jc w:val="both"/>
        <w:ind w:left="380" w:right="299" w:hanging="330"/>
        <w:spacing w:after="0" w:line="254"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Honolulu, Hawaii</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23, 2024</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have served as the Company’s auditor since at least 1976;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Ocean Transportation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Logistics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costs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SSAT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(2,751.8)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Comprehensive Income (Loss), Net of Income Taxes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5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$9.9 million and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$13.0 million, respectively</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SSAT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dry-docking costs,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long-term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3,692.3</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5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 net of deferred loan fees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 common stock without par value; authorized, 150 million shares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($0.75 stated value per share): outstanding, 34.4 million shares in 2023 and 36.3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shares in 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297.1</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1,063.9</w:t>
            </w:r>
          </w:p>
        </w:tc>
        <w:tc>
          <w:tcPr>
            <w:tcW w:w="32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Reconciling adjustments: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operating lease right of use 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142.0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103.3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Loss (Gain) on disposal of property and equipment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Income from SSAT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Distributions from SSAT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 assets and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74.6</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(90.3)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dry-docking payments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dry-docking amortization</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Prepaid expenses and other 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accruals and other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long-term liabilities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(0.3)</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510.5</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1,271.9</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984.1</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Capitalized vessel construction expenditures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(52.9)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(62.4)</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Capital expenditures (excluding vessel construction expenditures)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(195.5)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(146.9)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disposal of property and equipment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Payments for intangible asset acquisitions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interest deposits into Capital Construction Fund</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(582.8)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Withdrawals from Capital Construction Fund</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49.9</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64.6</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31.2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(338.2)</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(729.3)</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Repayments of debt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revolving credit facility</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304.3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Repayments of revolving credit facility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 of financing costs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Dividends paid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Repurchase of Matson common stock</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(155.2)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(397.0)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(198.3)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related to net share settlements of restricted stock units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(289.7)</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(576.6)</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(392.7)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(117.4)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268.0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the Year</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253.7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287.7</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the Year</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136.3</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253.7</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287.7</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at End of the Year:</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134.0</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249.8</w:t>
            </w:r>
          </w:p>
        </w:tc>
        <w:tc>
          <w:tcPr>
            <w:tcW w:w="32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602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Total Cash, Cash Equivalents and Restricted Cash, End of the Year</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136.3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253.7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287.7</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Supplemental Cash Flow Information: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Interest paid, net of capitalized interest</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11.1</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16.2</w:t>
            </w:r>
          </w:p>
        </w:tc>
        <w:tc>
          <w:tcPr>
            <w:tcW w:w="32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tax paid, net of income tax refunds</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215.2</w:t>
            </w:r>
          </w:p>
        </w:tc>
        <w:tc>
          <w:tcPr>
            <w:tcW w:w="32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Non-cash Information: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Capital expenditures included in accounts payable, accruals and other liabilities</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10.8</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w:t>
            </w:r>
          </w:p>
        </w:tc>
        <w:tc>
          <w:tcPr>
            <w:tcW w:w="32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Non-cash payments for intangible asset acquisitions</w:t>
            </w:r>
          </w:p>
        </w:tc>
        <w:tc>
          <w:tcPr>
            <w:tcW w:w="32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32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MATSON, INC. AND SUBSIDIARIES CONSOLIDATED STATEMENTS OF SHAREHOLDERS’ EQUITY FOR THE THREE YEARS ENDED DECEMBER 31, 2023</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Stated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080" w:type="dxa"/>
            <w:vAlign w:val="bottom"/>
            <w:gridSpan w:val="3"/>
          </w:tcPr>
          <w:p>
            <w:pPr>
              <w:jc w:val="center"/>
              <w:ind w:left="13"/>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 repurchase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($1.06 per share)</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 repurchase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Equity interest in SSAT (see Note 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($1.22 per share)</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 repurchase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Dividends ($1.26 per share)</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700" w:hanging="650"/>
        <w:spacing w:after="0"/>
        <w:tabs>
          <w:tab w:leader="none" w:pos="7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 For financial information on the Company’s reportable segments for the three years ended December 31, 2023, see Note 3.</w:t>
      </w:r>
    </w:p>
    <w:p>
      <w:pPr>
        <w:spacing w:after="0" w:line="178"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on the Hawaiian islands of Oahu, Hawaii, Maui and Kauai, and for MatNav and other ocean carriers in Alaska.</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 (see Note 4).</w:t>
      </w:r>
    </w:p>
    <w:p>
      <w:pPr>
        <w:spacing w:after="0" w:line="18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200" w:lineRule="exact"/>
        <w:rPr>
          <w:sz w:val="20"/>
          <w:szCs w:val="20"/>
          <w:color w:val="auto"/>
        </w:rPr>
      </w:pPr>
    </w:p>
    <w:p>
      <w:pPr>
        <w:spacing w:after="0" w:line="202" w:lineRule="exact"/>
        <w:rPr>
          <w:sz w:val="20"/>
          <w:szCs w:val="20"/>
          <w:color w:val="auto"/>
        </w:rPr>
      </w:pPr>
    </w:p>
    <w:p>
      <w:pPr>
        <w:ind w:left="700" w:hanging="650"/>
        <w:spacing w:after="0"/>
        <w:tabs>
          <w:tab w:leader="none" w:pos="7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(see Note 4).</w:t>
      </w:r>
    </w:p>
    <w:p>
      <w:pPr>
        <w:spacing w:after="0" w:line="183"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The year end for Matson is December 31. The period end for MatNav occurred on the last Friday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except for certain Company subsidiaries whose period closed on December 31. Included in these Consolidated Financial Statements are 52 weeks in fiscal years 2023 and 2022 and 53 weeks in fiscal year 2021 for MatNav.</w:t>
      </w:r>
    </w:p>
    <w:p>
      <w:pPr>
        <w:spacing w:after="0" w:line="173"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Transactions: </w:t>
      </w:r>
      <w:r>
        <w:rPr>
          <w:rFonts w:ascii="Times New Roman" w:cs="Times New Roman" w:eastAsia="Times New Roman" w:hAnsi="Times New Roman"/>
          <w:sz w:val="18"/>
          <w:szCs w:val="18"/>
          <w:color w:val="auto"/>
        </w:rPr>
        <w:t>The United States (U.S.) dollar is the functional currency for substantially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(gain) within shareholders’ equity. The Company translates the result of operations of its foreign subsidiaries at the average exchange rate during the respective periods. Gains and losses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resulting from foreign currency transactions are included in Costs and Expenses in the Consolidated Statements of Income and Comprehensive Income.</w:t>
      </w:r>
    </w:p>
    <w:p>
      <w:pPr>
        <w:spacing w:after="0" w:line="160"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Consolidated Financial Statements in conformity with accounting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contingent acquisition related consideration; accrual estimates; pension and post-retirement estimates; multi-employer withdrawal liabilities; operating lease assets and liabilities; income (loss) from SSAT; and income taxes. Future results could be materially affected if actual results differ from these estimates and assumptions.</w:t>
      </w:r>
    </w:p>
    <w:p>
      <w:pPr>
        <w:spacing w:after="0" w:line="185"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Cash equivalents consist of highly-liquid investments with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The Company carries these investments at cost, which approximates fair value. Restricted cash relates to amounts that are subject to contractual restrictions and are not readily available. Restricted cash was $2.3 million and $3.9 million at December 31, 2023 and 2022, respectively, and are included in prepaid expenses and other assets in the Consolidated Balance Sheets.</w:t>
      </w:r>
    </w:p>
    <w:p>
      <w:pPr>
        <w:spacing w:after="0" w:line="183"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Accounts receivable represent amounts due from trade customers arising in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Accounts receivable are shown net of allowance for doubtful accounts receivable in the Consolidated Balance Sheets. Allowance for doubtful accounts receivable is established by management 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w:t>
      </w:r>
    </w:p>
    <w:p>
      <w:pPr>
        <w:spacing w:after="0" w:line="184"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Changes in the allowance for doubtful accounts receivable for the three years ended December 31, 2023, 2022 and 2021 were as follows:</w:t>
      </w:r>
    </w:p>
    <w:tbl>
      <w:tblPr>
        <w:tblLayout w:type="fixed"/>
        <w:tblInd w:w="40" w:type="dxa"/>
        <w:tblCellMar>
          <w:top w:w="0" w:type="dxa"/>
          <w:left w:w="0" w:type="dxa"/>
          <w:bottom w:w="0" w:type="dxa"/>
          <w:right w:w="0" w:type="dxa"/>
        </w:tblCellMar>
      </w:tblPr>
      <w:tr>
        <w:trPr>
          <w:trHeight w:val="137"/>
        </w:trPr>
        <w:tc>
          <w:tcPr>
            <w:tcW w:w="4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175"/>
              <w:spacing w:after="0" w:line="13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Expense (1)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97"/>
              <w:spacing w:after="0" w:line="137" w:lineRule="exact"/>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97"/>
              <w:spacing w:after="0" w:line="13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42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2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is shown net of amounts recovered from previously reserved doubtful accounts receivable.</w:t>
      </w:r>
    </w:p>
    <w:p>
      <w:pPr>
        <w:spacing w:after="0" w:line="206"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Prepaid Expenses and Other Assets: </w:t>
      </w:r>
      <w:r>
        <w:rPr>
          <w:rFonts w:ascii="Times New Roman" w:cs="Times New Roman" w:eastAsia="Times New Roman" w:hAnsi="Times New Roman"/>
          <w:sz w:val="18"/>
          <w:szCs w:val="18"/>
          <w:color w:val="auto"/>
        </w:rPr>
        <w:t>Prepaid expenses and other assets consist of the following at December 31,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w:t>
      </w:r>
    </w:p>
    <w:tbl>
      <w:tblPr>
        <w:tblLayout w:type="fixed"/>
        <w:tblInd w:w="60" w:type="dxa"/>
        <w:tblCellMar>
          <w:top w:w="0" w:type="dxa"/>
          <w:left w:w="0" w:type="dxa"/>
          <w:bottom w:w="0" w:type="dxa"/>
          <w:right w:w="0" w:type="dxa"/>
        </w:tblCellMar>
      </w:tblPr>
      <w:tr>
        <w:trPr>
          <w:trHeight w:val="162"/>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Prepaid Expenses and Other Assets (in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receivables,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Prepaid fuel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 and insurance related receivables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vessel construction obligations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Income tax receivables primarily include a federal income tax refund related to the Company’s 2021 federal tax return of approximately $118.6 million, overpayments of federal and state taxes paid during the year ended December 31, 2023, and other income tax receivables.</w:t>
      </w:r>
    </w:p>
    <w:p>
      <w:pPr>
        <w:spacing w:after="0" w:line="17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Loan Fees: </w:t>
      </w:r>
      <w:r>
        <w:rPr>
          <w:rFonts w:ascii="Times New Roman" w:cs="Times New Roman" w:eastAsia="Times New Roman" w:hAnsi="Times New Roman"/>
          <w:sz w:val="18"/>
          <w:szCs w:val="18"/>
          <w:color w:val="auto"/>
        </w:rPr>
        <w:t>The Company records deferred loan fees, excluding those related to the revolving credit facility,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reduction to Total Debt in the Company’s Consolidated Balance Sheets in accordance with Accounting Standards Update (“ASU”) 2015-03, </w:t>
      </w:r>
      <w:r>
        <w:rPr>
          <w:rFonts w:ascii="Times New Roman" w:cs="Times New Roman" w:eastAsia="Times New Roman" w:hAnsi="Times New Roman"/>
          <w:sz w:val="18"/>
          <w:szCs w:val="18"/>
          <w:i w:val="1"/>
          <w:iCs w:val="1"/>
          <w:color w:val="auto"/>
        </w:rPr>
        <w:t>Interest-Imputation of Interest (Subtopic 835-30): Simplifying the Presentation of Debt Issuance Costs</w:t>
      </w:r>
      <w:r>
        <w:rPr>
          <w:rFonts w:ascii="Times New Roman" w:cs="Times New Roman" w:eastAsia="Times New Roman" w:hAnsi="Times New Roman"/>
          <w:sz w:val="18"/>
          <w:szCs w:val="18"/>
          <w:color w:val="auto"/>
        </w:rPr>
        <w:t xml:space="preserve"> (“ASU 2015-03”). These costs are being amortized over the life of the related debt using the effective interest method (see Note 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Deferred loan fees related to the Company’s revolving credit facility are recorded in other long-term assets in the Company’s Consolidated Balance Sheets and are amortized using the straight-line method, as the difference between that method and the use of the effective interest method is not material.</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Other Long-Term Assets: </w:t>
      </w:r>
      <w:r>
        <w:rPr>
          <w:rFonts w:ascii="Times New Roman" w:cs="Times New Roman" w:eastAsia="Times New Roman" w:hAnsi="Times New Roman"/>
          <w:sz w:val="18"/>
          <w:szCs w:val="18"/>
          <w:color w:val="auto"/>
        </w:rPr>
        <w:t>Other long-term assets consist of the following at December 31, 2023 and 2022:</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Long-Term Assets (in millions)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and equipment spare parts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Pension plan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related receivables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3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is stated at cost. Property and equipment is depreciated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method over the estimated useful lives of the assets. The estimated useful lives of property and equipment range up to the following maximum life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10"/>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 years</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Terminal cranes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 years</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Containers and chassis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Terminal facilities and other property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bl>
    <w:p>
      <w:pPr>
        <w:spacing w:after="0" w:line="17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Capitalized Interest: </w:t>
      </w:r>
      <w:r>
        <w:rPr>
          <w:rFonts w:ascii="Times New Roman" w:cs="Times New Roman" w:eastAsia="Times New Roman" w:hAnsi="Times New Roman"/>
          <w:sz w:val="18"/>
          <w:szCs w:val="18"/>
          <w:color w:val="auto"/>
        </w:rPr>
        <w:t>The Company capitalizes interest costs during the period the qualified assets are being readied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intended use. The Company determined that vessel construction costs are considered qualifying assets for the purposes of capitalizing interest on these assets. The amount of capitalized interest is calculated based on the amount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Consolidated Balance Sheets (see Note 5). During the years ended December 31, 2023, 2022 and 2021, the Company capitalized $2.6 million, $0.7 million and $0.2 million of interest related to the construction of new vessels, respectively.</w:t>
      </w:r>
    </w:p>
    <w:p>
      <w:pPr>
        <w:spacing w:after="0" w:line="17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Accounting Standards Codification (“ASC”) 842,</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(“ASC 842”) requires lessees to record leases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but recognize the expenses in their income statements. ASC 842 states that a lessee would recognize a lease liability for the obligation to make lease payments, and a right-of-use asset for the underlying leased asset for the period of the lease term. Refer to Note 9 for additional information on the Company’s lease related disclosures.</w:t>
      </w:r>
    </w:p>
    <w:p>
      <w:pPr>
        <w:spacing w:after="0" w:line="16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Dry-docking Costs: </w:t>
      </w:r>
      <w:r>
        <w:rPr>
          <w:rFonts w:ascii="Times New Roman" w:cs="Times New Roman" w:eastAsia="Times New Roman" w:hAnsi="Times New Roman"/>
          <w:sz w:val="18"/>
          <w:szCs w:val="18"/>
          <w:color w:val="auto"/>
        </w:rPr>
        <w:t>U.S. flagged vessels must meet specified seaworthiness standards established by U.S. Coast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flagged vessels are required to meet applicable classification society rules and their own local standards for seaworthiness, which also mandate vessels to undergo two dry-docking inspections every five years.</w:t>
      </w:r>
    </w:p>
    <w:p>
      <w:pPr>
        <w:spacing w:after="0" w:line="17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scheduled date of the next required dry-docking, which is usually over a two to five-year period. Amortization of deferred dry-docking costs are charged to operating expenses of the Ocean Transportation segment in the Consolidated Statements of Income and Comprehensive Income. Routine vessel maintenance and repairs are charged to expense as incurred.</w:t>
      </w:r>
    </w:p>
    <w:p>
      <w:pPr>
        <w:spacing w:after="0" w:line="172"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intangible assets arise as a result of acquisitions made by the Company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6). Intangible assets consist of customer relationships which are being amortized using the straight-line method over the expected useful lives ranging up to 21 years, and a trade name that has an indefinite life.</w:t>
      </w:r>
    </w:p>
    <w:p>
      <w:pPr>
        <w:spacing w:after="0" w:line="160" w:lineRule="exact"/>
        <w:rPr>
          <w:sz w:val="20"/>
          <w:szCs w:val="20"/>
          <w:color w:val="auto"/>
        </w:rPr>
      </w:pPr>
    </w:p>
    <w:p>
      <w:pPr>
        <w:ind w:left="60" w:right="499"/>
        <w:spacing w:after="0" w:line="284" w:lineRule="auto"/>
        <w:rPr>
          <w:sz w:val="20"/>
          <w:szCs w:val="20"/>
          <w:color w:val="auto"/>
        </w:rPr>
      </w:pPr>
      <w:r>
        <w:rPr>
          <w:rFonts w:ascii="Times New Roman" w:cs="Times New Roman" w:eastAsia="Times New Roman" w:hAnsi="Times New Roman"/>
          <w:sz w:val="18"/>
          <w:szCs w:val="18"/>
          <w:i w:val="1"/>
          <w:iCs w:val="1"/>
          <w:color w:val="auto"/>
        </w:rPr>
        <w:t>Impairment Evaluation of Long-Lived Assets, Intangible Assets and Goodwill</w:t>
      </w:r>
      <w:r>
        <w:rPr>
          <w:rFonts w:ascii="Times New Roman" w:cs="Times New Roman" w:eastAsia="Times New Roman" w:hAnsi="Times New Roman"/>
          <w:sz w:val="18"/>
          <w:szCs w:val="18"/>
          <w:color w:val="auto"/>
        </w:rPr>
        <w:t>: The Company evaluates its long-lived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intangible assets and goodwill for possible impairment in the fourth quarter, or whenever events or changes in</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circumstances indicate that it is more likely than not that the fair value is less than its carrying amount. The Company has reporting units within the Ocean Transportation and Logistics reportable segments.</w:t>
      </w:r>
    </w:p>
    <w:p>
      <w:pPr>
        <w:spacing w:after="0" w:line="94"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Long-lived assets and finite-lived intangible assets are grouped at the lowest level reporting unit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No impairment charges of long-lived assets and finite-lived intangible assets were recorded for the years ended December 31, 2023, 2022 and 2021.</w:t>
      </w:r>
    </w:p>
    <w:p>
      <w:pPr>
        <w:spacing w:after="0" w:line="12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Indefinite-life intangible assets and goodwill are grouped at the lowest level reporting unit for which identifiable cash flows are available. In estimating the fair value of a reporting unit, the Company uses a combination of a discounted cash flow model and fair value based on market multiples of earnings before interest, taxes, depreciation and amortization. Based upon the Company’s evaluation of its indefinite-life intangible assets and goodwill for impairment, the Company determined that the fair value of each reporting unit exceeds book value. No impairment charges of indefinite-life intangible assets and goodwill were recorded for the years ended December 31, 2023, 2022 and 2021.</w:t>
      </w:r>
    </w:p>
    <w:p>
      <w:pPr>
        <w:spacing w:after="0" w:line="118"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Evaluation of SSAT: </w:t>
      </w:r>
      <w:r>
        <w:rPr>
          <w:rFonts w:ascii="Times New Roman" w:cs="Times New Roman" w:eastAsia="Times New Roman" w:hAnsi="Times New Roman"/>
          <w:sz w:val="18"/>
          <w:szCs w:val="18"/>
          <w:color w:val="auto"/>
        </w:rPr>
        <w:t>The Company’s investment in SSAT, a related party, is evaluated for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there is evidence of impairment during the reporting period. If any impairment is identified, the Company evaluates if the decrease in the fair value of the investment below its carrying value is other-than-temporary. No impairment of the Company’s investment in SSAT was identified during the years ended December 31, 2023, 2022 and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Other liabilities consist of the following at December 31, 2023 and 2022:</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Liabilities (in millions)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vacation</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Employee incentives and other benefits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reserves and other related liabilities - short term</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withdrawal liabilities - short term</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and other tax related liabilities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11"/>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Other Long-Term Liabilities: </w:t>
            </w:r>
            <w:r>
              <w:rPr>
                <w:rFonts w:ascii="Times New Roman" w:cs="Times New Roman" w:eastAsia="Times New Roman" w:hAnsi="Times New Roman"/>
                <w:sz w:val="18"/>
                <w:szCs w:val="18"/>
                <w:color w:val="auto"/>
              </w:rPr>
              <w:t>Other long-term liabilities consist of the following at December 31, 2023 and 2022: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Long-Term Liabilities (in millions)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Multi-employer withdrawal liability</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 reserves and other related liabilities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r>
              <w:rPr>
                <w:rFonts w:ascii="Times New Roman" w:cs="Times New Roman" w:eastAsia="Times New Roman" w:hAnsi="Times New Roman"/>
                <w:sz w:val="18"/>
                <w:szCs w:val="18"/>
                <w:u w:val="single" w:color="auto"/>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18"/>
                <w:szCs w:val="18"/>
                <w:u w:val="single" w:color="auto"/>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Pension and Post-Retirement Plans: </w:t>
      </w:r>
      <w:r>
        <w:rPr>
          <w:rFonts w:ascii="Times New Roman" w:cs="Times New Roman" w:eastAsia="Times New Roman" w:hAnsi="Times New Roman"/>
          <w:sz w:val="18"/>
          <w:szCs w:val="18"/>
          <w:color w:val="auto"/>
        </w:rPr>
        <w:t>The Company is a member of the Pacific Maritime Association (“PMA”)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Hawaii Stevedoring Industry Committee, which negotiate multi-employer pension plans covering certain shoreside bargaining unit personnel. The Company directly negotiates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0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estimation of the Company’s pension and post-retirement benefit expenses and liabilities requires that the Company make various assumptions. These assumptions include factors such as discount rates, expected long-term rates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Additional information about the Company’s pension and post-retirement plans is included in Note 11.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Insurance Related Liabilities: </w:t>
      </w:r>
      <w:r>
        <w:rPr>
          <w:rFonts w:ascii="Times New Roman" w:cs="Times New Roman" w:eastAsia="Times New Roman" w:hAnsi="Times New Roman"/>
          <w:sz w:val="18"/>
          <w:szCs w:val="18"/>
          <w:color w:val="auto"/>
        </w:rPr>
        <w:t>The Company purchases insurance with deductibles or self-insured retentions to mitigate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risks that it is exposed to. Such insurance includes, but is not limited to, employee health, workers’ compensation, marine liability, cybersecurity, auto liability and physical damage to property and equipment. For certain risks, the Company elects to not purchase insurance because of the excessive cost of insurance, the perceived remoteness of the risk or insurance coverage is not commercially available. The Company retains the risk of loss for insurance deductibles and self-insured retentions, for amounts that exceed the limits of the Company’s insurance policies, and for other risks not covered by insurance.</w:t>
      </w:r>
    </w:p>
    <w:p>
      <w:pPr>
        <w:spacing w:after="0" w:line="10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When estimating its reserves for retained risks and related liabilities, the Company considers a number of factors, including historical claims experience, demographic factors, current trends, and analyses provided by independent third parties. Periodically, management reviews its assumptions and estimates used to determine the adequacy of the Company’s reserves for retained risks and other related liabilities.</w:t>
      </w:r>
    </w:p>
    <w:p>
      <w:pPr>
        <w:spacing w:after="0" w:line="9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Recognition of Revenues and Expenses: </w:t>
      </w:r>
      <w:r>
        <w:rPr>
          <w:rFonts w:ascii="Times New Roman" w:cs="Times New Roman" w:eastAsia="Times New Roman" w:hAnsi="Times New Roman"/>
          <w:sz w:val="18"/>
          <w:szCs w:val="18"/>
          <w:color w:val="auto"/>
        </w:rPr>
        <w:t>Revenue in the Company’s Consolidated Financial Statements is presented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 of intercompany transactions. The following is a description of the Company’s principal revenue generating activities by segment, and the Company’s revenue recognition policy for each activity for the periods presented: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Ocean Transportation (in millions) (1)</w:t>
            </w: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3,101.9</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Terminal and other related services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sales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Vessel management and related services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3,132.8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99" w:hanging="330"/>
        <w:spacing w:after="0" w:line="26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81" w:lineRule="exact"/>
        <w:rPr>
          <w:sz w:val="20"/>
          <w:szCs w:val="20"/>
          <w:color w:val="auto"/>
        </w:rPr>
      </w:pPr>
    </w:p>
    <w:p>
      <w:pPr>
        <w:ind w:left="380" w:right="119"/>
        <w:spacing w:after="0" w:line="261" w:lineRule="auto"/>
        <w:rPr>
          <w:sz w:val="20"/>
          <w:szCs w:val="20"/>
          <w:color w:val="auto"/>
        </w:rPr>
      </w:pPr>
      <w:r>
        <w:rPr>
          <w:rFonts w:ascii="Times New Roman" w:cs="Times New Roman" w:eastAsia="Times New Roman" w:hAnsi="Times New Roman"/>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ind w:left="380" w:right="179"/>
        <w:spacing w:after="0" w:line="250" w:lineRule="auto"/>
        <w:rPr>
          <w:sz w:val="20"/>
          <w:szCs w:val="20"/>
          <w:color w:val="auto"/>
        </w:rPr>
      </w:pPr>
      <w:r>
        <w:rPr>
          <w:rFonts w:ascii="Times New Roman" w:cs="Times New Roman" w:eastAsia="Times New Roman" w:hAnsi="Times New Roman"/>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Times New Roman" w:cs="Times New Roman" w:eastAsia="Times New Roman" w:hAnsi="Times New Roman"/>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50" w:lineRule="auto"/>
        <w:rPr>
          <w:sz w:val="20"/>
          <w:szCs w:val="20"/>
          <w:color w:val="auto"/>
        </w:rPr>
      </w:pPr>
      <w:r>
        <w:rPr>
          <w:rFonts w:ascii="Times New Roman" w:cs="Times New Roman" w:eastAsia="Times New Roman" w:hAnsi="Times New Roman"/>
          <w:sz w:val="18"/>
          <w:szCs w:val="18"/>
          <w:color w:val="auto"/>
        </w:rPr>
        <w:t>Vessel management and related services revenue is recognized in proportion to the services completed. Related costs are recognized as incurred.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Logistics (in millions) (1)</w:t>
            </w: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Warehousing and distribution services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 chain management and other services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0"/>
        </w:trPr>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r>
              <w:rPr>
                <w:rFonts w:ascii="Times New Roman" w:cs="Times New Roman" w:eastAsia="Times New Roman" w:hAnsi="Times New Roman"/>
                <w:sz w:val="18"/>
                <w:szCs w:val="18"/>
                <w:u w:val="single" w:color="auto"/>
                <w:color w:val="auto"/>
              </w:rPr>
              <w:t>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r>
              <w:rPr>
                <w:rFonts w:ascii="Times New Roman" w:cs="Times New Roman" w:eastAsia="Times New Roman" w:hAnsi="Times New Roman"/>
                <w:sz w:val="18"/>
                <w:szCs w:val="18"/>
                <w:u w:val="single" w:color="auto"/>
                <w:color w:val="auto"/>
              </w:rPr>
              <w:t>4</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r>
              <w:rPr>
                <w:rFonts w:ascii="Times New Roman" w:cs="Times New Roman" w:eastAsia="Times New Roman" w:hAnsi="Times New Roman"/>
                <w:sz w:val="18"/>
                <w:szCs w:val="18"/>
                <w:u w:val="single" w:color="auto"/>
                <w:color w:val="auto"/>
              </w:rPr>
              <w:t>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379" w:hanging="330"/>
        <w:spacing w:after="0" w:line="261" w:lineRule="auto"/>
        <w:tabs>
          <w:tab w:leader="none" w:pos="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spacing w:after="0" w:line="81" w:lineRule="exact"/>
        <w:rPr>
          <w:sz w:val="20"/>
          <w:szCs w:val="20"/>
          <w:color w:val="auto"/>
        </w:rPr>
      </w:pPr>
    </w:p>
    <w:p>
      <w:pPr>
        <w:ind w:left="380" w:right="99"/>
        <w:spacing w:after="0" w:line="255" w:lineRule="auto"/>
        <w:rPr>
          <w:sz w:val="20"/>
          <w:szCs w:val="20"/>
          <w:color w:val="auto"/>
        </w:rPr>
      </w:pPr>
      <w:r>
        <w:rPr>
          <w:rFonts w:ascii="Times New Roman" w:cs="Times New Roman" w:eastAsia="Times New Roman" w:hAnsi="Times New Roman"/>
          <w:sz w:val="18"/>
          <w:szCs w:val="18"/>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9" w:lineRule="exact"/>
        <w:rPr>
          <w:sz w:val="20"/>
          <w:szCs w:val="20"/>
          <w:color w:val="auto"/>
        </w:rPr>
      </w:pPr>
    </w:p>
    <w:p>
      <w:pPr>
        <w:ind w:left="380" w:right="99"/>
        <w:spacing w:after="0" w:line="253" w:lineRule="auto"/>
        <w:rPr>
          <w:sz w:val="20"/>
          <w:szCs w:val="20"/>
          <w:color w:val="auto"/>
        </w:rPr>
      </w:pPr>
      <w:r>
        <w:rPr>
          <w:rFonts w:ascii="Times New Roman" w:cs="Times New Roman" w:eastAsia="Times New Roman" w:hAnsi="Times New Roman"/>
          <w:sz w:val="18"/>
          <w:szCs w:val="18"/>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right="319"/>
        <w:spacing w:after="0" w:line="282" w:lineRule="auto"/>
        <w:rPr>
          <w:sz w:val="20"/>
          <w:szCs w:val="20"/>
          <w:color w:val="auto"/>
        </w:rPr>
      </w:pPr>
      <w:r>
        <w:rPr>
          <w:rFonts w:ascii="Times New Roman" w:cs="Times New Roman" w:eastAsia="Times New Roman" w:hAnsi="Times New Roman"/>
          <w:sz w:val="18"/>
          <w:szCs w:val="18"/>
          <w:color w:val="auto"/>
        </w:rPr>
        <w:t>Supply chain management and other services revenue, and related costs are recognized in proportion to the services performed.</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administration expenses in the Consolidated Statements of Income and Comprehensive Income.</w:t>
      </w:r>
    </w:p>
    <w:p>
      <w:pPr>
        <w:spacing w:after="0" w:line="118"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Concentration: </w:t>
      </w:r>
      <w:r>
        <w:rPr>
          <w:rFonts w:ascii="Times New Roman" w:cs="Times New Roman" w:eastAsia="Times New Roman" w:hAnsi="Times New Roman"/>
          <w:sz w:val="18"/>
          <w:szCs w:val="18"/>
          <w:color w:val="auto"/>
        </w:rPr>
        <w:t>The Ocean Transportation segment serves customers in numerous industries and carries a 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cargo, mitigating its dependence upon any single customer or single type of cargo. In 2023, the Company’s 10 largest Ocean Transportation customers accounted for approximately 16 percent of the Company’s Ocean Transportation operating revenue.</w:t>
      </w:r>
    </w:p>
    <w:p>
      <w:pPr>
        <w:spacing w:after="0" w:line="114" w:lineRule="exact"/>
        <w:rPr>
          <w:sz w:val="20"/>
          <w:szCs w:val="20"/>
          <w:color w:val="auto"/>
        </w:rPr>
      </w:pPr>
    </w:p>
    <w:p>
      <w:pPr>
        <w:ind w:left="100" w:right="419" w:hanging="44"/>
        <w:spacing w:after="0" w:line="312" w:lineRule="auto"/>
        <w:rPr>
          <w:sz w:val="20"/>
          <w:szCs w:val="20"/>
          <w:color w:val="auto"/>
        </w:rPr>
      </w:pPr>
      <w:r>
        <w:rPr>
          <w:rFonts w:ascii="Times New Roman" w:cs="Times New Roman" w:eastAsia="Times New Roman" w:hAnsi="Times New Roman"/>
          <w:sz w:val="17"/>
          <w:szCs w:val="17"/>
          <w:color w:val="auto"/>
        </w:rPr>
        <w:t>The Logistics segment serves customers in numerous industries and geographical locations. In 2023, the Company’s 10 largest Logistics customers accounted for approximately 21 percent of the Company’s Logistics operating revenue.</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recognizes dividends as a liability when approved by the Board of Directors.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Repurchase of Shares: </w:t>
      </w:r>
      <w:r>
        <w:rPr>
          <w:rFonts w:ascii="Times New Roman" w:cs="Times New Roman" w:eastAsia="Times New Roman" w:hAnsi="Times New Roman"/>
          <w:sz w:val="18"/>
          <w:szCs w:val="18"/>
          <w:color w:val="auto"/>
        </w:rPr>
        <w:t>During the years ended December 31, 2023, 2022 and 2021, the Company repurchased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2.1 million, 5.0 million and 2.5 million shares, respectively, for $158.2 million, $397.0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$200.1 million, respectively. As of December 31, 2023, the number of remaining shares that may be repurchased under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share repurchase program was approximately 2.5 million shares.</w:t>
      </w:r>
    </w:p>
    <w:p>
      <w:pPr>
        <w:spacing w:after="0" w:line="205"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The Company records compensation expense for all share-based awards made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The Company’s various stock-based compensation plans are more fully described in Note 15.</w:t>
      </w:r>
    </w:p>
    <w:p>
      <w:pPr>
        <w:spacing w:after="0" w:line="9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estimate of the Company’s income tax expense requires the Company to make various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These estimates and judgments are applied in the calculation of taxable income, tax credits, tax benefits, CCF and other tax deductions, and in the calculation of certain deferred tax assets and liabilities, which arise from differences in the timing of recognition of revenue, costs and expenses for tax purposes. The Company also considers the impact of expected future events such as changes in tax rates, changes in tax laws, regulations and rulings. Deferred tax assets and liabilities are adjusted to the extent necessary to reflect tax rates expected to be in effect when the temporary differences reverse.</w:t>
      </w:r>
    </w:p>
    <w:p>
      <w:pPr>
        <w:spacing w:after="0" w:line="117"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records a valuation allowance if, based on the weight of available evidence, management believes that it is more likely than not that some portion or all of a recorded deferred tax asset would not be realized in future periods. The Company’s income taxes are more fully described in Note 10.</w:t>
      </w:r>
    </w:p>
    <w:p>
      <w:pPr>
        <w:spacing w:after="0" w:line="10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Rounding: </w:t>
      </w:r>
      <w:r>
        <w:rPr>
          <w:rFonts w:ascii="Times New Roman" w:cs="Times New Roman" w:eastAsia="Times New Roman" w:hAnsi="Times New Roman"/>
          <w:sz w:val="18"/>
          <w:szCs w:val="18"/>
          <w:color w:val="auto"/>
        </w:rPr>
        <w:t>Amounts in the Consolidated Financial Statements and Notes to the Consolidated Financial Statements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rounded to tenth of millions, except for per share calculations and percentages which were determined based on amounts before rounding. Accordingly, a recalculation of some per-share amounts and percentages, if based on the reported data, may be slightly different.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27"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requires disclosure of incremental segment information on an annual and interim basis. The ASU is effective for fiscal years beginning after December 15, 2023, and interim periods within fiscal years beginning after December 15, 2024, and requires retrospective application to all prior periods presented in the financial statements. Early adoption is permitted. The Company is currently evaluating the effects of adopting ASU 2023-07 but does not expect it will have a material impact on the Company’s consolidated financial statements.</w:t>
      </w:r>
    </w:p>
    <w:p>
      <w:pPr>
        <w:spacing w:after="0" w:line="18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disaggregated information about a reporting entity’s effective tax rate reconciliation as well as information on income taxes paid. ASU 2023-09 is effective for annual periods beginning after December 15, 2024, and interim periods within fiscal years beginning after December 15, 2025. The Company is currently evaluating the effects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of adoption ASU 2023-09 but does not expect it to have a material impact on the Company’s consolidated financial statements.</w:t>
      </w:r>
    </w:p>
    <w:p>
      <w:pPr>
        <w:spacing w:after="0" w:line="374"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148"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99"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 (see Note 4).</w:t>
      </w:r>
    </w:p>
    <w:p>
      <w:pPr>
        <w:spacing w:after="0" w:line="10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$208.7 million, $270.9 million and $213.8 million for the years ended December 31, 2023, 2022 and 2021, respectively, have been eliminated from operating revenues in the table below.</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Reportable segment financial information for the years ended December 31, 2023, 2022 and 2021, are as follows: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 (2)</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3,925.3</w:t>
            </w:r>
          </w:p>
        </w:tc>
        <w:tc>
          <w:tcPr>
            <w:tcW w:w="0" w:type="dxa"/>
            <w:vAlign w:val="bottom"/>
          </w:tcPr>
          <w:p>
            <w:pPr>
              <w:spacing w:after="0"/>
              <w:rPr>
                <w:sz w:val="1"/>
                <w:szCs w:val="1"/>
                <w:color w:val="auto"/>
              </w:rPr>
            </w:pPr>
          </w:p>
        </w:tc>
      </w:tr>
      <w:tr>
        <w:trPr>
          <w:trHeight w:val="196"/>
        </w:trPr>
        <w:tc>
          <w:tcPr>
            <w:tcW w:w="61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0"/>
        </w:trPr>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Operating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r>
              <w:rPr>
                <w:rFonts w:ascii="Times New Roman" w:cs="Times New Roman" w:eastAsia="Times New Roman" w:hAnsi="Times New Roman"/>
                <w:sz w:val="18"/>
                <w:szCs w:val="18"/>
                <w:u w:val="single" w:color="auto"/>
                <w:color w:val="auto"/>
              </w:rPr>
              <w:t>4</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Ocean Transportation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dry-docking amortization - Ocean Transportation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9"/>
        </w:trPr>
        <w:tc>
          <w:tcPr>
            <w:tcW w:w="6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380" w:right="479" w:hanging="330"/>
        <w:spacing w:after="0" w:line="233"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$76.5 million, $93.6 million and $81.0 million for the years ended December 31, 2023, 2022 and 2021, respectively.</w:t>
      </w:r>
    </w:p>
    <w:p>
      <w:pPr>
        <w:ind w:left="380" w:right="139" w:hanging="330"/>
        <w:spacing w:after="0" w:line="221"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$132.2 million, $177.3 million and $132.8 million for the years ended December 31, 2023, 2022 and 2021, respectively.</w:t>
      </w:r>
    </w:p>
    <w:p>
      <w:pPr>
        <w:ind w:left="380" w:right="319" w:hanging="330"/>
        <w:spacing w:after="0" w:line="239"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segment information includes $2.2 million, $83.1 million, and $56.3 million of income from the Company’s investment in SSAT for the years ended December 31,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-584200</wp:posOffset>
            </wp:positionV>
            <wp:extent cx="1414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6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6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 (1)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3,705.2</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r>
      <w:tr>
        <w:trPr>
          <w:trHeight w:val="209"/>
        </w:trPr>
        <w:tc>
          <w:tcPr>
            <w:tcW w:w="20" w:type="dxa"/>
            <w:vAlign w:val="bottom"/>
          </w:tcPr>
          <w:p>
            <w:pPr>
              <w:spacing w:after="0"/>
              <w:rPr>
                <w:sz w:val="18"/>
                <w:szCs w:val="18"/>
                <w:color w:val="auto"/>
              </w:rPr>
            </w:pPr>
          </w:p>
        </w:tc>
        <w:tc>
          <w:tcPr>
            <w:tcW w:w="6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58" w:lineRule="exact"/>
        <w:rPr>
          <w:sz w:val="20"/>
          <w:szCs w:val="20"/>
          <w:color w:val="auto"/>
        </w:rPr>
      </w:pPr>
    </w:p>
    <w:p>
      <w:pPr>
        <w:ind w:left="380" w:right="99" w:hanging="330"/>
        <w:spacing w:after="0" w:line="261" w:lineRule="auto"/>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Ocean Transportation segment includes $85.5 million and $81.2 million related to the Company’s investment in SSAT as of December 31, 2023 and 2022, respectively.</w:t>
      </w:r>
    </w:p>
    <w:p>
      <w:pPr>
        <w:spacing w:after="0" w:line="217"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SSAT</w:t>
      </w:r>
    </w:p>
    <w:p>
      <w:pPr>
        <w:spacing w:after="0" w:line="13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accounts for its 35 percent ownership interest in SSAT using the equity method of accounting. The Company records its share of income from SSAT in costs and expenses within the Ocean Transportation segment due to operations of SSAT being an integral part of the Company’s Ocean Transportation business. The Company’s investment in SSAT was $85.5 million and $81.2 million at December 31, 2023 and 2022, respectively. On September 16, 2022, SSAT completed the purchase of a 20 percent equity interest in SSAT Terminals (Oakland), LLC (“SSAT Oakland”) from a third-party company. After completion of this transaction, SSAT Oakland became a wholly owned subsidiary of SSAT. The operating results of SSAT Oakland consolidate into the operating results of SSAT. As a result of this transaction, the Company recorded a decrease of $15.5 million in its investment in SSAT, an increase in deferred tax assets of $3.9 million, and a corresponding decrease in retained earnings of $11.6 million during the year ended December 31, 2022.</w:t>
      </w:r>
    </w:p>
    <w:p>
      <w:pPr>
        <w:spacing w:after="0" w:line="188"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Company’s share of income recorded in the Consolidated Statements of Income and Comprehensive Income and dividends received by the Company during the years ended December 31, 2023, 2022 and 2021 are as follows: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share of income from SSAT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3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 received from SSAT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Ocean Transportation segment operating costs for terminal services provided by SSAT include</w:t>
      </w:r>
    </w:p>
    <w:p>
      <w:pPr>
        <w:spacing w:after="0" w:line="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$297.2 million, $308.3 million and $284.9 million for the years ended December 31, 2023, 2022 and 2021, respectively. Accounts payable and accrued liabilities in the Consolidated Balance Sheets for terminal services payable to SSAT include $43.4 million and $43.6 million at December 31, 2023 and 2022, respectively.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Condensed Balance Sheets of SSAT at December 31, 2023 and 2022 are as follows: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Balance Sheets (in millions)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A summary of the Condensed Statements of Operating Income and Net Income of SSAT for the years ended December 31, 2023, 2022 and 2021 are as follows:</w:t>
      </w: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Statements of Operating Income and Net Income (in millions)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 (1)(2)</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earnings from equity method investments held by SSAT less earnings allocated to non-controlling interests.</w:t>
      </w:r>
    </w:p>
    <w:p>
      <w:pPr>
        <w:spacing w:after="0" w:line="3" w:lineRule="exact"/>
        <w:rPr>
          <w:rFonts w:ascii="Times New Roman" w:cs="Times New Roman" w:eastAsia="Times New Roman" w:hAnsi="Times New Roman"/>
          <w:sz w:val="14"/>
          <w:szCs w:val="14"/>
          <w:color w:val="auto"/>
        </w:rPr>
      </w:pPr>
    </w:p>
    <w:p>
      <w:pPr>
        <w:ind w:left="380" w:hanging="330"/>
        <w:spacing w:after="0"/>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income or loss attributable to noncontrolling interests.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consists of the following as of December 31, 2023 and 2022:</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30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Vessels</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$ 2,323.4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$ 2,278.6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Containers and equipment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Terminal facilities and other property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vessel construction in progress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construction in progress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$ 3,487.2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r>
              <w:rPr>
                <w:rFonts w:ascii="Times New Roman" w:cs="Times New Roman" w:eastAsia="Times New Roman" w:hAnsi="Times New Roman"/>
                <w:sz w:val="18"/>
                <w:szCs w:val="18"/>
                <w:u w:val="single" w:color="auto"/>
                <w:color w:val="auto"/>
              </w:rPr>
              <w:t>9</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$ 3,288.7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r>
              <w:rPr>
                <w:rFonts w:ascii="Times New Roman" w:cs="Times New Roman" w:eastAsia="Times New Roman" w:hAnsi="Times New Roman"/>
                <w:sz w:val="18"/>
                <w:szCs w:val="18"/>
                <w:u w:val="single" w:color="auto"/>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New vessel construction in progress at December 31, 2023 and 2022 includes milestone progress payments, capitalized interest and other costs related to the construction of three new Jones Act vessels. Delivery of the first vessel is currently anticipated to be in the fourth quarter of 2026, with subsequent deliveries expected in the second and fourth quarters of 2027.</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0"/>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r>
              <w:rPr>
                <w:rFonts w:ascii="Times New Roman" w:cs="Times New Roman" w:eastAsia="Times New Roman" w:hAnsi="Times New Roman"/>
                <w:sz w:val="18"/>
                <w:szCs w:val="18"/>
                <w:u w:val="single" w:color="auto"/>
                <w:color w:val="auto"/>
              </w:rPr>
              <w:t>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8"/>
                <w:szCs w:val="18"/>
                <w:u w:val="single" w:color="auto"/>
                <w:color w:val="auto"/>
              </w:rPr>
              <w:t>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18"/>
                <w:szCs w:val="18"/>
                <w:u w:val="single" w:color="auto"/>
                <w:color w:val="auto"/>
              </w:rPr>
              <w:t>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54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0" w:type="dxa"/>
            <w:vAlign w:val="bottom"/>
            <w:gridSpan w:val="2"/>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Goodwill by segment consists of the following as of December 31, 2023 and 2022:</w:t>
            </w:r>
          </w:p>
        </w:tc>
        <w:tc>
          <w:tcPr>
            <w:tcW w:w="140" w:type="dxa"/>
            <w:vAlign w:val="bottom"/>
          </w:tcPr>
          <w:p>
            <w:pPr>
              <w:spacing w:after="0"/>
              <w:rPr>
                <w:sz w:val="24"/>
                <w:szCs w:val="24"/>
                <w:color w:val="auto"/>
              </w:rPr>
            </w:pP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Ocean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105.2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Ocean Transportation goodwill of $222.6 million includes $221.8 million related to the acquisition of Horizon Lines, Inc. (“Horizon”) in May 2015. Logistics goodwill of $105.2 million includes $78.6 million related to the acquisition of Span Intermediate, LLC (“Span Alaska”) in August 2016 that was allocated to the Span Alaska reporting unit, and $26.6 million of other Logistics acquisitions that were allocated to the Logistics reporting unit.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by segment consist of the following as of December 31, 2023 and 2022:</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54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3380" w:type="dxa"/>
            <w:vAlign w:val="bottom"/>
            <w:gridSpan w:val="2"/>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60" w:type="dxa"/>
            <w:vAlign w:val="bottom"/>
            <w:gridSpan w:val="3"/>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Ocean Transportation - Customer relationships</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$ 140.6</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$ 140.6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Logistics: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Trade name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Logistics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$ 278.3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$ 263.2</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In February 2023, the Company completed an asset acquisition consisting of customer relationship intangible assets for $16.5 million, which are being amortized over seven years.</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Ocean Transportation intangible assets of $140.6 million relate to customer relationships acquired as part of the acquisition of Horizon, and are being amortized over 21 years. Logistics intangible assets include $79.3 million of customer relationships which are being amortized over 20 years, and $27.3 million of an indefinite life trade name, both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acquired as part of the Span Alaska acquisition. The remaining Logistics customer relationships relate to various acquisitions and are being amortized over a period of 3 to 13 years.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related amortization expense for the years ended December 31, 2023, 2022 and 2021, are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of December 31, 2023, estimated amortization expense related to customer relationship intangible assets during the next five years and thereafter are as follows:</w:t>
      </w:r>
    </w:p>
    <w:tbl>
      <w:tblPr>
        <w:tblLayout w:type="fixed"/>
        <w:tblInd w:w="60" w:type="dxa"/>
        <w:tblCellMar>
          <w:top w:w="0" w:type="dxa"/>
          <w:left w:w="0" w:type="dxa"/>
          <w:bottom w:w="0" w:type="dxa"/>
          <w:right w:w="0" w:type="dxa"/>
        </w:tblCellMar>
      </w:tblPr>
      <w:tr>
        <w:trPr>
          <w:trHeight w:val="137"/>
        </w:trPr>
        <w:tc>
          <w:tcPr>
            <w:tcW w:w="7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0" w:type="dxa"/>
            <w:vAlign w:val="bottom"/>
          </w:tcPr>
          <w:p>
            <w:pPr>
              <w:spacing w:after="0"/>
              <w:rPr>
                <w:sz w:val="1"/>
                <w:szCs w:val="1"/>
                <w:color w:val="auto"/>
              </w:rPr>
            </w:pPr>
          </w:p>
        </w:tc>
      </w:tr>
      <w:tr>
        <w:trPr>
          <w:trHeight w:val="173"/>
        </w:trPr>
        <w:tc>
          <w:tcPr>
            <w:tcW w:w="7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0" w:type="dxa"/>
            <w:vAlign w:val="bottom"/>
          </w:tcPr>
          <w:p>
            <w:pPr>
              <w:spacing w:after="0"/>
              <w:rPr>
                <w:sz w:val="1"/>
                <w:szCs w:val="1"/>
                <w:color w:val="auto"/>
              </w:rPr>
            </w:pPr>
          </w:p>
        </w:tc>
      </w:tr>
      <w:tr>
        <w:trPr>
          <w:trHeight w:val="209"/>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CONSTRUCTION FUND</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flagged vessels in raising capital necessary for the modernization and expansion of the U.S. merchant marine fleet.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built in the U.S. and used between covered U.S. ports as described by the Merchant Marine Act, and for other qualifying expenditures (see Item 1 of Part 1 for additional information on Maritime Laws and the Jones Act). Participants of the CCF must also meet certain U.S. citizenship requirements.</w:t>
      </w:r>
    </w:p>
    <w:p>
      <w:pPr>
        <w:spacing w:after="0" w:line="194"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Cash deposits into the CCF are limited by certain applicable earnings and other conditions. Such cash deposits, once made, are available as tax deductions in the Company’s income tax provision. Qualified withdrawals from the CCF do not give rise to a current income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83"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w:t>
      </w:r>
    </w:p>
    <w:p>
      <w:pPr>
        <w:spacing w:after="0" w:line="187"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Company may invest funds on deposit in the CCF in money market funds, U.S. Treasury Obligation Funds or other eligible credit-based investments for maturities of up to 3 years.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 summary of the activities within the CCF cash account for the years ended December 31, 2023 and 2022 consists of the following:</w:t>
      </w:r>
    </w:p>
    <w:p>
      <w:pPr>
        <w:ind w:left="7480"/>
        <w:spacing w:after="0" w:line="231" w:lineRule="auto"/>
        <w:rPr>
          <w:sz w:val="20"/>
          <w:szCs w:val="20"/>
          <w:color w:val="auto"/>
        </w:rPr>
      </w:pPr>
      <w:r>
        <w:rPr>
          <w:rFonts w:ascii="Times New Roman" w:cs="Times New Roman" w:eastAsia="Times New Roman" w:hAnsi="Times New Roman"/>
          <w:sz w:val="14"/>
          <w:szCs w:val="14"/>
          <w:b w:val="1"/>
          <w:bCs w:val="1"/>
          <w:color w:val="auto"/>
        </w:rPr>
        <w:t>Years Ended</w:t>
      </w:r>
    </w:p>
    <w:p>
      <w:pPr>
        <w:ind w:left="7420"/>
        <w:spacing w:after="0" w:line="232"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balance at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deposits into CCF</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earned on deposits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Qualifying withdrawal payments</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09"/>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balance at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on deposit and assigned accounts receivables in the CCF as of December 31, 2023 and 2022 are as follows: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on deposit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Assigned accounts 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spacing w:after="0" w:line="281" w:lineRule="auto"/>
        <w:rPr>
          <w:sz w:val="20"/>
          <w:szCs w:val="20"/>
          <w:color w:val="auto"/>
        </w:rPr>
      </w:pPr>
      <w:r>
        <w:rPr>
          <w:rFonts w:ascii="Times New Roman" w:cs="Times New Roman" w:eastAsia="Times New Roman" w:hAnsi="Times New Roman"/>
          <w:sz w:val="17"/>
          <w:szCs w:val="17"/>
          <w:color w:val="auto"/>
        </w:rPr>
        <w:t>Cash on deposit in the CCF is invested in a U.S. Treasury obligations fund with daily liquidity. At December 31, 2023, securities held within the U.S. Treasury obligations fund had a weighted average life of 68 days. Cash on deposit in the CCF is classified as a long-term asset on the Company’s Condensed Consolidated Balance Sheets, as the Company intends to use withdrawals to fund qualified milestone progress payments for the construction of three new Jones Act vessels.</w:t>
      </w:r>
    </w:p>
    <w:p>
      <w:pPr>
        <w:spacing w:after="0" w:line="164"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In February 2024, the Company purchased approximately $450 million of fixed-rate U.S. Treasuries with CCF cash deposits. The fixed-rate investments have various maturity dates up to 3 years.</w:t>
      </w:r>
    </w:p>
    <w:p>
      <w:pPr>
        <w:spacing w:after="0" w:line="16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Assigned accounts receivable in the CCF are classified as part of accounts receivable on the Company’s Consolidated Balance Sheets due to the nature of the assignment.</w:t>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debt consists of the following as of December 31, 2023 and 2022: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Term Loans: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3.66 %, payable through 2023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3.37 %, payable through 2027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3.14 %, payable through 2031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 XI Debt: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5.34 %, payable through 2028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5.27 %, payable through 2029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1.22 %, payable through 2043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1.35 %, payable through 2044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0"/>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0"/>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loan fees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9"/>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Long-term Debt, net of deferred loan fees</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description of the Company’s debt:</w:t>
      </w:r>
    </w:p>
    <w:p>
      <w:pPr>
        <w:spacing w:after="0" w:line="221" w:lineRule="exact"/>
        <w:rPr>
          <w:sz w:val="20"/>
          <w:szCs w:val="20"/>
          <w:color w:val="auto"/>
        </w:rPr>
      </w:pPr>
    </w:p>
    <w:p>
      <w:pPr>
        <w:ind w:left="6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Private Placement Term Loans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2012, the Company issued $170.0 million of unsecured notes, which were funded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three tranches. The remaining tranche, at an interest rate of 3.66 percent, was fully repaid during 2023. In September 2016, the Company issued $200.0 million of 15-year senior unsecured notes (the “Series D Notes”) at an interest rate of 3.14 percent, payable semi-annually. In December 2016, the Company issued $75 million of 11-year senior unsecured notes at an interest rate of 3.37 percent, payable semi-annually (the “Series A Notes”).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Title XI Bonds: </w:t>
      </w:r>
      <w:r>
        <w:rPr>
          <w:rFonts w:ascii="Times New Roman" w:cs="Times New Roman" w:eastAsia="Times New Roman" w:hAnsi="Times New Roman"/>
          <w:sz w:val="18"/>
          <w:szCs w:val="18"/>
          <w:color w:val="auto"/>
        </w:rPr>
        <w:t>In September 2003, MatNav issued $55.0 million in U.S. government guaranteed ship financing bonds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(“Title XI”) to finance the delivery of </w:t>
      </w:r>
      <w:r>
        <w:rPr>
          <w:rFonts w:ascii="Times New Roman" w:cs="Times New Roman" w:eastAsia="Times New Roman" w:hAnsi="Times New Roman"/>
          <w:sz w:val="18"/>
          <w:szCs w:val="18"/>
          <w:i w:val="1"/>
          <w:iCs w:val="1"/>
          <w:color w:val="auto"/>
        </w:rPr>
        <w:t>Manukai</w:t>
      </w:r>
      <w:r>
        <w:rPr>
          <w:rFonts w:ascii="Times New Roman" w:cs="Times New Roman" w:eastAsia="Times New Roman" w:hAnsi="Times New Roman"/>
          <w:sz w:val="18"/>
          <w:szCs w:val="18"/>
          <w:color w:val="auto"/>
        </w:rPr>
        <w:t xml:space="preserve"> (the “Manukai Title XI Bonds”). In August 2004, MatNav issued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$55.0 million of U.S. government guaranteed ship financing bonds (Title XI) to finance the delivery of </w:t>
      </w:r>
      <w:r>
        <w:rPr>
          <w:rFonts w:ascii="Times New Roman" w:cs="Times New Roman" w:eastAsia="Times New Roman" w:hAnsi="Times New Roman"/>
          <w:sz w:val="18"/>
          <w:szCs w:val="18"/>
          <w:i w:val="1"/>
          <w:iCs w:val="1"/>
          <w:color w:val="auto"/>
        </w:rPr>
        <w:t>Maunawili</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“Maunawili Title XI Bonds”).</w:t>
      </w:r>
    </w:p>
    <w:p>
      <w:pPr>
        <w:spacing w:after="0" w:line="207"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In January 2023, the Company prepaid $14.3 million of outstanding principal on the Maunawili Title XI Bonds representing all of the remaining outstanding principal for this bond. In March 2023, the Company also prepaid the outstanding principal of approximately $12.1 million on the Manukai Title XI Bonds, representing all of the remaining outstanding principal for this bond.</w:t>
      </w:r>
    </w:p>
    <w:p>
      <w:pPr>
        <w:spacing w:after="0" w:line="180"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 xml:space="preserve">In April 2020, MatNav issued $185.9 million in U.S. government guaranteed vessel financing bonds to partially refinance debt incurred in connection with the construction of </w:t>
      </w:r>
      <w:r>
        <w:rPr>
          <w:rFonts w:ascii="Times New Roman" w:cs="Times New Roman" w:eastAsia="Times New Roman" w:hAnsi="Times New Roman"/>
          <w:sz w:val="18"/>
          <w:szCs w:val="18"/>
          <w:i w:val="1"/>
          <w:iCs w:val="1"/>
          <w:color w:val="auto"/>
        </w:rPr>
        <w:t>Daniel K. Inouye</w:t>
      </w:r>
      <w:r>
        <w:rPr>
          <w:rFonts w:ascii="Times New Roman" w:cs="Times New Roman" w:eastAsia="Times New Roman" w:hAnsi="Times New Roman"/>
          <w:sz w:val="18"/>
          <w:szCs w:val="18"/>
          <w:color w:val="auto"/>
        </w:rPr>
        <w:t xml:space="preserve"> (the “DKI Title XI Debt”). The secured DKI Title XI Debt matures in October 2043 and has a cash interest rate of 1.22 percent, payable semi-annually in arrears.</w:t>
      </w:r>
    </w:p>
    <w:p>
      <w:pPr>
        <w:spacing w:after="0" w:line="176"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 xml:space="preserve">In June 2020, MatNav issued $139.6 million in U.S. government guaranteed vessel financing bonds to partially refinance debt incurred in connection with the construction of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xml:space="preserve"> (the “KMH Title XI Debt”, and together with the DKI Title XI Debt, the “2020 Title XI Debt”). The secured KMH Title XI Debt matures in March 2044 and has a cash interest rate of 1.35 percent, payable semi-annually in arrears.</w:t>
      </w:r>
    </w:p>
    <w:p>
      <w:pPr>
        <w:spacing w:after="0" w:line="180"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 xml:space="preserve">MatNav may prepay any amounts outstanding under the 2020 Title XI Debt agreements subject to a potential prepayment premium or other adjustment, in accordance with the 2020 Title XI Debt agreements. Once amounts under the 2020 Title XI Debt are repaid, they may not be reborrowed. Mandatory prepayments are required under certain limited circumstances, including specified casualty events with respect to </w:t>
      </w:r>
      <w:r>
        <w:rPr>
          <w:rFonts w:ascii="Times New Roman" w:cs="Times New Roman" w:eastAsia="Times New Roman" w:hAnsi="Times New Roman"/>
          <w:sz w:val="17"/>
          <w:szCs w:val="17"/>
          <w:i w:val="1"/>
          <w:iCs w:val="1"/>
          <w:color w:val="auto"/>
        </w:rPr>
        <w:t>Daniel K. Inouye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Kaimana Hila</w:t>
      </w:r>
      <w:r>
        <w:rPr>
          <w:rFonts w:ascii="Times New Roman" w:cs="Times New Roman" w:eastAsia="Times New Roman" w:hAnsi="Times New Roman"/>
          <w:sz w:val="17"/>
          <w:szCs w:val="17"/>
          <w:color w:val="auto"/>
        </w:rPr>
        <w:t xml:space="preserve"> (the “Vessels”).</w:t>
      </w:r>
    </w:p>
    <w:p>
      <w:pPr>
        <w:spacing w:after="0" w:line="160" w:lineRule="exact"/>
        <w:rPr>
          <w:sz w:val="20"/>
          <w:szCs w:val="20"/>
          <w:color w:val="auto"/>
        </w:rPr>
      </w:pPr>
    </w:p>
    <w:p>
      <w:pPr>
        <w:ind w:left="60" w:right="1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Revolving Credit Facility: </w:t>
      </w:r>
      <w:r>
        <w:rPr>
          <w:rFonts w:ascii="Times New Roman" w:cs="Times New Roman" w:eastAsia="Times New Roman" w:hAnsi="Times New Roman"/>
          <w:sz w:val="18"/>
          <w:szCs w:val="18"/>
          <w:color w:val="auto"/>
        </w:rPr>
        <w:t>In March 2021, the Company entered into the Second Amended and Restated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(the “Credit Agreement”), which extended the maturity date to March 31, 2026, and retained the committed aggregate borrowings of up to $650 million. The Credit Agreement amended certain covenants and other terms including</w:t>
      </w:r>
    </w:p>
    <w:p>
      <w:pPr>
        <w:ind w:left="60" w:right="119" w:hanging="10"/>
        <w:spacing w:after="0" w:line="251" w:lineRule="auto"/>
        <w:tabs>
          <w:tab w:leader="none" w:pos="2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pricing grid to provide for pricing ranging from, at the Company’s election, LIBOR plus a margin between 1.00 percent and 1.75 percent depending on the Company’s consolidated net leverage ratio, or base rate plus a margin between 0.00 percent and 0.75 percent depending on the Company’s consolidated net leverage ratio; and (ii) reducing the maximum permitted consolidated leverage ratio to 3.50 to 1.0, with an option for a one-time increase to 4.0 to 1.0 in connection with a material acquisition. The Company may prepay any amounts outstanding under the Credit Agreement without premium or penalty. The Credit Agreement contains affirmative, negative and financial covenants customary for financings of this type, including, among other things, limitations on certain other indebtedness, loans and investments, liens, mergers, asset sales, and transactions with affiliates. The Credit Agreement also contains customary events of default.</w:t>
      </w:r>
    </w:p>
    <w:p>
      <w:pPr>
        <w:spacing w:after="0" w:line="19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February 2023, the Company further amended the Credit Agreement to replace LIBOR with a new benchmark interest rate, the Secured Overnight Financing Rate (“SOFR”). There were no other significant changes to the Credit Agreement as a result of this amendment.</w:t>
      </w:r>
    </w:p>
    <w:p>
      <w:pPr>
        <w:spacing w:after="0" w:line="1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$644.2 million of remaining borrowing availability under the revolving credit facility. The Company used $5.8 million of the revolving credit facility for letters of credit outstanding as of December 31, 2023. Borrowings under the revolving credit facility are classified as long-term debt in the Company’s Consolidated Balance Sheets, as principal payments are not required until the maturity date.</w:t>
      </w:r>
    </w:p>
    <w:p>
      <w:pPr>
        <w:spacing w:after="0" w:line="176"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Amendments to Existing Private Placement Term Loan Facilities and New Shelf Facilities (“Private Loan Facilities”): </w:t>
      </w:r>
      <w:r>
        <w:rPr>
          <w:rFonts w:ascii="Times New Roman" w:cs="Times New Roman" w:eastAsia="Times New Roman" w:hAnsi="Times New Roman"/>
          <w:sz w:val="18"/>
          <w:szCs w:val="18"/>
          <w:color w:val="auto"/>
        </w:rPr>
        <w:t>In March 2021, the Company and the holders of the notes party thereto entered into amendments (collectively, the “2021 Note Amendments”) to each of (i) the Third Amended and Restated Note Purchase Agreement and Private Shelf Agreement dated as of September 14, 2016, among the Company and the holders of the notes issued thereunder, as amended; and (ii) the Note Purchase Agreement dated December 21, 2016 among the Company and the holders of the notes issued thereunder, in each case as amended prior to such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2021 Note Amendments amended certain covenants and other terms, including the reduction of the maximum permitted consolidated leverage ratio to 3.50 to 1.0, with an option for a one-time increase to 4.0 to 1.0 in connection with a material acquisition, with potential interest enhancement payments if leverage is over 3.25 to 1.0. The Company paid fees of approximately $0.8 million related to the 2021 Note Amendments which is included in deferred loan fees in debt in the Company’s Consolidated Balance Sheets.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Maturities: </w:t>
      </w:r>
      <w:r>
        <w:rPr>
          <w:rFonts w:ascii="Times New Roman" w:cs="Times New Roman" w:eastAsia="Times New Roman" w:hAnsi="Times New Roman"/>
          <w:sz w:val="18"/>
          <w:szCs w:val="18"/>
          <w:color w:val="auto"/>
        </w:rPr>
        <w:t>At December 31, 2023, debt maturities during the next five years and thereafter are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Pr>
          <w:p>
            <w:pPr>
              <w:spacing w:after="0"/>
              <w:rPr>
                <w:sz w:val="13"/>
                <w:szCs w:val="13"/>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Deferred Loan Fees: </w:t>
            </w:r>
            <w:r>
              <w:rPr>
                <w:rFonts w:ascii="Times New Roman" w:cs="Times New Roman" w:eastAsia="Times New Roman" w:hAnsi="Times New Roman"/>
                <w:sz w:val="18"/>
                <w:szCs w:val="18"/>
                <w:color w:val="auto"/>
              </w:rPr>
              <w:t>Activity relating to deferred loan fees for the year ended December 31, 2023 are as follows:</w:t>
            </w:r>
          </w:p>
        </w:tc>
        <w:tc>
          <w:tcPr>
            <w:tcW w:w="0" w:type="dxa"/>
            <w:vAlign w:val="bottom"/>
          </w:tcPr>
          <w:p>
            <w:pPr>
              <w:spacing w:after="0"/>
              <w:rPr>
                <w:sz w:val="1"/>
                <w:szCs w:val="1"/>
                <w:color w:val="auto"/>
              </w:rPr>
            </w:pPr>
          </w:p>
        </w:tc>
      </w:tr>
      <w:tr>
        <w:trPr>
          <w:trHeight w:val="28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Loan Fees (in millions)</w:t>
            </w:r>
          </w:p>
        </w:tc>
        <w:tc>
          <w:tcPr>
            <w:tcW w:w="220" w:type="dxa"/>
            <w:vAlign w:val="bottom"/>
          </w:tcPr>
          <w:p>
            <w:pPr>
              <w:spacing w:after="0"/>
              <w:rPr>
                <w:sz w:val="24"/>
                <w:szCs w:val="24"/>
                <w:color w:val="auto"/>
              </w:rPr>
            </w:pPr>
          </w:p>
        </w:tc>
        <w:tc>
          <w:tcPr>
            <w:tcW w:w="10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expense for the year ended December 31, 2023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As of December 31, 2023, amortization expense relating to deferred loan fees during the next five years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amortization expense of deferred loan fees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Covenants in 2020 Title XI Debt Agreements: </w:t>
      </w:r>
      <w:r>
        <w:rPr>
          <w:rFonts w:ascii="Times New Roman" w:cs="Times New Roman" w:eastAsia="Times New Roman" w:hAnsi="Times New Roman"/>
          <w:sz w:val="18"/>
          <w:szCs w:val="18"/>
          <w:color w:val="auto"/>
        </w:rPr>
        <w:t>The 2020 Title XI Debt agreements contain customary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representations and warranties as well as affirmative and negative covenants, defaults and other provisions typical for MARAD-guaranteed financings of this type, with definitions, limitations and financial tests all as negotiated between MatNav and MARAD. The covenants in the 2020 Title XI Debt agreements include, among other things, limitations on certain other indebtedness, loans and investments, liens, mergers, asset sales, sale and leasebacks, and transactions with affiliates as defined within the 2020 Title XI Debt agreements. Certain of the covenants in the 2020 Title XI Debt agreements are applicable only upon and during the continuance of either (i) an event of default or (ii) the failure of either the Company or MatNav to meet certain supplemental financial tests, including the following:</w:t>
      </w:r>
    </w:p>
    <w:p>
      <w:pPr>
        <w:spacing w:after="0" w:line="189" w:lineRule="exact"/>
        <w:rPr>
          <w:sz w:val="20"/>
          <w:szCs w:val="20"/>
          <w:color w:val="auto"/>
        </w:rPr>
      </w:pPr>
    </w:p>
    <w:p>
      <w:pPr>
        <w:ind w:left="380" w:right="179" w:hanging="330"/>
        <w:spacing w:after="0" w:line="261"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financial tests applicable to MatNav include maintenance of a working capital minimum of $1, and maintenance of a long-term debt to net worth ratio of greater than or equal to 2.0 to 1.0; and</w:t>
      </w:r>
    </w:p>
    <w:p>
      <w:pPr>
        <w:jc w:val="both"/>
        <w:ind w:left="380" w:right="179" w:hanging="330"/>
        <w:spacing w:after="0" w:line="255"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financial tests applicable to the Company include maintenance of a net worth greater than or equal to 90% of the net worth of the Company as set forth in the most recent audited financial statements prior to closing of the issuance of the 2020 Title XI Bonds and compliance with the leverage ratio set forth in the Credit Agreement.</w:t>
      </w:r>
    </w:p>
    <w:p>
      <w:pPr>
        <w:spacing w:after="0" w:line="18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Security and Guarantees: </w:t>
      </w:r>
      <w:r>
        <w:rPr>
          <w:rFonts w:ascii="Times New Roman" w:cs="Times New Roman" w:eastAsia="Times New Roman" w:hAnsi="Times New Roman"/>
          <w:sz w:val="18"/>
          <w:szCs w:val="18"/>
          <w:color w:val="auto"/>
        </w:rPr>
        <w:t>All of the debt of the Company and MatNav, including related guarantees, as of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was unsecured, except for the 2020 Title XI Debt.</w:t>
      </w:r>
    </w:p>
    <w:p>
      <w:pPr>
        <w:spacing w:after="0" w:line="15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Under the 2020 Title XI Debt agreements, MARAD has guaranteed certain obligations of MatNav. MatNav has agreed to reimburse MARAD for any payments it makes under the MARAD guaranty, and MatNav’s obligations to MARAD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with respect to the 2020 Title XI Debt are secured by a mortgage on the Vessels and certain other related assets (the “Collateral”). In addition, MatNav’s obligations to MARAD with respect to the 2020 Title XI Debt are guaranteed by the Company under an Affiliate Guaranty.</w:t>
      </w:r>
    </w:p>
    <w:p>
      <w:pPr>
        <w:spacing w:after="0" w:line="388" w:lineRule="exact"/>
        <w:rPr>
          <w:sz w:val="20"/>
          <w:szCs w:val="20"/>
          <w:color w:val="auto"/>
        </w:rPr>
      </w:pPr>
    </w:p>
    <w:p>
      <w:pPr>
        <w:ind w:left="700" w:hanging="650"/>
        <w:spacing w:after="0"/>
        <w:tabs>
          <w:tab w:leader="none" w:pos="7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Operating Leases: </w:t>
      </w:r>
      <w:r>
        <w:rPr>
          <w:rFonts w:ascii="Times New Roman" w:cs="Times New Roman" w:eastAsia="Times New Roman" w:hAnsi="Times New Roman"/>
          <w:sz w:val="18"/>
          <w:szCs w:val="18"/>
          <w:color w:val="auto"/>
        </w:rPr>
        <w:t>The Company has different types of operating leases, the specific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with other similar leases as they expire. The Company’s leases do not contain any residual value guarantees.</w:t>
      </w:r>
    </w:p>
    <w:p>
      <w:pPr>
        <w:spacing w:after="0" w:line="18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Company’s sub-lease income was nominal to the Company’s Consolidated Statements of Income and Comprehensive Income for the years ended December 31, 2023 and 2022. The Company did not have any finance leases during the years ended December 31, 2023 and 2022.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lease type by underlying asset class and maximum terms of the Company’s operating leases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 Type: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20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Vessel and barge charter leases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 years</w:t>
            </w:r>
          </w:p>
        </w:tc>
      </w:tr>
      <w:tr>
        <w:trPr>
          <w:trHeight w:val="216"/>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equipment and other leases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 years</w:t>
            </w:r>
          </w:p>
        </w:tc>
      </w:tr>
    </w:tbl>
    <w:p>
      <w:pPr>
        <w:spacing w:after="0" w:line="19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Incremental Borrowing Rate: </w:t>
      </w:r>
      <w:r>
        <w:rPr>
          <w:rFonts w:ascii="Times New Roman" w:cs="Times New Roman" w:eastAsia="Times New Roman" w:hAnsi="Times New Roman"/>
          <w:sz w:val="18"/>
          <w:szCs w:val="18"/>
          <w:color w:val="auto"/>
        </w:rPr>
        <w:t>As most of the Company’s operating leases do not provide an implicit rate,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uses 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Components of Lease Cost: </w:t>
      </w:r>
      <w:r>
        <w:rPr>
          <w:rFonts w:ascii="Times New Roman" w:cs="Times New Roman" w:eastAsia="Times New Roman" w:hAnsi="Times New Roman"/>
          <w:sz w:val="18"/>
          <w:szCs w:val="18"/>
          <w:color w:val="auto"/>
        </w:rPr>
        <w:t>Components of lease cost recorded in the Company’s Consolidated Statement of Income and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Comprehensive Income consists of the following for the years ended December 31, 2023, 2022 and 2021:</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33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Other Lease Information: </w:t>
      </w:r>
      <w:r>
        <w:rPr>
          <w:rFonts w:ascii="Times New Roman" w:cs="Times New Roman" w:eastAsia="Times New Roman" w:hAnsi="Times New Roman"/>
          <w:sz w:val="18"/>
          <w:szCs w:val="18"/>
          <w:color w:val="auto"/>
        </w:rPr>
        <w:t>Other information related to the Company’s operating leases consists of the following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December 31, 2023 and 2022:</w:t>
      </w:r>
    </w:p>
    <w:p>
      <w:pPr>
        <w:ind w:left="7400"/>
        <w:spacing w:after="0" w:line="232" w:lineRule="auto"/>
        <w:rPr>
          <w:sz w:val="20"/>
          <w:szCs w:val="20"/>
          <w:color w:val="auto"/>
        </w:rPr>
      </w:pPr>
      <w:r>
        <w:rPr>
          <w:rFonts w:ascii="Times New Roman" w:cs="Times New Roman" w:eastAsia="Times New Roman" w:hAnsi="Times New Roman"/>
          <w:sz w:val="14"/>
          <w:szCs w:val="14"/>
          <w:b w:val="1"/>
          <w:bCs w:val="1"/>
          <w:color w:val="auto"/>
        </w:rPr>
        <w:t>Years Ended</w:t>
      </w:r>
    </w:p>
    <w:p>
      <w:pPr>
        <w:ind w:left="736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the exchange for new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operating lease term</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 years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years</w:t>
            </w:r>
          </w:p>
        </w:tc>
        <w:tc>
          <w:tcPr>
            <w:tcW w:w="0" w:type="dxa"/>
            <w:vAlign w:val="bottom"/>
          </w:tcPr>
          <w:p>
            <w:pPr>
              <w:spacing w:after="0"/>
              <w:rPr>
                <w:sz w:val="1"/>
                <w:szCs w:val="1"/>
                <w:color w:val="auto"/>
              </w:rPr>
            </w:pP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consist of the following at December 31, 2023:</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7"/>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580" w:type="dxa"/>
            <w:vAlign w:val="bottom"/>
            <w:tcBorders>
              <w:bottom w:val="single" w:sz="8" w:color="auto"/>
            </w:tcBorders>
            <w:gridSpan w:val="2"/>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Short-term portion</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taxes consist of the following for the years ended December 31, 2023, 2022 and 2021:</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59"/>
        <w:spacing w:after="0" w:line="261" w:lineRule="auto"/>
        <w:rPr>
          <w:sz w:val="20"/>
          <w:szCs w:val="20"/>
          <w:color w:val="auto"/>
        </w:rPr>
      </w:pPr>
      <w:r>
        <w:rPr>
          <w:rFonts w:ascii="Times New Roman" w:cs="Times New Roman" w:eastAsia="Times New Roman" w:hAnsi="Times New Roman"/>
          <w:sz w:val="18"/>
          <w:szCs w:val="18"/>
          <w:color w:val="auto"/>
        </w:rPr>
        <w:t>Income taxes for the years ended December 31, 2023, 2022 and 2021 differ from amounts computed by applying the statutory federal rate to income before income taxes as follows:</w:t>
      </w:r>
    </w:p>
    <w:tbl>
      <w:tblPr>
        <w:tblLayout w:type="fixed"/>
        <w:tblInd w:w="6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federal income tax expense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0.4 %</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0.5 %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true-ups</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   (0.2)%</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 net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66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deferred tax liabilities at December 31, 2023 and 2022, were as follows:</w:t>
      </w:r>
    </w:p>
    <w:tbl>
      <w:tblPr>
        <w:tblLayout w:type="fixed"/>
        <w:tblInd w:w="60" w:type="dxa"/>
        <w:tblCellMar>
          <w:top w:w="0" w:type="dxa"/>
          <w:left w:w="0" w:type="dxa"/>
          <w:bottom w:w="0" w:type="dxa"/>
          <w:right w:w="0" w:type="dxa"/>
        </w:tblCellMar>
      </w:tblPr>
      <w:tr>
        <w:trPr>
          <w:trHeight w:val="162"/>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Multi-employer withdrawal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state alternative minimum tax credits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Basis differences for property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Valuation Allowance: </w:t>
      </w:r>
      <w:r>
        <w:rPr>
          <w:rFonts w:ascii="Times New Roman" w:cs="Times New Roman" w:eastAsia="Times New Roman" w:hAnsi="Times New Roman"/>
          <w:sz w:val="18"/>
          <w:szCs w:val="18"/>
          <w:color w:val="auto"/>
        </w:rPr>
        <w:t>Valuation allowances are recorded against the Company’s unusable state income tax net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(“NOLs”) and alternative minimum tax credits, and were $5.3 million and $7.4 million as of December 31, 2023 and 2022, respectively. The Company believes that it is more likely than not that the benefit from these deferred assets will not be realized.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Income Tax Receivables: </w:t>
      </w:r>
      <w:r>
        <w:rPr>
          <w:rFonts w:ascii="Times New Roman" w:cs="Times New Roman" w:eastAsia="Times New Roman" w:hAnsi="Times New Roman"/>
          <w:sz w:val="18"/>
          <w:szCs w:val="18"/>
          <w:color w:val="auto"/>
        </w:rPr>
        <w:t>The Company has income tax receivables, net of income tax payables, of approximately</w:t>
      </w:r>
    </w:p>
    <w:p>
      <w:pPr>
        <w:spacing w:after="0" w:line="29" w:lineRule="exact"/>
        <w:rPr>
          <w:sz w:val="20"/>
          <w:szCs w:val="20"/>
          <w:color w:val="auto"/>
        </w:rPr>
      </w:pPr>
    </w:p>
    <w:p>
      <w:pPr>
        <w:ind w:left="60" w:right="99" w:firstLine="45"/>
        <w:spacing w:after="0" w:line="253" w:lineRule="auto"/>
        <w:rPr>
          <w:sz w:val="20"/>
          <w:szCs w:val="20"/>
          <w:color w:val="auto"/>
        </w:rPr>
      </w:pPr>
      <w:r>
        <w:rPr>
          <w:rFonts w:ascii="Times New Roman" w:cs="Times New Roman" w:eastAsia="Times New Roman" w:hAnsi="Times New Roman"/>
          <w:sz w:val="18"/>
          <w:szCs w:val="18"/>
          <w:color w:val="auto"/>
        </w:rPr>
        <w:t>$125.2 million and $170.8 million at December 31, 2023 and 2022, respectively, related to a 2021 federal income tax refund of approximately $118.6 million, overpayments of federal and state taxes paid during the year ended December 31, 2023, and other income tax receivables. These income tax receivable amounts have been included in prepaid expenses and other assets in the Company’s Consolidated Balance Sheets (see Note 2).</w:t>
      </w:r>
    </w:p>
    <w:p>
      <w:pPr>
        <w:spacing w:after="0" w:line="187" w:lineRule="exact"/>
        <w:rPr>
          <w:sz w:val="20"/>
          <w:szCs w:val="20"/>
          <w:color w:val="auto"/>
        </w:rPr>
      </w:pPr>
    </w:p>
    <w:p>
      <w:pPr>
        <w:ind w:left="60" w:right="3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Operating Losses and Tax Credit Carryforwards: </w:t>
      </w:r>
      <w:r>
        <w:rPr>
          <w:rFonts w:ascii="Times New Roman" w:cs="Times New Roman" w:eastAsia="Times New Roman" w:hAnsi="Times New Roman"/>
          <w:sz w:val="18"/>
          <w:szCs w:val="18"/>
          <w:color w:val="auto"/>
        </w:rPr>
        <w:t>The Company’s NOLs and tax credit carryforwards consist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at December 31, 2023 and 2022:</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income tax NOLs</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dates beginning in 2027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state income tax NOLs (1)</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Various dates beginning in 2032</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state alternative minimum tax credit</w:t>
            </w:r>
          </w:p>
        </w:tc>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expiration date</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58" w:lineRule="exact"/>
        <w:rPr>
          <w:sz w:val="20"/>
          <w:szCs w:val="20"/>
          <w:color w:val="auto"/>
        </w:rPr>
      </w:pPr>
    </w:p>
    <w:p>
      <w:pPr>
        <w:ind w:left="380" w:right="199" w:hanging="330"/>
        <w:spacing w:after="0" w:line="261" w:lineRule="auto"/>
        <w:tabs>
          <w:tab w:leader="none" w:pos="3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State income tax NOLs are presented on a gross tax basis. The Company does not expect to benefit from $152.3 million of U.S. state income tax NOLs as of December 31, 2023.</w:t>
      </w:r>
    </w:p>
    <w:p>
      <w:pPr>
        <w:spacing w:after="0" w:line="16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U.S. federal and state income tax NOLs in the Company’s filed income tax returns include unrecognized tax benefits. The deferred tax assets recognized for those NOLs are presented net of these unrecognized tax benefits. As a result of changes in tax legislation, the use of a portion of the Company’s domestic NOL and tax credit carryforwards may be limited in future periods. Further, a portion of the federal and state income tax NOLs and tax credit carryforwards may expire before being applied to reduce future income tax liabilities.</w:t>
      </w:r>
    </w:p>
    <w:p>
      <w:pPr>
        <w:spacing w:after="0" w:line="181" w:lineRule="exact"/>
        <w:rPr>
          <w:sz w:val="20"/>
          <w:szCs w:val="20"/>
          <w:color w:val="auto"/>
        </w:rPr>
      </w:pPr>
    </w:p>
    <w:p>
      <w:pPr>
        <w:ind w:left="60" w:right="2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Unrecognized Tax Benefits: </w:t>
      </w:r>
      <w:r>
        <w:rPr>
          <w:rFonts w:ascii="Times New Roman" w:cs="Times New Roman" w:eastAsia="Times New Roman" w:hAnsi="Times New Roman"/>
          <w:sz w:val="18"/>
          <w:szCs w:val="18"/>
          <w:color w:val="auto"/>
        </w:rPr>
        <w:t>Total unrecognized benefits represent the amount that, if recognized, would favorably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income taxes and effective tax rate in future periods. The Company does not expect a material</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change in gross unrecognized benefits in the next twelve months. A reconciliation of the beginning and ending amount of gross unrecognized tax benefits is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Unrecognized Tax Benefits (in millions)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7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position changes in current year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position changes in prior years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CCEEFF"/>
            </w:tcBorders>
          </w:tcPr>
          <w:p>
            <w:pPr>
              <w:spacing w:after="0"/>
              <w:rPr>
                <w:sz w:val="18"/>
                <w:szCs w:val="18"/>
                <w:color w:val="auto"/>
              </w:rPr>
            </w:pP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position changes in current year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position changes in prior years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CCEEFF"/>
            </w:tcBorders>
          </w:tcPr>
          <w:p>
            <w:pPr>
              <w:spacing w:after="0"/>
              <w:rPr>
                <w:sz w:val="18"/>
                <w:szCs w:val="18"/>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position changes in current year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position changes in prior years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CCEEFF"/>
            </w:tcBorders>
          </w:tcPr>
          <w:p>
            <w:pPr>
              <w:spacing w:after="0"/>
              <w:rPr>
                <w:sz w:val="18"/>
                <w:szCs w:val="18"/>
                <w:color w:val="auto"/>
              </w:rPr>
            </w:pPr>
          </w:p>
        </w:tc>
      </w:tr>
      <w:tr>
        <w:trPr>
          <w:trHeight w:val="21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2023 are potential benefits of $24.2 million that, if recognized, would affect the Company’s income taxes and effective tax rate. The Company recognizes potential accrued interest and penalties related to unrecognized tax benefits in income taxes. To the extent interest and penalties are not ultimately assessed with respect to the settlement of uncertain tax positions, amounts accrued will be reduced and reflected as a reduction of the Company’s income taxes. Interest and penalties accrued related to the balance of unrecognized tax benefits were $0.9 million and $1.5 million as of December 31, 2023, and $0.2 million and $1.2 million as of December 31, 2022, respectively. During the years ended December 31, 2023 and 2022, the Company recognized $0.7 million and $0.8 million, respectively, in income taxes related to interest and penalties.</w:t>
      </w:r>
    </w:p>
    <w:p>
      <w:pPr>
        <w:spacing w:after="0" w:line="192"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federal income tax audits for years before 2016. The Company is routinely involved in federal, state, local income and excise tax audits, and foreign tax audits.</w:t>
      </w:r>
    </w:p>
    <w:p>
      <w:pPr>
        <w:spacing w:after="0" w:line="374" w:lineRule="exact"/>
        <w:rPr>
          <w:sz w:val="20"/>
          <w:szCs w:val="20"/>
          <w:color w:val="auto"/>
        </w:rPr>
      </w:pPr>
    </w:p>
    <w:p>
      <w:pPr>
        <w:ind w:left="700" w:hanging="650"/>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Qualified Pension and Post-retirement Benefits Plans: </w:t>
      </w:r>
      <w:r>
        <w:rPr>
          <w:rFonts w:ascii="Times New Roman" w:cs="Times New Roman" w:eastAsia="Times New Roman" w:hAnsi="Times New Roman"/>
          <w:sz w:val="18"/>
          <w:szCs w:val="18"/>
          <w:color w:val="auto"/>
        </w:rPr>
        <w:t>The Company provides a funded qualified single-employer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pension plan that covers most non-bargaining employees and certain clerical bargaining unit employees. The Company also provides a post-retirement benefit plan that provides health and life insurance benefits, and covers substantially all salaried, non-bargaining employees hired before 2008, and certain bargaining unit employees. Employees are generally eligible for such benefits upon retirement and completion of a specified number of years of service. The Company does not pre-fund the post-retirement benefit plan and has the right to modify or terminate the plan in the future, with the exception of the benefits pertaining to the bargaining unit employees. Most non-bargaining retirees pay a portion of these post-retirement benefit costs.</w:t>
      </w:r>
    </w:p>
    <w:p>
      <w:pPr>
        <w:spacing w:after="0" w:line="18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Plan Administration, Investments and Asset Allocations: </w:t>
      </w:r>
      <w:r>
        <w:rPr>
          <w:rFonts w:ascii="Times New Roman" w:cs="Times New Roman" w:eastAsia="Times New Roman" w:hAnsi="Times New Roman"/>
          <w:sz w:val="18"/>
          <w:szCs w:val="18"/>
          <w:color w:val="auto"/>
        </w:rPr>
        <w:t>The Company has a Benefits Investment Committee that meets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with investment advisors to establish investment policies, direct investments and select investment options for the qualified plan. The Benefits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pacing w:after="0" w:line="18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target and actual asset allocations at December 31, 2023 and 2022 were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Categories</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r>
      <w:tr>
        <w:trPr>
          <w:trHeight w:val="209"/>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equity securities</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22 %</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and cash</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9"/>
        </w:trPr>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All assets within specific funds are allocated to the target asset allocation of the fund.</w:t>
      </w:r>
    </w:p>
    <w:p>
      <w:pPr>
        <w:spacing w:after="0" w:line="187"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The expected return on plan assets is principally based on the Company’s historical returns combined with the Company’s long-term future expectations regarding asset class returns, the mix of plan assets, and inflation assumptions. Actual return on plan assets for the periods presented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Actual Return on Plan Assets</w:t>
            </w:r>
          </w:p>
        </w:tc>
        <w:tc>
          <w:tcPr>
            <w:tcW w:w="11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Returns</w:t>
            </w:r>
          </w:p>
        </w:tc>
      </w:tr>
      <w:tr>
        <w:trPr>
          <w:trHeight w:val="210"/>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One-year return</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Three-year return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16"/>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Five-year return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average return (since plan inception in 1989)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pension plan assets are held in a trust and are stated at estimated fair values of the underlying investments.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Dividends are recorded on the ex-dividend date.</w:t>
      </w:r>
    </w:p>
    <w:p>
      <w:pPr>
        <w:spacing w:after="0" w:line="205" w:lineRule="exact"/>
        <w:rPr>
          <w:sz w:val="20"/>
          <w:szCs w:val="20"/>
          <w:color w:val="auto"/>
        </w:rPr>
      </w:pPr>
    </w:p>
    <w:p>
      <w:pPr>
        <w:ind w:left="60" w:right="3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Domestic and international common stocks are valued by obtaining quoted prices on recognized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highly liquid exchanges.</w:t>
      </w:r>
    </w:p>
    <w:p>
      <w:pPr>
        <w:spacing w:after="0" w:line="15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Fixed Income Securities: </w:t>
      </w:r>
      <w:r>
        <w:rPr>
          <w:rFonts w:ascii="Times New Roman" w:cs="Times New Roman" w:eastAsia="Times New Roman" w:hAnsi="Times New Roman"/>
          <w:sz w:val="18"/>
          <w:szCs w:val="18"/>
          <w:color w:val="auto"/>
        </w:rPr>
        <w:t>Corporate bonds and U.S. government treasury and agency securities are valued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80"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Real Estate and Certain International Equity Funds: </w:t>
      </w:r>
      <w:r>
        <w:rPr>
          <w:rFonts w:ascii="Times New Roman" w:cs="Times New Roman" w:eastAsia="Times New Roman" w:hAnsi="Times New Roman"/>
          <w:sz w:val="18"/>
          <w:szCs w:val="18"/>
          <w:color w:val="auto"/>
        </w:rPr>
        <w:t>The fair value of real estate and certain developed and emerging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equity funds is determined by the issuer based on their net asset value (“NAV”). NAV is determined by dividing the fund’s net assets, as recorded in the fund’s audited financial statements, by the number of units outstanding at the valuation date. Fair value for the underlying investments in real estate is determined through independent property appraisals.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values of the Company’s pension plan assets at December 31, 2023 and 2022 by asset category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11"/>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6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grade U.S. corporate bonds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fixed income securities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Investment measured at NAV (1)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11"/>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6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grade U.S. corporate bonds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fixed income securities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Investment measured at NAV (1)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239" w:hanging="330"/>
        <w:spacing w:after="0" w:line="242" w:lineRule="auto"/>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funds for which fair value is measured using the NAV per share as a practical expedient are not leveled within the fair value hierarchy and are included as a reconciling item to total plan assets. These investments include real estate and certain developed and emerging market equity funds.</w:t>
      </w:r>
    </w:p>
    <w:p>
      <w:pPr>
        <w:spacing w:after="0" w:line="341"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Contributions to the qualified single-employer defined benefit pension plan are determined annually by the Company, taking into consideration recommendations from the actuary based upon the actuarially determined minimum required contributions under the Employee Retirement Income Security Act of 1974 (“ERISA”), as amended, the Pension Protection Act of 2006, and the maximum deductible contribution allowed for tax purposes. The Company’s funding policy is to contribute cash so that it meets at least the minimum required contributions, with an allowance for discretionary contributions. In 2023, 2022 and 2021, the Company contributed $9.0 million, $9.0 million and $9.0 million, respectively, in pension contributions to this plan, which were in excess of the minimum required contributions.</w:t>
      </w:r>
    </w:p>
    <w:p>
      <w:pPr>
        <w:spacing w:after="0" w:line="18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The benefit formulas for employees who are members of collective bargaining units are determined according to the collective bargaining agreements, either using final average pay as the base, a flat dollar amount per year of service, or a cash balance formula.</w:t>
      </w:r>
    </w:p>
    <w:p>
      <w:pPr>
        <w:spacing w:after="0" w:line="176"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Effective December 31, 2011, the Company froze benefit accruals under the final average pay formula for salaried, non-bargaining unit employees hired before January 1, 2008 and transitioned them to the same cash balance formula for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pacing w:after="0" w:line="1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Effective December 31, 2022, the Matson Pension Plan for Clerical Bargaining Unit Employees was merged into the Retirement Plan for Employees of Matson.</w:t>
      </w:r>
    </w:p>
    <w:p>
      <w:pPr>
        <w:spacing w:after="0" w:line="160" w:lineRule="exact"/>
        <w:rPr>
          <w:sz w:val="20"/>
          <w:szCs w:val="20"/>
          <w:color w:val="auto"/>
        </w:rPr>
      </w:pPr>
    </w:p>
    <w:p>
      <w:pPr>
        <w:jc w:val="both"/>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 Plan Assets and Obligations: </w:t>
      </w:r>
      <w:r>
        <w:rPr>
          <w:rFonts w:ascii="Times New Roman" w:cs="Times New Roman" w:eastAsia="Times New Roman" w:hAnsi="Times New Roman"/>
          <w:sz w:val="18"/>
          <w:szCs w:val="18"/>
          <w:color w:val="auto"/>
        </w:rPr>
        <w:t>The measurement date for the Company’s benefit plan disclosures is December 31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 The status of the funded qualified defined benefit pension plan and the unfunded post-retirement benefit plan at December 31, 2023 and 2022 are shown below:</w:t>
      </w:r>
    </w:p>
    <w:tbl>
      <w:tblPr>
        <w:tblLayout w:type="fixed"/>
        <w:tblInd w:w="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Actuarial loss (gain)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Benefits paid, net of subsidies received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 paid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Employer contributions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Benefits paid, net of subsidies received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Expenses paid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227.9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206.3</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and Recognized Plan Assets and Benefit Obligations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76" w:lineRule="auto"/>
        <w:rPr>
          <w:sz w:val="20"/>
          <w:szCs w:val="20"/>
          <w:color w:val="auto"/>
        </w:rPr>
      </w:pPr>
      <w:r>
        <w:rPr>
          <w:rFonts w:ascii="Times New Roman" w:cs="Times New Roman" w:eastAsia="Times New Roman" w:hAnsi="Times New Roman"/>
          <w:sz w:val="17"/>
          <w:szCs w:val="17"/>
          <w:color w:val="auto"/>
        </w:rPr>
        <w:t>Qualified pension and post-retirement benefit plan assets and liabilities recognized in the Consolidated Balance Sheets and expenses recognized in accumulated other comprehensive income (loss) at December 31, 2023 and 2022 were as follows:</w:t>
      </w:r>
    </w:p>
    <w:tbl>
      <w:tblPr>
        <w:tblLayout w:type="fixed"/>
        <w:tblInd w:w="40" w:type="dxa"/>
        <w:tblCellMar>
          <w:top w:w="0" w:type="dxa"/>
          <w:left w:w="0" w:type="dxa"/>
          <w:bottom w:w="0" w:type="dxa"/>
          <w:right w:w="0" w:type="dxa"/>
        </w:tblCellMar>
      </w:tblPr>
      <w:tr>
        <w:trPr>
          <w:trHeight w:val="13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2"/>
                <w:szCs w:val="12"/>
                <w:color w:val="auto"/>
              </w:rPr>
            </w:pPr>
          </w:p>
        </w:tc>
        <w:tc>
          <w:tcPr>
            <w:tcW w:w="1320" w:type="dxa"/>
            <w:vAlign w:val="bottom"/>
            <w:gridSpan w:val="5"/>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3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gain, net of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 net of taxes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self-insuring for certain insurance plans, encouraging wellness programs for employees, and implementing measures to mitigate future benefit cost increases.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Components of the net periodic benefit cost and other amounts recognized in other comprehensive income (loss) for the qualified pension plan and the post-retirement benefit plan during 2023, 2022 and 2021 were as follows: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(Credit):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Changes in Plan Assets and Benefit Obligations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in Other Comprehensive Income, net of tax:</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loss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4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recognized in net periodic benefit cost and other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assumptions used to determine benefit information during 2023, 2022 and 2021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80" w:type="dxa"/>
            <w:vAlign w:val="bottom"/>
            <w:gridSpan w:val="6"/>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Discount rate (1)</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5.40</w:t>
            </w:r>
          </w:p>
        </w:tc>
        <w:tc>
          <w:tcPr>
            <w:tcW w:w="22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2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20" w:type="dxa"/>
            <w:vAlign w:val="bottom"/>
          </w:tcPr>
          <w:p>
            <w:pPr>
              <w:spacing w:after="0"/>
              <w:rPr>
                <w:sz w:val="17"/>
                <w:szCs w:val="17"/>
                <w:color w:val="auto"/>
              </w:rPr>
            </w:pP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 - 3.50 %</w:t>
            </w:r>
          </w:p>
        </w:tc>
        <w:tc>
          <w:tcPr>
            <w:tcW w:w="354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  3.50 %  4.00 % - 3.50 %  3.00 %</w:t>
            </w:r>
          </w:p>
        </w:tc>
      </w:tr>
      <w:tr>
        <w:trPr>
          <w:trHeight w:val="203"/>
        </w:trPr>
        <w:tc>
          <w:tcPr>
            <w:tcW w:w="20" w:type="dxa"/>
            <w:vAlign w:val="bottom"/>
          </w:tcPr>
          <w:p>
            <w:pPr>
              <w:spacing w:after="0"/>
              <w:rPr>
                <w:sz w:val="17"/>
                <w:szCs w:val="17"/>
                <w:color w:val="auto"/>
              </w:rPr>
            </w:pP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Cash balance interest credit rate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4.50 % - 3.25 %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3.50 % - 3.25 %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1.50 % - 3.25 %</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Immediate health care cost trend rate:</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Pre-65 group</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6.80 %</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6.60 %  5.70 %</w:t>
            </w:r>
          </w:p>
        </w:tc>
      </w:tr>
      <w:tr>
        <w:trPr>
          <w:trHeight w:val="203"/>
        </w:trPr>
        <w:tc>
          <w:tcPr>
            <w:tcW w:w="20" w:type="dxa"/>
            <w:vAlign w:val="bottom"/>
          </w:tcPr>
          <w:p>
            <w:pPr>
              <w:spacing w:after="0"/>
              <w:rPr>
                <w:sz w:val="17"/>
                <w:szCs w:val="17"/>
                <w:color w:val="auto"/>
              </w:rPr>
            </w:pPr>
          </w:p>
        </w:tc>
        <w:tc>
          <w:tcPr>
            <w:tcW w:w="30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Post-65 group</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7.10 %</w:t>
            </w:r>
          </w:p>
        </w:tc>
        <w:tc>
          <w:tcPr>
            <w:tcW w:w="1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6.10 %  5.80 %</w:t>
            </w:r>
          </w:p>
        </w:tc>
      </w:tr>
      <w:tr>
        <w:trPr>
          <w:trHeight w:val="203"/>
        </w:trPr>
        <w:tc>
          <w:tcPr>
            <w:tcW w:w="20" w:type="dxa"/>
            <w:vAlign w:val="bottom"/>
          </w:tcPr>
          <w:p>
            <w:pPr>
              <w:spacing w:after="0"/>
              <w:rPr>
                <w:sz w:val="17"/>
                <w:szCs w:val="17"/>
                <w:color w:val="auto"/>
              </w:rPr>
            </w:pP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Ultimate health care cost trend rate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3.90 %</w:t>
            </w:r>
          </w:p>
        </w:tc>
        <w:tc>
          <w:tcPr>
            <w:tcW w:w="1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4.00 %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4.00 %</w:t>
            </w:r>
          </w:p>
        </w:tc>
      </w:tr>
      <w:tr>
        <w:trPr>
          <w:trHeight w:val="189"/>
        </w:trPr>
        <w:tc>
          <w:tcPr>
            <w:tcW w:w="20" w:type="dxa"/>
            <w:vAlign w:val="bottom"/>
          </w:tcPr>
          <w:p>
            <w:pPr>
              <w:spacing w:after="0"/>
              <w:rPr>
                <w:sz w:val="16"/>
                <w:szCs w:val="16"/>
                <w:color w:val="auto"/>
              </w:rPr>
            </w:pPr>
          </w:p>
        </w:tc>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Year ultimate health care cost trend rate is</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reached</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2045</w:t>
            </w:r>
          </w:p>
        </w:tc>
        <w:tc>
          <w:tcPr>
            <w:tcW w:w="220" w:type="dxa"/>
            <w:vAlign w:val="bottom"/>
            <w:shd w:val="clear" w:color="auto" w:fill="CCEEFF"/>
          </w:tcPr>
          <w:p>
            <w:pPr>
              <w:spacing w:after="0"/>
              <w:rPr>
                <w:sz w:val="18"/>
                <w:szCs w:val="18"/>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58" w:lineRule="exact"/>
        <w:rPr>
          <w:sz w:val="20"/>
          <w:szCs w:val="20"/>
          <w:color w:val="auto"/>
        </w:rPr>
      </w:pPr>
    </w:p>
    <w:p>
      <w:pPr>
        <w:ind w:left="380" w:right="459" w:hanging="330"/>
        <w:spacing w:after="0" w:line="261"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derives a single equivalent rate utilizing a yield curve constructed from a portfolio of high-quality corporate bonds with various maturities.</w:t>
      </w:r>
    </w:p>
    <w:p>
      <w:pPr>
        <w:spacing w:after="0" w:line="165"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Non-qualified Pension Plans: </w:t>
      </w:r>
      <w:r>
        <w:rPr>
          <w:rFonts w:ascii="Times New Roman" w:cs="Times New Roman" w:eastAsia="Times New Roman" w:hAnsi="Times New Roman"/>
          <w:sz w:val="18"/>
          <w:szCs w:val="18"/>
          <w:color w:val="auto"/>
        </w:rPr>
        <w:t>The Company has non-qualified supplemental pension plans covering certain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liabilities recognized in the Consolidated Balance Sheets and expenses recognized in accumulated other comprehensive income (loss) at December 31, 2023 and 2022 are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5"/>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Pension Benefits</w:t>
            </w:r>
          </w:p>
        </w:tc>
        <w:tc>
          <w:tcPr>
            <w:tcW w:w="0" w:type="dxa"/>
            <w:vAlign w:val="bottom"/>
          </w:tcPr>
          <w:p>
            <w:pPr>
              <w:spacing w:after="0"/>
              <w:rPr>
                <w:sz w:val="1"/>
                <w:szCs w:val="1"/>
                <w:color w:val="auto"/>
              </w:rPr>
            </w:pPr>
          </w:p>
        </w:tc>
      </w:tr>
      <w:tr>
        <w:trPr>
          <w:trHeight w:val="173"/>
        </w:trPr>
        <w:tc>
          <w:tcPr>
            <w:tcW w:w="6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net of taxes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2"/>
              </w:rPr>
              <w:t>(0.2)</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Discount rates of 5.2 percent and 5.5 percent were used in determining the 2023 and 2022 non-qualified pension plan obligations, respectively.</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Estimated Benefit Payments: </w:t>
      </w:r>
      <w:r>
        <w:rPr>
          <w:rFonts w:ascii="Times New Roman" w:cs="Times New Roman" w:eastAsia="Times New Roman" w:hAnsi="Times New Roman"/>
          <w:sz w:val="18"/>
          <w:szCs w:val="18"/>
          <w:color w:val="auto"/>
        </w:rPr>
        <w:t>The estimated future benefit payments for the next ten years consist of the following as of</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60" w:type="dxa"/>
            <w:vAlign w:val="bottom"/>
          </w:tcPr>
          <w:p>
            <w:pPr>
              <w:spacing w:after="0"/>
              <w:rPr>
                <w:sz w:val="13"/>
                <w:szCs w:val="13"/>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8"/>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2029-2033</w:t>
            </w:r>
          </w:p>
        </w:tc>
        <w:tc>
          <w:tcPr>
            <w:tcW w:w="3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participant contributions and Medicare Part D subsidies.</w:t>
      </w:r>
    </w:p>
    <w:p>
      <w:pPr>
        <w:spacing w:after="0" w:line="138"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Defined Contribution Plans: </w:t>
      </w:r>
      <w:r>
        <w:rPr>
          <w:rFonts w:ascii="Times New Roman" w:cs="Times New Roman" w:eastAsia="Times New Roman" w:hAnsi="Times New Roman"/>
          <w:sz w:val="18"/>
          <w:szCs w:val="18"/>
          <w:color w:val="auto"/>
        </w:rPr>
        <w:t>The Company sponsors defined contribution plans that qualify under Sections 401(a)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401(k) of the Internal Revenue Code. The Company may make discretionary matching contributions equal to a specified percentage of each participant’s 401(k) contributions and makes other non-discretionary contributions. For the year ended December 31, 2023, the Company provided discretionary matching contributions of up to 4 percent of eligible employee compensation. The Company’s matching contributions and other contributions expensed in 2023, 2022 and 2021 were $4.2 million, $3.6 million and $3.2 million, respectively.</w:t>
      </w:r>
    </w:p>
    <w:p>
      <w:pPr>
        <w:spacing w:after="0" w:line="184"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may also provide a discretionary profit sharing contribution under the qualified defined contribution plans to non-bargaining unit employees, if both a minimum threshold of Company performance is achieved and the Board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Discretionary profit sharing contributions expensed in 2023, 2022 and 2021 were $3.1 million, $2.8 million and $2.5 million, respectively.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Multi-employer Bargaining Plans:</w:t>
      </w:r>
    </w:p>
    <w:p>
      <w:pPr>
        <w:spacing w:after="0" w:line="14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single-employer plans because assets contributed to the multi-employer plan by one employer may be used to provide benefits to employees of other participating employers. Additionally, if one employer stops contributing to the plan, the unfunded obligations of the plan may be borne by the remaining participating employers.</w:t>
      </w:r>
    </w:p>
    <w:p>
      <w:pPr>
        <w:spacing w:after="0" w:line="120"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2023, the Company’s estimated benefit plan withdrawal obligations were $182.1 million. Except as described in Note 12, no withdrawal obligations have been recorded by the Company in the Consolidated Balance Sheets at December 31, 2023 and 2022, as the Company has no present intention of withdrawing from and does not anticipate termination of any of these plans.</w:t>
      </w:r>
    </w:p>
    <w:p>
      <w:pPr>
        <w:spacing w:after="0" w:line="108"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2023 and 2022 is for the plan’s year-end at December 31, 2023 and 2022, respectively. The zone status is based on information that the Company received from the plan and is certified by the plan’s actuary. Among other factors, plans in the red zone are generally less than 65 percent funded; plans in the orange zone are both a) less than 80 percent funded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hanging="10"/>
        <w:spacing w:after="0" w:line="258"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accumulated/expected funding deficiency in any of the next six plan years, net of any amortization extensions; plans in the yellow zone meet either one of the criteria mentioned in the orange zone;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Pension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Protection Act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Zone as of</w:t>
            </w: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FIP/RP Status</w:t>
            </w:r>
          </w:p>
        </w:tc>
        <w:tc>
          <w:tcPr>
            <w:tcW w:w="6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8"/>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Contributions of Matson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EIN/Pension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Pending/</w:t>
            </w:r>
          </w:p>
        </w:tc>
        <w:tc>
          <w:tcPr>
            <w:tcW w:w="6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Contributor</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Surcharge</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r>
      <w:tr>
        <w:trPr>
          <w:trHeight w:val="115"/>
        </w:trPr>
        <w:tc>
          <w:tcPr>
            <w:tcW w:w="242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Pension Funds</w:t>
            </w:r>
          </w:p>
        </w:tc>
        <w:tc>
          <w:tcPr>
            <w:tcW w:w="120" w:type="dxa"/>
            <w:vAlign w:val="bottom"/>
          </w:tcPr>
          <w:p>
            <w:pPr>
              <w:spacing w:after="0"/>
              <w:rPr>
                <w:sz w:val="10"/>
                <w:szCs w:val="10"/>
                <w:color w:val="auto"/>
              </w:rPr>
            </w:pPr>
          </w:p>
        </w:tc>
        <w:tc>
          <w:tcPr>
            <w:tcW w:w="840" w:type="dxa"/>
            <w:vAlign w:val="bottom"/>
          </w:tcPr>
          <w:p>
            <w:pPr>
              <w:jc w:val="right"/>
              <w:ind w:right="63"/>
              <w:spacing w:after="0" w:line="115" w:lineRule="exact"/>
              <w:rPr>
                <w:sz w:val="20"/>
                <w:szCs w:val="20"/>
                <w:color w:val="auto"/>
              </w:rPr>
            </w:pPr>
            <w:r>
              <w:rPr>
                <w:rFonts w:ascii="Times New Roman" w:cs="Times New Roman" w:eastAsia="Times New Roman" w:hAnsi="Times New Roman"/>
                <w:sz w:val="11"/>
                <w:szCs w:val="11"/>
                <w:b w:val="1"/>
                <w:bCs w:val="1"/>
                <w:color w:val="auto"/>
              </w:rPr>
              <w:t>Plan Number</w:t>
            </w:r>
          </w:p>
        </w:tc>
        <w:tc>
          <w:tcPr>
            <w:tcW w:w="48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1"/>
              </w:rPr>
              <w:t>Notes</w:t>
            </w:r>
          </w:p>
        </w:tc>
        <w:tc>
          <w:tcPr>
            <w:tcW w:w="3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20" w:type="dxa"/>
            <w:vAlign w:val="bottom"/>
          </w:tcPr>
          <w:p>
            <w:pPr>
              <w:spacing w:after="0"/>
              <w:rPr>
                <w:sz w:val="10"/>
                <w:szCs w:val="10"/>
                <w:color w:val="auto"/>
              </w:rPr>
            </w:pPr>
          </w:p>
        </w:tc>
        <w:tc>
          <w:tcPr>
            <w:tcW w:w="3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2022</w:t>
            </w:r>
          </w:p>
        </w:tc>
        <w:tc>
          <w:tcPr>
            <w:tcW w:w="1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Implemented</w:t>
            </w:r>
          </w:p>
        </w:tc>
        <w:tc>
          <w:tcPr>
            <w:tcW w:w="10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4"/>
              </w:rPr>
              <w:t>in 2023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ind w:right="18"/>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2021</w:t>
            </w:r>
          </w:p>
        </w:tc>
        <w:tc>
          <w:tcPr>
            <w:tcW w:w="120" w:type="dxa"/>
            <w:vAlign w:val="bottom"/>
          </w:tcPr>
          <w:p>
            <w:pPr>
              <w:spacing w:after="0"/>
              <w:rPr>
                <w:sz w:val="10"/>
                <w:szCs w:val="10"/>
                <w:color w:val="auto"/>
              </w:rPr>
            </w:pPr>
          </w:p>
        </w:tc>
        <w:tc>
          <w:tcPr>
            <w:tcW w:w="60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Imposed</w:t>
            </w:r>
          </w:p>
        </w:tc>
        <w:tc>
          <w:tcPr>
            <w:tcW w:w="6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5"/>
              </w:rPr>
              <w:t>Date (1)</w:t>
            </w:r>
          </w:p>
        </w:tc>
      </w:tr>
      <w:tr>
        <w:trPr>
          <w:trHeight w:val="128"/>
        </w:trPr>
        <w:tc>
          <w:tcPr>
            <w:tcW w:w="20" w:type="dxa"/>
            <w:vAlign w:val="bottom"/>
          </w:tcPr>
          <w:p>
            <w:pPr>
              <w:spacing w:after="0"/>
              <w:rPr>
                <w:sz w:val="11"/>
                <w:szCs w:val="11"/>
                <w:color w:val="auto"/>
              </w:rPr>
            </w:pPr>
          </w:p>
        </w:tc>
        <w:tc>
          <w:tcPr>
            <w:tcW w:w="240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American Radio Association Pension Fund</w:t>
            </w: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13-6161999-001</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Green</w:t>
            </w: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Implemented</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Hawaii Longshore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99-0314293-001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11.9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6/30/2028</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Master, Mates and Pilots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13-6372630-001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6/15/2027,</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tcPr>
          <w:p>
            <w:pPr>
              <w:spacing w:after="0"/>
              <w:rPr>
                <w:sz w:val="11"/>
                <w:szCs w:val="11"/>
                <w:color w:val="auto"/>
              </w:rPr>
            </w:pPr>
          </w:p>
        </w:tc>
      </w:tr>
      <w:tr>
        <w:trPr>
          <w:trHeight w:val="117"/>
        </w:trPr>
        <w:tc>
          <w:tcPr>
            <w:tcW w:w="20" w:type="dxa"/>
            <w:vAlign w:val="bottom"/>
          </w:tcPr>
          <w:p>
            <w:pPr>
              <w:spacing w:after="0"/>
              <w:rPr>
                <w:sz w:val="10"/>
                <w:szCs w:val="10"/>
                <w:color w:val="auto"/>
              </w:rPr>
            </w:pPr>
          </w:p>
        </w:tc>
        <w:tc>
          <w:tcPr>
            <w:tcW w:w="24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Masters, Mates and Pilots Adjustable Pension</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37-1719247-001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6/15/2027,</w:t>
            </w:r>
          </w:p>
        </w:tc>
        <w:tc>
          <w:tcPr>
            <w:tcW w:w="2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MEBA Pension Trust - Defined Benefit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51-6029896-001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OCU Pension Trust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26-1574440-001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6/30/2030</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MFOW Supplementary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94-6201677-001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6/30/2026</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SIU Pacific District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94-6061923-001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6/30/2026</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Alaska Teamster - Employer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92-6003463-024</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780" w:type="dxa"/>
            <w:vAlign w:val="bottom"/>
            <w:gridSpan w:val="2"/>
            <w:shd w:val="clear" w:color="auto" w:fill="CCEEFF"/>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6"/>
              </w:rPr>
              <w:t>Implemented</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6/30/2024,</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6/30/2025,</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6/30/2026,</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6/30/2027</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All Alaska Longshore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91-6085352-001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6/30/2028</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5"/>
              </w:rPr>
              <w:t>Western Conference of Teamsters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91-6145047-001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3/31/2028</w:t>
            </w:r>
          </w:p>
        </w:tc>
        <w:tc>
          <w:tcPr>
            <w:tcW w:w="20" w:type="dxa"/>
            <w:vAlign w:val="bottom"/>
          </w:tcPr>
          <w:p>
            <w:pPr>
              <w:spacing w:after="0"/>
              <w:rPr>
                <w:sz w:val="11"/>
                <w:szCs w:val="11"/>
                <w:color w:val="auto"/>
              </w:rPr>
            </w:pPr>
          </w:p>
        </w:tc>
      </w:tr>
      <w:tr>
        <w:trPr>
          <w:trHeight w:val="117"/>
        </w:trPr>
        <w:tc>
          <w:tcPr>
            <w:tcW w:w="20" w:type="dxa"/>
            <w:vAlign w:val="bottom"/>
          </w:tcPr>
          <w:p>
            <w:pPr>
              <w:spacing w:after="0"/>
              <w:rPr>
                <w:sz w:val="10"/>
                <w:szCs w:val="10"/>
                <w:color w:val="auto"/>
              </w:rPr>
            </w:pPr>
          </w:p>
        </w:tc>
        <w:tc>
          <w:tcPr>
            <w:tcW w:w="24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Western Conference of Teamsters</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Supplemental Benefit Trust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95-3746907-001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3/31/2028</w:t>
            </w:r>
          </w:p>
        </w:tc>
        <w:tc>
          <w:tcPr>
            <w:tcW w:w="2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OPEIU Local 153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13-2864289-001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78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6"/>
              </w:rPr>
              <w:t>Implemented</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11/9/2028</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Seafarers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13-6100329-001</w:t>
            </w: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6/30/2027</w:t>
            </w:r>
          </w:p>
        </w:tc>
        <w:tc>
          <w:tcPr>
            <w:tcW w:w="2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240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33.8</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2" w:lineRule="exact"/>
        <w:rPr>
          <w:sz w:val="20"/>
          <w:szCs w:val="20"/>
          <w:color w:val="auto"/>
        </w:rPr>
      </w:pPr>
    </w:p>
    <w:p>
      <w:pPr>
        <w:ind w:left="380" w:hanging="330"/>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expiration date of the collective bargaining agreement.</w:t>
      </w:r>
    </w:p>
    <w:p>
      <w:pPr>
        <w:ind w:left="380" w:right="359" w:hanging="330"/>
        <w:spacing w:after="0" w:line="228" w:lineRule="auto"/>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does not make contributions directly to the Seafarers Pension Plan. Instead, contributions are made to the Seafarers Health and Benefits Plan, and are subsequently re-allocated to the Seafarers Pension Plan at the discretion of the plan Trustees.</w:t>
      </w:r>
    </w:p>
    <w:p>
      <w:pPr>
        <w:spacing w:after="0" w:line="18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also contributes to multi-employer plans that provide post-retirement health and other benefits other than pensions under the terms of collective-bargaining agreements. Benefits provided to active and retired employees and their eligible dependents under these plans include medical, dental, vision and prescription drugs. These plans are not subject to the PBGC plan termination and withdrawal liability provisions of ERISA applicable to multi-employer defined benefit pension plans. Contributions made to these plans were $37.7 million, $37.7 million and $34.7 million in 2023, 2022 and 2021, respectively.</w:t>
      </w:r>
    </w:p>
    <w:p>
      <w:pPr>
        <w:spacing w:after="0" w:line="18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Contribution Plans: </w:t>
      </w:r>
      <w:r>
        <w:rPr>
          <w:rFonts w:ascii="Times New Roman" w:cs="Times New Roman" w:eastAsia="Times New Roman" w:hAnsi="Times New Roman"/>
          <w:sz w:val="18"/>
          <w:szCs w:val="18"/>
          <w:color w:val="auto"/>
        </w:rPr>
        <w:t>The Company contributes to six multi-employer defined contribution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These plans are not subject to the withdrawal liability provisions of ERISA or the PBGC applicable to multi-employer defined benefit pension plans. Contributions made to these plans by the Company were $5.7 million, $6.0 million and $5.6 million in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MULTI-EMPLOYER WITHDRAWAL LIABILITIES</w:t>
      </w:r>
    </w:p>
    <w:p>
      <w:pPr>
        <w:spacing w:after="0" w:line="229"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Horizon ceased all of its operations in Puerto Rico during the first quarter of 2015, which resulted in a mass withdrawal from its multi-employer ILA-PRSSA pension fund. The Company assumed this liability as part of the acquisition of Horizon on May 29, 2015. The Company estimated the mass withdrawal liability based upon the required undiscounted quarterly payment of approximately $1.0 million to be paid to the ILA-PRSSA pension fund over a period which ends in March 2040, discounted to present value using the Company’s incremental borrowing rate. Future estimated annual payments to be paid to the ILA-PRSSA pension fund as of December 31, 2023 were as follows: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0"/>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remaining future undiscounted payments due to the ILA-PRSSA pension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Present value of multi-employer withdrawal liability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portion of multi-employer withdrawal liability (see Note 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multi-employer withdrawal liability (see Note 2)</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0"/>
        </w:trPr>
        <w:tc>
          <w:tcPr>
            <w:tcW w:w="7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700" w:hanging="650"/>
        <w:spacing w:after="0"/>
        <w:tabs>
          <w:tab w:leader="none" w:pos="7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consist of the following for the years ended December 31, 2023 and 2022:</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2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Qualified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gridSpan w:val="2"/>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6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940" w:type="dxa"/>
            <w:vAlign w:val="bottom"/>
            <w:gridSpan w:val="2"/>
            <w:vMerge w:val="continue"/>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640" w:type="dxa"/>
            <w:vAlign w:val="bottom"/>
            <w:gridSpan w:val="3"/>
            <w:vMerge w:val="continue"/>
          </w:tcPr>
          <w:p>
            <w:pPr>
              <w:spacing w:after="0"/>
              <w:rPr>
                <w:sz w:val="15"/>
                <w:szCs w:val="15"/>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(0.4)</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(0.5)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Other comprehensive income (loss) in the Consolidated Statements of Income and Comprehensive Income is shown net of tax benefit (expense) of $(1.2) million, $(9.3) million and $(8.1) million for the years ended December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0" w:right="399"/>
        <w:spacing w:after="0" w:line="261" w:lineRule="auto"/>
        <w:rPr>
          <w:sz w:val="20"/>
          <w:szCs w:val="20"/>
          <w:color w:val="auto"/>
        </w:rPr>
      </w:pPr>
      <w:r>
        <w:rPr>
          <w:rFonts w:ascii="Times New Roman" w:cs="Times New Roman" w:eastAsia="Times New Roman" w:hAnsi="Times New Roman"/>
          <w:sz w:val="18"/>
          <w:szCs w:val="18"/>
          <w:color w:val="auto"/>
        </w:rPr>
        <w:t>Basic earnings per share are determined by dividing net income by the weighted-average common shares outstanding during the year. The calculation of diluted earnings per share includes the dilutive effect of unexercised non-qualified stock options and non-vested stock units. The computation of weighted average dilutive shares outstanding excluded a nominal amount of anti-dilutive non-qualified stock options for each of the years 2023, 2022 and 2021.</w:t>
      </w:r>
    </w:p>
    <w:p>
      <w:pPr>
        <w:spacing w:after="0" w:line="16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denominators used to compute basic and diluted earnings per share for the years ended December 31, 2023, 2022 and 2021 are as follows:</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7"/>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2023</w:t>
            </w:r>
          </w:p>
        </w:tc>
        <w:tc>
          <w:tcPr>
            <w:tcW w:w="2220" w:type="dxa"/>
            <w:vAlign w:val="bottom"/>
            <w:gridSpan w:val="7"/>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80" w:type="dxa"/>
            <w:vAlign w:val="bottom"/>
          </w:tcPr>
          <w:p>
            <w:pPr>
              <w:spacing w:after="0"/>
              <w:rPr>
                <w:sz w:val="13"/>
                <w:szCs w:val="13"/>
                <w:color w:val="auto"/>
              </w:rPr>
            </w:pPr>
          </w:p>
        </w:tc>
        <w:tc>
          <w:tcPr>
            <w:tcW w:w="206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2021</w:t>
            </w:r>
          </w:p>
        </w:tc>
      </w:tr>
      <w:tr>
        <w:trPr>
          <w:trHeight w:val="122"/>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ind w:right="26"/>
              <w:spacing w:after="0" w:line="122" w:lineRule="exact"/>
              <w:rPr>
                <w:sz w:val="20"/>
                <w:szCs w:val="20"/>
                <w:color w:val="auto"/>
              </w:rPr>
            </w:pPr>
            <w:r>
              <w:rPr>
                <w:rFonts w:ascii="Times New Roman" w:cs="Times New Roman" w:eastAsia="Times New Roman" w:hAnsi="Times New Roman"/>
                <w:sz w:val="13"/>
                <w:szCs w:val="13"/>
                <w:b w:val="1"/>
                <w:bCs w:val="1"/>
                <w:color w:val="auto"/>
              </w:rPr>
              <w:t>Per</w:t>
            </w: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26"/>
              <w:spacing w:after="0" w:line="122" w:lineRule="exact"/>
              <w:rPr>
                <w:sz w:val="20"/>
                <w:szCs w:val="20"/>
                <w:color w:val="auto"/>
              </w:rPr>
            </w:pPr>
            <w:r>
              <w:rPr>
                <w:rFonts w:ascii="Times New Roman" w:cs="Times New Roman" w:eastAsia="Times New Roman" w:hAnsi="Times New Roman"/>
                <w:sz w:val="13"/>
                <w:szCs w:val="13"/>
                <w:b w:val="1"/>
                <w:bCs w:val="1"/>
                <w:color w:val="auto"/>
                <w:w w:val="92"/>
              </w:rPr>
              <w:t>Per</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8"/>
              <w:spacing w:after="0" w:line="122" w:lineRule="exact"/>
              <w:rPr>
                <w:sz w:val="20"/>
                <w:szCs w:val="20"/>
                <w:color w:val="auto"/>
              </w:rPr>
            </w:pPr>
            <w:r>
              <w:rPr>
                <w:rFonts w:ascii="Times New Roman" w:cs="Times New Roman" w:eastAsia="Times New Roman" w:hAnsi="Times New Roman"/>
                <w:sz w:val="13"/>
                <w:szCs w:val="13"/>
                <w:b w:val="1"/>
                <w:bCs w:val="1"/>
                <w:color w:val="auto"/>
              </w:rPr>
              <w:t>Per</w:t>
            </w:r>
          </w:p>
        </w:tc>
        <w:tc>
          <w:tcPr>
            <w:tcW w:w="80" w:type="dxa"/>
            <w:vAlign w:val="bottom"/>
          </w:tcPr>
          <w:p>
            <w:pPr>
              <w:spacing w:after="0"/>
              <w:rPr>
                <w:sz w:val="10"/>
                <w:szCs w:val="10"/>
                <w:color w:val="auto"/>
              </w:rPr>
            </w:pPr>
          </w:p>
        </w:tc>
      </w:tr>
      <w:tr>
        <w:trPr>
          <w:trHeight w:val="148"/>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Common</w:t>
            </w:r>
          </w:p>
        </w:tc>
      </w:tr>
      <w:tr>
        <w:trPr>
          <w:trHeight w:val="148"/>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Net</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Net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Share</w:t>
            </w:r>
          </w:p>
        </w:tc>
      </w:tr>
      <w:tr>
        <w:trPr>
          <w:trHeight w:val="15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8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Pr>
          <w:p>
            <w:pPr>
              <w:spacing w:after="0"/>
              <w:rPr>
                <w:sz w:val="13"/>
                <w:szCs w:val="13"/>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196"/>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$ 1,063.9</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(0.20)</w:t>
            </w:r>
          </w:p>
        </w:tc>
      </w:tr>
      <w:tr>
        <w:trPr>
          <w:trHeight w:val="199"/>
        </w:trPr>
        <w:tc>
          <w:tcPr>
            <w:tcW w:w="2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$ 1,063.9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share-based compensation plans which are described as follows:</w:t>
      </w:r>
    </w:p>
    <w:p>
      <w:pPr>
        <w:spacing w:after="0" w:line="223"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2016 Incentive Compensation Plan: </w:t>
      </w:r>
      <w:r>
        <w:rPr>
          <w:rFonts w:ascii="Times New Roman" w:cs="Times New Roman" w:eastAsia="Times New Roman" w:hAnsi="Times New Roman"/>
          <w:sz w:val="18"/>
          <w:szCs w:val="18"/>
          <w:color w:val="auto"/>
        </w:rPr>
        <w:t>The Amended and Restated Matson, Inc. 2016 Incentive Compensation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Plan”) serves as a successor to the 2007 Incentive Compensation Plan and all other predecessor plans. No further grants were made under the predecessor stock option plans. Under the 2016 Plan, 4.35 million shares of common stock were reserved for issuance.</w:t>
      </w:r>
    </w:p>
    <w:p>
      <w:pPr>
        <w:spacing w:after="0" w:line="18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2016 Plan consists of four separate incentive compensation programs: (i) the discretionary grant program, (ii) the stock issuance program, (iii) the incentive bonus program, and (iv) the automatic grant program for the non-employee members of the Company’s Board of Directors. Share-based compensation is generally awarded under three of the four programs, as more fully described below.</w:t>
      </w:r>
    </w:p>
    <w:p>
      <w:pPr>
        <w:spacing w:after="0" w:line="178" w:lineRule="exact"/>
        <w:rPr>
          <w:sz w:val="20"/>
          <w:szCs w:val="20"/>
          <w:color w:val="auto"/>
        </w:rPr>
      </w:pPr>
    </w:p>
    <w:p>
      <w:pPr>
        <w:ind w:left="60" w:right="2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Discretionary Grant Program </w:t>
      </w:r>
      <w:r>
        <w:rPr>
          <w:rFonts w:ascii="Times New Roman" w:cs="Times New Roman" w:eastAsia="Times New Roman" w:hAnsi="Times New Roman"/>
          <w:sz w:val="18"/>
          <w:szCs w:val="18"/>
          <w:color w:val="auto"/>
        </w:rPr>
        <w:t>— Under the Discretionary Grant Program, stock options may be granted with an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no less than 100 percent of the fair market value (defined as the closing market price) of the Company’s common stock on the date of the grant. No stock options have been granted under the 2016 Plan.</w:t>
      </w:r>
    </w:p>
    <w:p>
      <w:pPr>
        <w:spacing w:after="0" w:line="173"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Issuance Program </w:t>
      </w:r>
      <w:r>
        <w:rPr>
          <w:rFonts w:ascii="Times New Roman" w:cs="Times New Roman" w:eastAsia="Times New Roman" w:hAnsi="Times New Roman"/>
          <w:sz w:val="18"/>
          <w:szCs w:val="18"/>
          <w:color w:val="auto"/>
        </w:rPr>
        <w:t>— Under the Stock Issuance Program, shares of common stock, restricted stock units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shares may be granted. Time-based equity awards generally vest ratably over three years. Provided certain three-year performance targets are achieved, performance-based equity awards generally vest on the three-year anniversary date of the grant.</w:t>
      </w:r>
    </w:p>
    <w:p>
      <w:pPr>
        <w:spacing w:after="0" w:line="180"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Automatic Grant Program </w:t>
      </w:r>
      <w:r>
        <w:rPr>
          <w:rFonts w:ascii="Times New Roman" w:cs="Times New Roman" w:eastAsia="Times New Roman" w:hAnsi="Times New Roman"/>
          <w:sz w:val="18"/>
          <w:szCs w:val="18"/>
          <w:color w:val="auto"/>
        </w:rPr>
        <w:t>— At each annual shareholder meeting, non-employee directors will receive an award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that entitle the holder to an equivalent number of shares of common stock upon vesting, under the Automatic Grant Program. Awards of restricted stock units granted under the program generally vest on the one-year anniversary of the grant date.</w:t>
      </w:r>
    </w:p>
    <w:p>
      <w:pPr>
        <w:spacing w:after="0" w:line="182"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shares of common stock authorized to be issued under the 2016 Plan may be drawn from shares of the Company’s authorized but unissued common stock or from shares of its common stock that the Company acquires, including shares purchased on the open market or in private transactions.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Share-based compensation expense and other information related to share-based awards for the years ended December 31, 2023, 2022 and 2021 are as follows:</w:t>
      </w:r>
    </w:p>
    <w:tbl>
      <w:tblPr>
        <w:tblLayout w:type="fixed"/>
        <w:tblInd w:w="40" w:type="dxa"/>
        <w:tblCellMar>
          <w:top w:w="0" w:type="dxa"/>
          <w:left w:w="0" w:type="dxa"/>
          <w:bottom w:w="0" w:type="dxa"/>
          <w:right w:w="0" w:type="dxa"/>
        </w:tblCellMar>
      </w:tblPr>
      <w:tr>
        <w:trPr>
          <w:trHeight w:val="162"/>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Share-based compensation expense, net of estimated forfeitures (in millions)</w:t>
            </w:r>
          </w:p>
        </w:tc>
        <w:tc>
          <w:tcPr>
            <w:tcW w:w="120" w:type="dxa"/>
            <w:vAlign w:val="bottom"/>
          </w:tcPr>
          <w:p>
            <w:pPr>
              <w:spacing w:after="0"/>
              <w:rPr>
                <w:sz w:val="14"/>
                <w:szCs w:val="14"/>
                <w:color w:val="auto"/>
              </w:rPr>
            </w:pPr>
          </w:p>
        </w:tc>
        <w:tc>
          <w:tcPr>
            <w:tcW w:w="19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realized upon stock vesting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stock vested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As of December 31, 2023, unrecognized compensation cost related to non-vested restricted stock units and performance-based equity awards was $24.8 million. Unrecognized compensation cost is expected to be recognized over a weighted average period of approximately 1.7 years.</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following table summarizes non-vested restricted stock unit activity through December 31, 2023 (in thousands, except weighted average grant-date fair value amounts):</w:t>
      </w:r>
    </w:p>
    <w:tbl>
      <w:tblPr>
        <w:tblLayout w:type="fixed"/>
        <w:tblInd w:w="40" w:type="dxa"/>
        <w:tblCellMar>
          <w:top w:w="0" w:type="dxa"/>
          <w:left w:w="0" w:type="dxa"/>
          <w:bottom w:w="0" w:type="dxa"/>
          <w:right w:w="0" w:type="dxa"/>
        </w:tblCellMar>
      </w:tblPr>
      <w:tr>
        <w:trPr>
          <w:trHeight w:val="137"/>
        </w:trPr>
        <w:tc>
          <w:tcPr>
            <w:tcW w:w="22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2016 Plan</w:t>
            </w:r>
          </w:p>
        </w:tc>
        <w:tc>
          <w:tcPr>
            <w:tcW w:w="140" w:type="dxa"/>
            <w:vAlign w:val="bottom"/>
          </w:tcPr>
          <w:p>
            <w:pPr>
              <w:spacing w:after="0"/>
              <w:rPr>
                <w:sz w:val="11"/>
                <w:szCs w:val="11"/>
                <w:color w:val="auto"/>
              </w:rPr>
            </w:pPr>
          </w:p>
        </w:tc>
        <w:tc>
          <w:tcPr>
            <w:tcW w:w="94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2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3"/>
        </w:trPr>
        <w:tc>
          <w:tcPr>
            <w:tcW w:w="22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09"/>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80" w:type="dxa"/>
            <w:vAlign w:val="bottom"/>
          </w:tcPr>
          <w:p>
            <w:pPr>
              <w:spacing w:after="0"/>
              <w:rPr>
                <w:sz w:val="18"/>
                <w:szCs w:val="18"/>
                <w:color w:val="auto"/>
              </w:rPr>
            </w:pPr>
          </w:p>
        </w:tc>
      </w:tr>
      <w:tr>
        <w:trPr>
          <w:trHeight w:val="216"/>
        </w:trPr>
        <w:tc>
          <w:tcPr>
            <w:tcW w:w="6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80" w:type="dxa"/>
            <w:vAlign w:val="bottom"/>
          </w:tcPr>
          <w:p>
            <w:pPr>
              <w:spacing w:after="0"/>
              <w:rPr>
                <w:sz w:val="18"/>
                <w:szCs w:val="18"/>
                <w:color w:val="auto"/>
              </w:rPr>
            </w:pPr>
          </w:p>
        </w:tc>
      </w:tr>
      <w:tr>
        <w:trPr>
          <w:trHeight w:val="216"/>
        </w:trPr>
        <w:tc>
          <w:tcPr>
            <w:tcW w:w="6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Added by performance factor (1)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80" w:type="dxa"/>
            <w:vAlign w:val="bottom"/>
            <w:shd w:val="clear" w:color="auto" w:fill="CCEEFF"/>
          </w:tcPr>
          <w:p>
            <w:pPr>
              <w:spacing w:after="0"/>
              <w:rPr>
                <w:sz w:val="18"/>
                <w:szCs w:val="18"/>
                <w:color w:val="auto"/>
              </w:rPr>
            </w:pPr>
          </w:p>
        </w:tc>
      </w:tr>
      <w:tr>
        <w:trPr>
          <w:trHeight w:val="209"/>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8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72" w:lineRule="exact"/>
        <w:rPr>
          <w:sz w:val="20"/>
          <w:szCs w:val="20"/>
          <w:color w:val="auto"/>
        </w:rPr>
      </w:pPr>
    </w:p>
    <w:p>
      <w:pPr>
        <w:ind w:left="380" w:hanging="330"/>
        <w:spacing w:after="0"/>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paid out above target.</w:t>
      </w:r>
    </w:p>
    <w:p>
      <w:pPr>
        <w:spacing w:after="0" w:line="200" w:lineRule="exact"/>
        <w:rPr>
          <w:sz w:val="20"/>
          <w:szCs w:val="20"/>
          <w:color w:val="auto"/>
        </w:rPr>
      </w:pPr>
    </w:p>
    <w:p>
      <w:pPr>
        <w:spacing w:after="0" w:line="220" w:lineRule="exact"/>
        <w:rPr>
          <w:sz w:val="20"/>
          <w:szCs w:val="20"/>
          <w:color w:val="auto"/>
        </w:rPr>
      </w:pPr>
    </w:p>
    <w:p>
      <w:pPr>
        <w:ind w:left="700" w:hanging="650"/>
        <w:spacing w:after="0"/>
        <w:tabs>
          <w:tab w:leader="none" w:pos="7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uses Level 1 inputs for the fair values of its cash and cash equivalents, restricted cash and cash on deposit in the CCF, and Level 2 inputs for its fixed rate debt. The fair values of cash and cash equivalents, restricted cash and cash on deposit in the CCF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83"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The carrying value and fair value of the Company’s financial instruments consists of the following as of December 31, 2023 and 2022:</w:t>
      </w:r>
    </w:p>
    <w:tbl>
      <w:tblPr>
        <w:tblLayout w:type="fixed"/>
        <w:tblInd w:w="40" w:type="dxa"/>
        <w:tblCellMar>
          <w:top w:w="0" w:type="dxa"/>
          <w:left w:w="0" w:type="dxa"/>
          <w:bottom w:w="0" w:type="dxa"/>
          <w:right w:w="0" w:type="dxa"/>
        </w:tblCellMar>
      </w:tblPr>
      <w:tr>
        <w:trPr>
          <w:trHeight w:val="137"/>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1"/>
                <w:szCs w:val="11"/>
                <w:color w:val="auto"/>
              </w:rPr>
            </w:pPr>
          </w:p>
        </w:tc>
        <w:tc>
          <w:tcPr>
            <w:tcW w:w="10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29"/>
        </w:trPr>
        <w:tc>
          <w:tcPr>
            <w:tcW w:w="29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0"/>
              </w:rPr>
              <w:t>Value Measurements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5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00" w:hanging="650"/>
        <w:spacing w:after="0"/>
        <w:tabs>
          <w:tab w:leader="none" w:pos="7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Commitments and contractual obligations, excluding debt obligations (see Note 8), lease commitments (see Note 9), pension and post-retirement plan obligations (see Note 11), and multi-employer withdrawal liabilities (see Note 12), are as follows as of December 31, 2023:</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 (in millions)</w:t>
            </w:r>
          </w:p>
        </w:tc>
        <w:tc>
          <w:tcPr>
            <w:tcW w:w="1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Standby letters of credit (1)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Bonds (2)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construction obligations (3)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40" w:type="dxa"/>
            <w:vAlign w:val="bottom"/>
            <w:shd w:val="clear" w:color="auto" w:fill="CCEEFF"/>
          </w:tcPr>
          <w:p>
            <w:pPr>
              <w:spacing w:after="0"/>
              <w:rPr>
                <w:sz w:val="18"/>
                <w:szCs w:val="18"/>
                <w:color w:val="auto"/>
              </w:rPr>
            </w:pPr>
          </w:p>
        </w:tc>
      </w:tr>
      <w:tr>
        <w:trPr>
          <w:trHeight w:val="23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Vendor and other obligations (4)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Standby letters of credit are required for the Company’s uninsured workers’ compensation and other insurance programs, and other needs.</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Bonds are required for U.S. Customs and other related matters.</w:t>
      </w:r>
    </w:p>
    <w:p>
      <w:pPr>
        <w:ind w:left="380" w:hanging="330"/>
        <w:spacing w:after="0" w:line="221" w:lineRule="auto"/>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construction obligations represent remaining contractual obligations entered into for the construction of three new Jones Act vessels.</w:t>
      </w:r>
    </w:p>
    <w:p>
      <w:pPr>
        <w:ind w:left="380" w:right="199" w:hanging="330"/>
        <w:spacing w:after="0" w:line="233" w:lineRule="auto"/>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Vendor and other obligations include: (i) non-cancellable contractual capital project obligations; (ii) dry-docking related obligations; and (iii) other contractual obligations. Amounts are considered obligations if a contract has been agreed to specifying significant terms of the contract, and the amounts are not reflected in the Consolidated Balance Sheets as of December 31, 2023.</w:t>
      </w:r>
    </w:p>
    <w:p>
      <w:pPr>
        <w:spacing w:after="0" w:line="181"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These amounts are not recorded on the Company’s Consolidated Balance Sheets as of December 31, 2023 and it is not expected that the Company or its subsidiaries will be called upon to advance funds under these commitments and contractual obligations.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Contingencies and other litigation related matters are described as follows:</w:t>
      </w:r>
    </w:p>
    <w:p>
      <w:pPr>
        <w:spacing w:after="0" w:line="225"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 faces certain risks that could result in material expenditures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remediation. The Company believes, that based on all information currently available to it, the Company is currently in compliance, in all material respects, with applicable environmental laws and regulations.</w:t>
      </w:r>
    </w:p>
    <w:p>
      <w:pPr>
        <w:spacing w:after="0" w:line="173"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4" w:lineRule="exact"/>
        <w:rPr>
          <w:sz w:val="20"/>
          <w:szCs w:val="20"/>
          <w:color w:val="auto"/>
        </w:rPr>
      </w:pPr>
    </w:p>
    <w:p>
      <w:pPr>
        <w:ind w:left="100" w:right="999" w:hanging="44"/>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Conclusion Regarding Effectiveness of Disclosure Controls and Procedures</w:t>
      </w:r>
    </w:p>
    <w:p>
      <w:pPr>
        <w:spacing w:after="0" w:line="229" w:lineRule="exact"/>
        <w:rPr>
          <w:sz w:val="20"/>
          <w:szCs w:val="20"/>
          <w:color w:val="auto"/>
        </w:rPr>
      </w:pPr>
    </w:p>
    <w:p>
      <w:pPr>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were effective.</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See page 43 for management’s annual report on internal control over financial reporting, which is incorporated herein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See page 44 for the attestation report of the independent registered public accounting firm on the Company’s internal control over financial reporting, which is incorporated herein by reference.</w:t>
      </w:r>
    </w:p>
    <w:p>
      <w:pPr>
        <w:spacing w:after="0" w:line="16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Company’s fiscal fourth quarter ended December 31, 2023, that have materially affected, or are reasonably likely to materially affect, the Company’s internal control over financial reporting.</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60" w:right="99"/>
        <w:spacing w:after="0" w:line="315" w:lineRule="auto"/>
        <w:rPr>
          <w:sz w:val="20"/>
          <w:szCs w:val="20"/>
          <w:color w:val="auto"/>
        </w:rPr>
      </w:pPr>
      <w:r>
        <w:rPr>
          <w:rFonts w:ascii="Times New Roman" w:cs="Times New Roman" w:eastAsia="Times New Roman" w:hAnsi="Times New Roman"/>
          <w:sz w:val="17"/>
          <w:szCs w:val="17"/>
          <w:i w:val="1"/>
          <w:iCs w:val="1"/>
          <w:color w:val="auto"/>
        </w:rPr>
        <w:t>Trading Plans</w:t>
      </w:r>
      <w:r>
        <w:rPr>
          <w:rFonts w:ascii="Times New Roman" w:cs="Times New Roman" w:eastAsia="Times New Roman" w:hAnsi="Times New Roman"/>
          <w:sz w:val="17"/>
          <w:szCs w:val="17"/>
          <w:color w:val="auto"/>
        </w:rPr>
        <w:t>: During the quarter ended December 31, 2023, no director or Section 16 officer adopted or terminated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Rule 10b5-1 trading arrangements or non-Rule 10b5-1 trading arrangements (as defined in Item 408(a) of Regulation S-K).</w:t>
      </w:r>
    </w:p>
    <w:p>
      <w:pPr>
        <w:spacing w:after="0" w:line="137"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On February 23, 2024, Matthew J. Cox, Chairman and Chief Executive Officer, adopted a trading plan intended to satisfy the affirmative defense conditions of Rule 10b5-1(c) to sell up to 39,204 shares of Matson common stock through December 31, 2024, subject to certain pricing and other conditions.</w:t>
      </w:r>
    </w:p>
    <w:p>
      <w:pPr>
        <w:spacing w:after="0" w:line="176"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On February 22, 2024, Joel M. Wine, Executive Vice President and Chief Financial Officer, adopted a trading plan intended to satisfy the affirmative defense conditions of Rule 10b5-1(c) to sell up to 76,156 shares of Matson common stock through July 31, 2024, subject to certain pricing and other conditions.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ind w:left="1340" w:hanging="642"/>
        <w:spacing w:after="0"/>
        <w:tabs>
          <w:tab w:leader="none" w:pos="1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information about the directors of Matson required under this item will be included under the section captioned “Election of Directors” in Matson’s Proxy Statement for the 2024 Annual Meeting of Shareholders to be filed with the SEC within 120 days of the fiscal year ended December 31, 2023 (“Matson’s 2024 Proxy Statement”), which section is incorporated herein by reference.</w:t>
      </w:r>
    </w:p>
    <w:p>
      <w:pPr>
        <w:spacing w:after="0" w:line="176" w:lineRule="exact"/>
        <w:rPr>
          <w:sz w:val="20"/>
          <w:szCs w:val="20"/>
          <w:color w:val="auto"/>
        </w:rPr>
      </w:pPr>
    </w:p>
    <w:p>
      <w:pPr>
        <w:ind w:left="1340" w:hanging="642"/>
        <w:spacing w:after="0"/>
        <w:tabs>
          <w:tab w:leader="none" w:pos="1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right="239"/>
        <w:spacing w:after="0" w:line="312" w:lineRule="auto"/>
        <w:rPr>
          <w:sz w:val="20"/>
          <w:szCs w:val="20"/>
          <w:color w:val="auto"/>
        </w:rPr>
      </w:pPr>
      <w:r>
        <w:rPr>
          <w:rFonts w:ascii="Times New Roman" w:cs="Times New Roman" w:eastAsia="Times New Roman" w:hAnsi="Times New Roman"/>
          <w:sz w:val="17"/>
          <w:szCs w:val="17"/>
          <w:color w:val="auto"/>
        </w:rPr>
        <w:t>The information about the executive officers of Matson required under this item will be included under the subsection captioned “Executive Officers” in Matson’s 2024 Proxy Statement, which subsection is incorporated herein by reference.</w:t>
      </w:r>
    </w:p>
    <w:p>
      <w:pPr>
        <w:spacing w:after="0" w:line="136" w:lineRule="exact"/>
        <w:rPr>
          <w:sz w:val="20"/>
          <w:szCs w:val="20"/>
          <w:color w:val="auto"/>
        </w:rPr>
      </w:pPr>
    </w:p>
    <w:p>
      <w:pPr>
        <w:ind w:left="1340" w:hanging="642"/>
        <w:spacing w:after="0"/>
        <w:tabs>
          <w:tab w:leader="none" w:pos="1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The information about the Audit Committee of the Matson Board of Directors and compliance with Section 16(a) of the Exchange Act, will be included under the subsections captioned “Board of Directors and Committees of Board” and, if applicable, “Delinquent Section 16(a) Reports” in Matson’s 2024 Proxy Statement, which subsections are incorporated herein by reference.</w:t>
      </w:r>
    </w:p>
    <w:p>
      <w:pPr>
        <w:spacing w:after="0" w:line="176" w:lineRule="exact"/>
        <w:rPr>
          <w:sz w:val="20"/>
          <w:szCs w:val="20"/>
          <w:color w:val="auto"/>
        </w:rPr>
      </w:pPr>
    </w:p>
    <w:p>
      <w:pPr>
        <w:ind w:left="1340" w:hanging="642"/>
        <w:spacing w:after="0"/>
        <w:tabs>
          <w:tab w:leader="none" w:pos="13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information about Matson’s Code of Ethics required under this item will be included under the subsection captioned “Code of Ethics” in Matson’s 2024 Proxy Statement, which subsection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included under the section captioned “Executive Compensation” and the subsections captioned “Compensation of Directors” and “Pay Risk Assessment” in Matson’s 2024 Proxy Statement, which section and subsections are incorporated herein by reference.</w:t>
      </w:r>
    </w:p>
    <w:p>
      <w:pPr>
        <w:spacing w:after="0" w:line="172" w:lineRule="exact"/>
        <w:rPr>
          <w:sz w:val="20"/>
          <w:szCs w:val="20"/>
          <w:color w:val="auto"/>
        </w:rPr>
      </w:pPr>
    </w:p>
    <w:p>
      <w:pPr>
        <w:ind w:left="60" w:right="103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7" w:lineRule="exact"/>
        <w:rPr>
          <w:sz w:val="20"/>
          <w:szCs w:val="20"/>
          <w:color w:val="auto"/>
        </w:rPr>
      </w:pPr>
    </w:p>
    <w:p>
      <w:pPr>
        <w:ind w:left="60" w:right="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Equity Compensation Plan Information: </w:t>
      </w:r>
      <w:r>
        <w:rPr>
          <w:rFonts w:ascii="Times New Roman" w:cs="Times New Roman" w:eastAsia="Times New Roman" w:hAnsi="Times New Roman"/>
          <w:sz w:val="18"/>
          <w:szCs w:val="18"/>
          <w:color w:val="auto"/>
        </w:rPr>
        <w:t>The following table sets forth, as of December 31, 2023, certain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Matson’s equity compensation plan:</w:t>
      </w: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8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shares</w:t>
            </w:r>
          </w:p>
        </w:tc>
        <w:tc>
          <w:tcPr>
            <w:tcW w:w="0" w:type="dxa"/>
            <w:vAlign w:val="bottom"/>
          </w:tcPr>
          <w:p>
            <w:pPr>
              <w:spacing w:after="0"/>
              <w:rPr>
                <w:sz w:val="1"/>
                <w:szCs w:val="1"/>
                <w:color w:val="auto"/>
              </w:rPr>
            </w:pPr>
          </w:p>
        </w:tc>
      </w:tr>
      <w:tr>
        <w:trPr>
          <w:trHeight w:val="173"/>
        </w:trPr>
        <w:tc>
          <w:tcPr>
            <w:tcW w:w="4140" w:type="dxa"/>
            <w:vAlign w:val="bottom"/>
            <w:gridSpan w:val="3"/>
            <w:vMerge w:val="continue"/>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8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shareholders</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532,817 (1)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 (2)</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1,691,987 (3)</w:t>
            </w: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shareholders</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532,817</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1,691,987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282,210 shares subject to unvested restricted stock unit awards and 250,607 shares subject to unvested Performance Share awards.</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and Performance Share awards do not have exercise prices.</w:t>
      </w:r>
    </w:p>
    <w:p>
      <w:pPr>
        <w:ind w:left="380" w:hanging="330"/>
        <w:spacing w:after="0"/>
        <w:tabs>
          <w:tab w:leader="none" w:pos="3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are available for issuance under the 2016 Plan.</w:t>
      </w:r>
    </w:p>
    <w:p>
      <w:pPr>
        <w:spacing w:after="0" w:line="192"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Other information required under this item will be included under the section captioned “Security Ownership of Certain Shareholders” and the subsection captioned “Security Ownership of Directors and Executive Officers” in Matson’s 2024 Proxy Statement, which section and subsection are incorporated herein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49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included in the section captioned “Election of Directors” and the subsection captioned “Certain Relationships and Transactions” in Matson’s 2024 Proxy Statement, which section and subsection are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43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included under the sections captioned “Audit Committee Report” and “Ratification of Appointment of Independent Registered Public Accounting Firm” in Matson’s 2024 Proxy Statement, which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700" w:hanging="650"/>
        <w:spacing w:after="0"/>
        <w:tabs>
          <w:tab w:leader="none" w:pos="7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Consolidated Financial Statements are set forth in Item 8 of Part II above.</w:t>
      </w:r>
    </w:p>
    <w:p>
      <w:pPr>
        <w:spacing w:after="0" w:line="221" w:lineRule="exact"/>
        <w:rPr>
          <w:sz w:val="20"/>
          <w:szCs w:val="20"/>
          <w:color w:val="auto"/>
        </w:rPr>
      </w:pPr>
    </w:p>
    <w:p>
      <w:pPr>
        <w:ind w:left="700" w:hanging="650"/>
        <w:spacing w:after="0"/>
        <w:tabs>
          <w:tab w:leader="none" w:pos="7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of the absence of the conditions under which they are required or because the information called for is included in the Consolidated Financial Statements or notes thereto.</w:t>
      </w:r>
    </w:p>
    <w:p>
      <w:pPr>
        <w:spacing w:after="0" w:line="158" w:lineRule="exact"/>
        <w:rPr>
          <w:sz w:val="20"/>
          <w:szCs w:val="20"/>
          <w:color w:val="auto"/>
        </w:rPr>
      </w:pPr>
    </w:p>
    <w:p>
      <w:pPr>
        <w:ind w:left="700" w:hanging="650"/>
        <w:spacing w:after="0"/>
        <w:tabs>
          <w:tab w:leader="none" w:pos="7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Required by Item 601 of Regulation 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Exhibits not filed herewith are incorporated by reference to the exhibit number and previous filing shown in parentheses.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previous exhibits were filed with the Securities and Exchange Commission in Washington, D.C.</w:t>
      </w:r>
    </w:p>
    <w:p>
      <w:pPr>
        <w:spacing w:after="0" w:line="20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Exhibits filed pursuant to the Securities Exchange Act of 1934 were filed under file number 001-34187. Shareholders may obtain copies of exhibits for a copying and handling charge of $0.15 per page by writing to Corporate Secretary, Matson, Inc., 555 12th Street, Oakland, California 94607.</w:t>
      </w:r>
    </w:p>
    <w:p>
      <w:pPr>
        <w:spacing w:after="0" w:line="81" w:lineRule="exact"/>
        <w:rPr>
          <w:sz w:val="20"/>
          <w:szCs w:val="20"/>
          <w:color w:val="auto"/>
        </w:rPr>
      </w:pPr>
    </w:p>
    <w:p>
      <w:pPr>
        <w:ind w:left="1120" w:hanging="1064"/>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of acquisition, reorganization, arrangement, liquidation or succession.</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2.1</w:t>
            </w:r>
          </w:p>
        </w:tc>
        <w:tc>
          <w:tcPr>
            <w:tcW w:w="7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Agreement and Plan of Merger, dated as of November 11, 2014, by and among Matson Navigation</w:t>
              </w:r>
            </w:hyperlink>
          </w:p>
        </w:tc>
        <w:tc>
          <w:tcPr>
            <w:tcW w:w="680" w:type="dxa"/>
            <w:vAlign w:val="bottom"/>
            <w:gridSpan w:val="7"/>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Company, Inc., Hogan Acquisition Inc. and Horizon Lines, Inc. (incorporated by reference to Exhibit 2.1 of</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Matson’s Form 8-K dated November 11, 2014).</w:t>
              </w:r>
            </w:hyperlink>
          </w:p>
        </w:tc>
        <w:tc>
          <w:tcPr>
            <w:tcW w:w="4360" w:type="dxa"/>
            <w:vAlign w:val="bottom"/>
            <w:gridSpan w:val="11"/>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2.2</w:t>
            </w:r>
          </w:p>
        </w:tc>
        <w:tc>
          <w:tcPr>
            <w:tcW w:w="7800" w:type="dxa"/>
            <w:vAlign w:val="bottom"/>
            <w:gridSpan w:val="12"/>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Amendment No. 1 to Agreement and Plan of Merger, dated as of February 13, 2015, by and among Matson</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Navigation Company, Inc., Hogan Acquisition Inc. and Horizon Lines, Inc. (incorporated by reference to</w:t>
              </w:r>
            </w:hyperlink>
          </w:p>
        </w:tc>
        <w:tc>
          <w:tcPr>
            <w:tcW w:w="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Exhibit 2.1 of Matson’s Form 8-K dated February 17, 2015).</w:t>
              </w:r>
            </w:hyperlink>
          </w:p>
        </w:tc>
        <w:tc>
          <w:tcPr>
            <w:tcW w:w="3180" w:type="dxa"/>
            <w:vAlign w:val="bottom"/>
            <w:tcBorders>
              <w:top w:val="single" w:sz="8" w:color="0000EE"/>
            </w:tcBorders>
            <w:gridSpan w:val="6"/>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2.3</w:t>
            </w:r>
          </w:p>
        </w:tc>
        <w:tc>
          <w:tcPr>
            <w:tcW w:w="7800" w:type="dxa"/>
            <w:vAlign w:val="bottom"/>
            <w:gridSpan w:val="12"/>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Contribution, Assumption and Purchase Agreement, dated as of November 11, 2014, by and among The</w:t>
              </w:r>
            </w:hyperlink>
          </w:p>
        </w:tc>
      </w:tr>
      <w:tr>
        <w:trPr>
          <w:trHeight w:val="20"/>
        </w:trPr>
        <w:tc>
          <w:tcPr>
            <w:tcW w:w="106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Pasha Group, SR Holding LLC, Horizon Lines, Inc. and Sunrise Operations LLC (incorporated by reference</w:t>
              </w:r>
            </w:hyperlink>
          </w:p>
        </w:tc>
      </w:tr>
      <w:tr>
        <w:trPr>
          <w:trHeight w:val="196"/>
        </w:trPr>
        <w:tc>
          <w:tcPr>
            <w:tcW w:w="1060" w:type="dxa"/>
            <w:vAlign w:val="bottom"/>
          </w:tcPr>
          <w:p>
            <w:pPr>
              <w:spacing w:after="0"/>
              <w:rPr>
                <w:sz w:val="17"/>
                <w:szCs w:val="17"/>
                <w:color w:val="auto"/>
              </w:rPr>
            </w:pPr>
          </w:p>
        </w:tc>
        <w:tc>
          <w:tcPr>
            <w:tcW w:w="7800" w:type="dxa"/>
            <w:vAlign w:val="bottom"/>
            <w:gridSpan w:val="1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to Exhibit 2.2 of Horizon Lines, Inc.’s Form 8-K dated November 13, 2014).</w:t>
              </w:r>
            </w:hyperlink>
          </w:p>
        </w:tc>
      </w:tr>
      <w:tr>
        <w:trPr>
          <w:trHeight w:val="20"/>
        </w:trPr>
        <w:tc>
          <w:tcPr>
            <w:tcW w:w="106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2.4</w:t>
            </w:r>
          </w:p>
        </w:tc>
        <w:tc>
          <w:tcPr>
            <w:tcW w:w="7800" w:type="dxa"/>
            <w:vAlign w:val="bottom"/>
            <w:gridSpan w:val="12"/>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Amendment No. 1 to the Contribution, Assumption and Purchase Agreement, dated as of May 29, 2015, by</w:t>
              </w:r>
            </w:hyperlink>
          </w:p>
        </w:tc>
      </w:tr>
      <w:tr>
        <w:trPr>
          <w:trHeight w:val="196"/>
        </w:trPr>
        <w:tc>
          <w:tcPr>
            <w:tcW w:w="106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and among The Pasha Group, SR Holding LLC, Horizon Lines, Inc. and Sunrise Operations LLC</w:t>
              </w:r>
            </w:hyperlink>
          </w:p>
        </w:tc>
        <w:tc>
          <w:tcPr>
            <w:tcW w:w="72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(incorporated by reference to Exhibit 2.2 of Matson’s Form 10-Q for the quarter ended June 30, 2015).</w:t>
              </w:r>
            </w:hyperlink>
          </w:p>
        </w:tc>
        <w:tc>
          <w:tcPr>
            <w:tcW w:w="400" w:type="dxa"/>
            <w:vAlign w:val="bottom"/>
            <w:gridSpan w:val="6"/>
          </w:tcPr>
          <w:p>
            <w:pPr>
              <w:spacing w:after="0"/>
              <w:rPr>
                <w:sz w:val="17"/>
                <w:szCs w:val="17"/>
                <w:color w:val="auto"/>
              </w:rPr>
            </w:pPr>
          </w:p>
        </w:tc>
      </w:tr>
    </w:tbl>
    <w:p>
      <w:pPr>
        <w:spacing w:after="0" w:line="225" w:lineRule="exact"/>
        <w:rPr>
          <w:sz w:val="20"/>
          <w:szCs w:val="20"/>
          <w:color w:val="auto"/>
        </w:rPr>
      </w:pPr>
    </w:p>
    <w:p>
      <w:pPr>
        <w:ind w:left="1120" w:hanging="1064"/>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3.1</w:t>
            </w:r>
          </w:p>
        </w:tc>
        <w:tc>
          <w:tcPr>
            <w:tcW w:w="7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Amended and Restated Articles of Incorporation of Matson, Inc. (incorporated by reference to Exhibit 3.1 of</w:t>
              </w:r>
            </w:hyperlink>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Matson’s Form 10-Q for the quarter ended June 30, 2012).</w:t>
              </w:r>
            </w:hyperlink>
          </w:p>
        </w:tc>
        <w:tc>
          <w:tcPr>
            <w:tcW w:w="3600" w:type="dxa"/>
            <w:vAlign w:val="bottom"/>
            <w:gridSpan w:val="4"/>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3.2</w:t>
            </w:r>
          </w:p>
        </w:tc>
        <w:tc>
          <w:tcPr>
            <w:tcW w:w="7820" w:type="dxa"/>
            <w:vAlign w:val="bottom"/>
            <w:gridSpan w:val="6"/>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Articles of Amendment to Change Corporate Name (incorporated by reference to Exhibit 4.2 of Matson’s</w:t>
              </w:r>
            </w:hyperlink>
          </w:p>
        </w:tc>
      </w:tr>
      <w:tr>
        <w:trPr>
          <w:trHeight w:val="196"/>
        </w:trPr>
        <w:tc>
          <w:tcPr>
            <w:tcW w:w="1060" w:type="dxa"/>
            <w:vAlign w:val="bottom"/>
          </w:tcPr>
          <w:p>
            <w:pPr>
              <w:spacing w:after="0"/>
              <w:rPr>
                <w:sz w:val="17"/>
                <w:szCs w:val="17"/>
                <w:color w:val="auto"/>
              </w:rPr>
            </w:pPr>
          </w:p>
        </w:tc>
        <w:tc>
          <w:tcPr>
            <w:tcW w:w="76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S-8 dated October 26, 2012).</w:t>
              </w:r>
            </w:hyperlink>
          </w:p>
        </w:tc>
        <w:tc>
          <w:tcPr>
            <w:tcW w:w="2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3.3</w:t>
            </w:r>
          </w:p>
        </w:tc>
        <w:tc>
          <w:tcPr>
            <w:tcW w:w="7820" w:type="dxa"/>
            <w:vAlign w:val="bottom"/>
            <w:gridSpan w:val="6"/>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Amended and Restated Bylaws of Matson, Inc. (as amended as of November 6, 2013) (incorporated by</w:t>
              </w:r>
            </w:hyperlink>
          </w:p>
        </w:tc>
      </w:tr>
      <w:tr>
        <w:trPr>
          <w:trHeight w:val="196"/>
        </w:trPr>
        <w:tc>
          <w:tcPr>
            <w:tcW w:w="10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reference to Exhibit 3.1 of Matson’s Form 10-Q for the quarter ended September 30, 2013).</w:t>
              </w:r>
            </w:hyperlink>
          </w:p>
        </w:tc>
        <w:tc>
          <w:tcPr>
            <w:tcW w:w="820" w:type="dxa"/>
            <w:vAlign w:val="bottom"/>
            <w:tcBorders>
              <w:top w:val="single" w:sz="8" w:color="0000EE"/>
            </w:tcBorders>
          </w:tcPr>
          <w:p>
            <w:pPr>
              <w:spacing w:after="0"/>
              <w:rPr>
                <w:sz w:val="17"/>
                <w:szCs w:val="17"/>
                <w:color w:val="auto"/>
              </w:rPr>
            </w:pPr>
          </w:p>
        </w:tc>
        <w:tc>
          <w:tcPr>
            <w:tcW w:w="400" w:type="dxa"/>
            <w:vAlign w:val="bottom"/>
            <w:gridSpan w:val="2"/>
          </w:tcPr>
          <w:p>
            <w:pPr>
              <w:spacing w:after="0"/>
              <w:rPr>
                <w:sz w:val="17"/>
                <w:szCs w:val="17"/>
                <w:color w:val="auto"/>
              </w:rPr>
            </w:pPr>
          </w:p>
        </w:tc>
      </w:tr>
    </w:tbl>
    <w:p>
      <w:pPr>
        <w:spacing w:after="0" w:line="225" w:lineRule="exact"/>
        <w:rPr>
          <w:sz w:val="20"/>
          <w:szCs w:val="20"/>
          <w:color w:val="auto"/>
        </w:rPr>
      </w:pPr>
    </w:p>
    <w:p>
      <w:pPr>
        <w:ind w:left="1120" w:right="179" w:hanging="1064"/>
        <w:spacing w:after="0" w:line="282" w:lineRule="auto"/>
        <w:tabs>
          <w:tab w:leader="none" w:pos="1120" w:val="left"/>
        </w:tabs>
        <w:numPr>
          <w:ilvl w:val="0"/>
          <w:numId w:val="71"/>
        </w:numPr>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Description of Registered Securities (incorporated by reference to Exhibit 4 of Matson’s Form 10-K for the</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year ended December 31, 2019).</w:t>
        </w:r>
      </w:hyperlink>
    </w:p>
    <w:p>
      <w:pPr>
        <w:spacing w:after="0" w:line="162" w:lineRule="exact"/>
        <w:rPr>
          <w:rFonts w:ascii="Times New Roman" w:cs="Times New Roman" w:eastAsia="Times New Roman" w:hAnsi="Times New Roman"/>
          <w:sz w:val="18"/>
          <w:szCs w:val="18"/>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Material contracts.</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First Amendment to Credit Agreement among Matson, Inc., Bank of America, N.A., as the Agent, and the</w:t>
              </w:r>
            </w:hyperlink>
          </w:p>
        </w:tc>
        <w:tc>
          <w:tcPr>
            <w:tcW w:w="16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lenders thereto, dated as of February 9, 2023 (incorporated by reference to Exhibit 10.1 of Matson’ s Form</w:t>
              </w:r>
            </w:hyperlink>
          </w:p>
        </w:tc>
        <w:tc>
          <w:tcPr>
            <w:tcW w:w="140" w:type="dxa"/>
            <w:vAlign w:val="bottom"/>
            <w:gridSpan w:val="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10-K for the year ended December 31, 2022).</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Amendment to Third Amended and Restated Note Purchase Agreement among Matson, Inc. and the</w:t>
              </w:r>
            </w:hyperlink>
          </w:p>
        </w:tc>
        <w:tc>
          <w:tcPr>
            <w:tcW w:w="580" w:type="dxa"/>
            <w:vAlign w:val="bottom"/>
            <w:gridSpan w:val="2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purchasers named therein, dated as of June 29, 2017 (incorporated by reference to Exhibit 10.4 of Matson’s</w:t>
              </w:r>
            </w:hyperlink>
          </w:p>
        </w:tc>
        <w:tc>
          <w:tcPr>
            <w:tcW w:w="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8-K dated June 30, 2017).</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8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Amendment to Note Purchase Agreement among Matson, Inc. and the purchasers named therein, dated as of</w:t>
              </w:r>
            </w:hyperlink>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June 29, 2017 (incorporated by reference to Exhibit 10.5 of Matson’s Form 8-K dated June 30, 2017).</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Note Purchase Agreement among Matson, Inc. and the purchasers party thereto, dated as of December 21,</w:t>
              </w:r>
            </w:hyperlink>
          </w:p>
        </w:tc>
      </w:tr>
      <w:tr>
        <w:trPr>
          <w:trHeight w:val="196"/>
        </w:trPr>
        <w:tc>
          <w:tcPr>
            <w:tcW w:w="106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2016 (incorporated by reference to Exhibit 10.1 of Matson’s Form 8-K dated December 22, 2016).</w:t>
              </w:r>
            </w:hyperlink>
          </w:p>
        </w:tc>
        <w:tc>
          <w:tcPr>
            <w:tcW w:w="540" w:type="dxa"/>
            <w:vAlign w:val="bottom"/>
            <w:tcBorders>
              <w:top w:val="single" w:sz="8" w:color="0000EE"/>
            </w:tcBorders>
            <w:gridSpan w:val="13"/>
          </w:tcPr>
          <w:p>
            <w:pPr>
              <w:spacing w:after="0"/>
              <w:rPr>
                <w:sz w:val="17"/>
                <w:szCs w:val="17"/>
                <w:color w:val="auto"/>
              </w:rPr>
            </w:pPr>
          </w:p>
        </w:tc>
        <w:tc>
          <w:tcPr>
            <w:tcW w:w="180" w:type="dxa"/>
            <w:vAlign w:val="bottom"/>
            <w:gridSpan w:val="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Third Amended and Restated Note Purchase and Private Shelf Agreement among Matson, Inc. and the</w:t>
              </w:r>
            </w:hyperlink>
          </w:p>
        </w:tc>
      </w:tr>
      <w:tr>
        <w:trPr>
          <w:trHeight w:val="196"/>
        </w:trPr>
        <w:tc>
          <w:tcPr>
            <w:tcW w:w="106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purchasers party thereto, dated as of September 14, 2016 (incorporated by reference to Exhibit 10.1 of</w:t>
              </w:r>
            </w:hyperlink>
          </w:p>
        </w:tc>
        <w:tc>
          <w:tcPr>
            <w:tcW w:w="20" w:type="dxa"/>
            <w:vAlign w:val="bottom"/>
            <w:tcBorders>
              <w:top w:val="single" w:sz="8" w:color="0000EE"/>
            </w:tcBorders>
          </w:tcPr>
          <w:p>
            <w:pPr>
              <w:spacing w:after="0"/>
              <w:rPr>
                <w:sz w:val="17"/>
                <w:szCs w:val="17"/>
                <w:color w:val="auto"/>
              </w:rPr>
            </w:pPr>
          </w:p>
        </w:tc>
        <w:tc>
          <w:tcPr>
            <w:tcW w:w="440" w:type="dxa"/>
            <w:vAlign w:val="bottom"/>
            <w:gridSpan w:val="16"/>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Matson’s Form 8-K dated September 14, 2016).</w:t>
              </w:r>
            </w:hyperlink>
          </w:p>
        </w:tc>
        <w:tc>
          <w:tcPr>
            <w:tcW w:w="4360" w:type="dxa"/>
            <w:vAlign w:val="bottom"/>
            <w:gridSpan w:val="2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Amendment to Third Amended and Restated Note Purchase and Private Shelf Agreement among Matson,</w:t>
              </w:r>
            </w:hyperlink>
          </w:p>
        </w:tc>
        <w:tc>
          <w:tcPr>
            <w:tcW w:w="20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Inc. and the purchasers named therein, dated as of March 31, 2020 (incorporated by reference to Exhibit</w:t>
              </w:r>
            </w:hyperlink>
          </w:p>
        </w:tc>
      </w:tr>
      <w:tr>
        <w:trPr>
          <w:trHeight w:val="196"/>
        </w:trPr>
        <w:tc>
          <w:tcPr>
            <w:tcW w:w="1060" w:type="dxa"/>
            <w:vAlign w:val="bottom"/>
          </w:tcPr>
          <w:p>
            <w:pPr>
              <w:spacing w:after="0"/>
              <w:rPr>
                <w:sz w:val="17"/>
                <w:szCs w:val="17"/>
                <w:color w:val="auto"/>
              </w:rPr>
            </w:pPr>
          </w:p>
        </w:tc>
        <w:tc>
          <w:tcPr>
            <w:tcW w:w="75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of Matson’s Form 8-K dated April 6, 2020).</w:t>
              </w:r>
            </w:hyperlink>
          </w:p>
        </w:tc>
        <w:tc>
          <w:tcPr>
            <w:tcW w:w="320" w:type="dxa"/>
            <w:vAlign w:val="bottom"/>
            <w:gridSpan w:val="1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3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Amendment to December 21, 2016 Note Purchase Agreement among Matson, Inc. and the purchasers</w:t>
              </w:r>
            </w:hyperlink>
          </w:p>
        </w:tc>
        <w:tc>
          <w:tcPr>
            <w:tcW w:w="480" w:type="dxa"/>
            <w:vAlign w:val="bottom"/>
            <w:gridSpan w:val="1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named therein, dated as of March 31, 2020 (incorporated by reference to Exhibit 10.5 of Matson’s Form 8-K</w:t>
              </w:r>
            </w:hyperlink>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dated April 6, 2020).</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4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Amended and Restated Limited Liability Company Agreement of SSA Terminals, LLC by and between</w:t>
              </w:r>
            </w:hyperlink>
          </w:p>
        </w:tc>
        <w:tc>
          <w:tcPr>
            <w:tcW w:w="340" w:type="dxa"/>
            <w:vAlign w:val="bottom"/>
            <w:gridSpan w:val="1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SSA Ventures, Inc. and Matson Ventures, Inc., dated as of April 24, 2002 (certain portions of this exhibit</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7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have been omitted pursuant to a confidential treatment request submitted to the Commission) (incorporated</w:t>
              </w:r>
            </w:hyperlink>
          </w:p>
        </w:tc>
        <w:tc>
          <w:tcPr>
            <w:tcW w:w="8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by reference to Exhibit 10.1 of Matson’s Form 10-Q for the quarter ended June 30, 2012).</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Parent Company Agreement, dated as of April 24, 2002, by and among SSA Pacific Terminals, Inc.,</w:t>
              </w:r>
            </w:hyperlink>
          </w:p>
        </w:tc>
      </w:tr>
      <w:tr>
        <w:trPr>
          <w:trHeight w:val="196"/>
        </w:trPr>
        <w:tc>
          <w:tcPr>
            <w:tcW w:w="106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formerly known as Stevedoring Services of America, Inc., SSA Ventures, Inc., Matson Navigation</w:t>
              </w:r>
            </w:hyperlink>
          </w:p>
        </w:tc>
        <w:tc>
          <w:tcPr>
            <w:tcW w:w="600" w:type="dxa"/>
            <w:vAlign w:val="bottom"/>
            <w:gridSpan w:val="21"/>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Company, Inc. and Matson Ventures, Inc. (incorporated by reference to Exhibit 10.2 of Matson’s Form 10-Q</w:t>
              </w:r>
            </w:hyperlink>
          </w:p>
        </w:tc>
      </w:tr>
      <w:tr>
        <w:trPr>
          <w:trHeight w:val="196"/>
        </w:trPr>
        <w:tc>
          <w:tcPr>
            <w:tcW w:w="1060" w:type="dxa"/>
            <w:vAlign w:val="bottom"/>
          </w:tcPr>
          <w:p>
            <w:pPr>
              <w:spacing w:after="0"/>
              <w:rPr>
                <w:sz w:val="17"/>
                <w:szCs w:val="17"/>
                <w:color w:val="auto"/>
              </w:rPr>
            </w:pPr>
          </w:p>
        </w:tc>
        <w:tc>
          <w:tcPr>
            <w:tcW w:w="780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for the quarter ended June 30, 2012).</w:t>
              </w:r>
            </w:hyperlink>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7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Matson, Inc. Deferred Compensation Plan for Outside Directors (incorporated by reference to Exhibit 10.34</w:t>
              </w:r>
            </w:hyperlink>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of Matson’s Form 10-K for the year ended December 31, 2012).</w:t>
              </w:r>
            </w:hyperlink>
          </w:p>
        </w:tc>
        <w:tc>
          <w:tcPr>
            <w:tcW w:w="3200" w:type="dxa"/>
            <w:vAlign w:val="bottom"/>
            <w:gridSpan w:val="2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Consolidated Agreement, Contract No. MA-14454 dated as of April 27, 2020 among Matson Navigation</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60" w:type="dxa"/>
            <w:vAlign w:val="bottom"/>
            <w:gridSpan w:val="7"/>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Company, Inc., the United States of America, represented by the Maritime Administrator of the Maritime</w:t>
              </w:r>
            </w:hyperlink>
          </w:p>
        </w:tc>
        <w:tc>
          <w:tcPr>
            <w:tcW w:w="22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Administration and, with respect to certain provisions, Matson, Inc. (incorporated by reference to Exhibit</w:t>
              </w:r>
            </w:hyperlink>
          </w:p>
        </w:tc>
        <w:tc>
          <w:tcPr>
            <w:tcW w:w="22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Matson’s Form 8-K dated April 30, 2020).</w:t>
              </w:r>
            </w:hyperlink>
          </w:p>
        </w:tc>
        <w:tc>
          <w:tcPr>
            <w:tcW w:w="4200" w:type="dxa"/>
            <w:vAlign w:val="bottom"/>
            <w:gridSpan w:val="2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Note Purchase Agreement dated as of April 27, 2020 among Matson Navigation Company, Inc., the United</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States of America, represented by the Maritime Administrator of the Maritime Administration and the</w:t>
              </w:r>
            </w:hyperlink>
          </w:p>
        </w:tc>
        <w:tc>
          <w:tcPr>
            <w:tcW w:w="100" w:type="dxa"/>
            <w:vAlign w:val="bottom"/>
            <w:gridSpan w:val="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20" w:type="dxa"/>
            <w:vAlign w:val="bottom"/>
            <w:gridSpan w:val="9"/>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Federal Financing Bank (incorporated by reference to Exhibit 10.2 of Matson’s Form 8-K dated April 30,</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24">
              <w:r>
                <w:rPr>
                  <w:rFonts w:ascii="Times New Roman" w:cs="Times New Roman" w:eastAsia="Times New Roman" w:hAnsi="Times New Roman"/>
                  <w:sz w:val="18"/>
                  <w:szCs w:val="18"/>
                  <w:color w:val="0000EE"/>
                  <w:w w:val="94"/>
                </w:rPr>
                <w:t>2020).</w:t>
              </w:r>
            </w:hyperlink>
          </w:p>
        </w:tc>
        <w:tc>
          <w:tcPr>
            <w:tcW w:w="10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8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Affiliate Guaranty dated as of April 27, 2020 executed by Matson, Inc. (incorporated by reference to Exhibit</w:t>
              </w:r>
            </w:hyperlink>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of Matson’s Form 8-K dated April 30, 2020).</w:t>
              </w:r>
            </w:hyperlink>
          </w:p>
        </w:tc>
        <w:tc>
          <w:tcPr>
            <w:tcW w:w="4200" w:type="dxa"/>
            <w:vAlign w:val="bottom"/>
            <w:gridSpan w:val="2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Amendment No. 1 dated June 22, 2020, to Consolidated Agreement, Contract No. MA-14454 dated as of</w:t>
              </w:r>
            </w:hyperlink>
          </w:p>
        </w:tc>
        <w:tc>
          <w:tcPr>
            <w:tcW w:w="24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April 27, 2020 among Matson Navigation Company, Inc., the United States of America, represented by the</w:t>
              </w:r>
            </w:hyperlink>
          </w:p>
        </w:tc>
      </w:tr>
      <w:tr>
        <w:trPr>
          <w:trHeight w:val="20"/>
        </w:trPr>
        <w:tc>
          <w:tcPr>
            <w:tcW w:w="1060" w:type="dxa"/>
            <w:vAlign w:val="bottom"/>
          </w:tcPr>
          <w:p>
            <w:pPr>
              <w:spacing w:after="0" w:line="20" w:lineRule="exact"/>
              <w:rPr>
                <w:sz w:val="1"/>
                <w:szCs w:val="1"/>
                <w:color w:val="auto"/>
              </w:rPr>
            </w:pPr>
          </w:p>
        </w:tc>
        <w:tc>
          <w:tcPr>
            <w:tcW w:w="6280" w:type="dxa"/>
            <w:vAlign w:val="bottom"/>
            <w:gridSpan w:val="10"/>
            <w:shd w:val="clear" w:color="auto" w:fill="0000EE"/>
          </w:tcPr>
          <w:p>
            <w:pPr>
              <w:spacing w:after="0" w:line="20" w:lineRule="exact"/>
              <w:rPr>
                <w:sz w:val="1"/>
                <w:szCs w:val="1"/>
                <w:color w:val="auto"/>
              </w:rPr>
            </w:pPr>
          </w:p>
        </w:tc>
        <w:tc>
          <w:tcPr>
            <w:tcW w:w="1420" w:type="dxa"/>
            <w:vAlign w:val="bottom"/>
            <w:gridSpan w:val="19"/>
            <w:shd w:val="clear" w:color="auto" w:fill="0000EE"/>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Maritime Administrator of the Maritime Administration and, with respect to certain provisions, Matson, Inc.</w:t>
              </w:r>
            </w:hyperlink>
          </w:p>
        </w:tc>
      </w:tr>
      <w:tr>
        <w:trPr>
          <w:trHeight w:val="196"/>
        </w:trPr>
        <w:tc>
          <w:tcPr>
            <w:tcW w:w="1060" w:type="dxa"/>
            <w:vAlign w:val="bottom"/>
          </w:tcPr>
          <w:p>
            <w:pPr>
              <w:spacing w:after="0"/>
              <w:rPr>
                <w:sz w:val="17"/>
                <w:szCs w:val="17"/>
                <w:color w:val="auto"/>
              </w:rPr>
            </w:pPr>
          </w:p>
        </w:tc>
        <w:tc>
          <w:tcPr>
            <w:tcW w:w="6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(incorporated by reference to Exhibit 10.1 of Matson’s Form 8-K dated June 25, 2020).</w:t>
              </w:r>
            </w:hyperlink>
          </w:p>
        </w:tc>
        <w:tc>
          <w:tcPr>
            <w:tcW w:w="1540" w:type="dxa"/>
            <w:vAlign w:val="bottom"/>
            <w:gridSpan w:val="2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6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Note Purchase Agreement dated as of June 22, 2020 among Matson Navigation Company, Inc., the United</w:t>
              </w:r>
            </w:hyperlink>
          </w:p>
        </w:tc>
        <w:tc>
          <w:tcPr>
            <w:tcW w:w="14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States of America, represented by the Maritime Administrator of the Maritime Administration and the</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Federal Financing Bank (incorporated by reference to Exhibit 10.2 of Matson’s Form 8-K dated June 25,</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28">
              <w:r>
                <w:rPr>
                  <w:rFonts w:ascii="Times New Roman" w:cs="Times New Roman" w:eastAsia="Times New Roman" w:hAnsi="Times New Roman"/>
                  <w:sz w:val="18"/>
                  <w:szCs w:val="18"/>
                  <w:color w:val="0000EE"/>
                  <w:w w:val="94"/>
                </w:rPr>
                <w:t>2020).</w:t>
              </w:r>
            </w:hyperlink>
          </w:p>
        </w:tc>
        <w:tc>
          <w:tcPr>
            <w:tcW w:w="6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77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Amendment dated June 22, 2020 to Affiliate Guaranty dated as of April 27, 2020 executed by Matson, Inc.</w:t>
              </w:r>
            </w:hyperlink>
          </w:p>
        </w:tc>
        <w:tc>
          <w:tcPr>
            <w:tcW w:w="10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and consented to by MARAD (incorporated by reference to Exhibit 10.3 of Matson’s Form 8-K dated</w:t>
              </w:r>
            </w:hyperlink>
          </w:p>
        </w:tc>
        <w:tc>
          <w:tcPr>
            <w:tcW w:w="48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June 25, 2020).</w:t>
              </w:r>
            </w:hyperlink>
          </w:p>
        </w:tc>
        <w:tc>
          <w:tcPr>
            <w:tcW w:w="6700" w:type="dxa"/>
            <w:vAlign w:val="bottom"/>
            <w:gridSpan w:val="28"/>
          </w:tcPr>
          <w:p>
            <w:pPr>
              <w:spacing w:after="0"/>
              <w:rPr>
                <w:sz w:val="17"/>
                <w:szCs w:val="17"/>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2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Matson, Inc. Excess Benefits Plan, amended and restated effective August 27, 2014 (incorporated by</w:t>
              </w:r>
            </w:hyperlink>
          </w:p>
        </w:tc>
        <w:tc>
          <w:tcPr>
            <w:tcW w:w="56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reference to Exhibit 10.1 of Matson’s Form 8-K dated August 28, 2014).</w:t>
              </w:r>
            </w:hyperlink>
          </w:p>
        </w:tc>
      </w:tr>
      <w:tr>
        <w:trPr>
          <w:trHeight w:val="20"/>
        </w:trPr>
        <w:tc>
          <w:tcPr>
            <w:tcW w:w="106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Letter Agreement entered into with certain executive officers (incorporated by reference to</w:t>
              </w:r>
            </w:hyperlink>
          </w:p>
        </w:tc>
      </w:tr>
      <w:tr>
        <w:trPr>
          <w:trHeight w:val="196"/>
        </w:trPr>
        <w:tc>
          <w:tcPr>
            <w:tcW w:w="1060" w:type="dxa"/>
            <w:vAlign w:val="bottom"/>
          </w:tcPr>
          <w:p>
            <w:pPr>
              <w:spacing w:after="0"/>
              <w:rPr>
                <w:sz w:val="17"/>
                <w:szCs w:val="17"/>
                <w:color w:val="auto"/>
              </w:rPr>
            </w:pPr>
          </w:p>
        </w:tc>
        <w:tc>
          <w:tcPr>
            <w:tcW w:w="71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Exhibit 10.45 of Matson’s Form 10-K for the year ended December 31, 2012).</w:t>
              </w:r>
            </w:hyperlink>
          </w:p>
        </w:tc>
        <w:tc>
          <w:tcPr>
            <w:tcW w:w="660" w:type="dxa"/>
            <w:vAlign w:val="bottom"/>
            <w:gridSpan w:val="1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6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Schedule identifying executive officers who have entered into Form of Letter Agreement (incorporated by</w:t>
              </w:r>
            </w:hyperlink>
          </w:p>
        </w:tc>
        <w:tc>
          <w:tcPr>
            <w:tcW w:w="16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reference to Exhibit 10.42 of Matson’s Form 10-K for the year ended December 31, 2014).</w:t>
              </w:r>
            </w:hyperlink>
          </w:p>
        </w:tc>
      </w:tr>
      <w:tr>
        <w:trPr>
          <w:trHeight w:val="20"/>
        </w:trPr>
        <w:tc>
          <w:tcPr>
            <w:tcW w:w="106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7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Form of Letter Agreement entered into with executive officer (incorporated by reference to Exhibit 10.1 of</w:t>
              </w:r>
            </w:hyperlink>
          </w:p>
        </w:tc>
        <w:tc>
          <w:tcPr>
            <w:tcW w:w="1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Matson’s Form 8-K dated October 24, 2014).</w:t>
              </w:r>
            </w:hyperlink>
          </w:p>
        </w:tc>
      </w:tr>
      <w:tr>
        <w:trPr>
          <w:trHeight w:val="20"/>
        </w:trPr>
        <w:tc>
          <w:tcPr>
            <w:tcW w:w="106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6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Letter Agreement Counter Parties (incorporated by reference to Exhibit 10.23 of Matson’ s Form 10-K for</w:t>
              </w:r>
            </w:hyperlink>
          </w:p>
        </w:tc>
        <w:tc>
          <w:tcPr>
            <w:tcW w:w="16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the year ended December 31, 2022).</w:t>
              </w:r>
            </w:hyperlink>
          </w:p>
        </w:tc>
        <w:tc>
          <w:tcPr>
            <w:tcW w:w="5200" w:type="dxa"/>
            <w:vAlign w:val="bottom"/>
            <w:gridSpan w:val="2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7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Amended and Restated Matson, Inc. Executive Severance Plan (incorporated by reference to Exhibit 10.28</w:t>
              </w:r>
            </w:hyperlink>
          </w:p>
        </w:tc>
        <w:tc>
          <w:tcPr>
            <w:tcW w:w="1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6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of Matson’s Form 10-K for the year ended December 31, 2020).</w:t>
              </w:r>
            </w:hyperlink>
          </w:p>
        </w:tc>
        <w:tc>
          <w:tcPr>
            <w:tcW w:w="3200" w:type="dxa"/>
            <w:vAlign w:val="bottom"/>
            <w:gridSpan w:val="22"/>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82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Matson, Inc. Deferred Compensation Plan (incorporated by reference to Exhibit 10.51 of Matson’s Form 10-</w:t>
              </w:r>
            </w:hyperlink>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K for the year ended December 31, 2012).</w:t>
              </w:r>
            </w:hyperlink>
          </w:p>
        </w:tc>
      </w:tr>
      <w:tr>
        <w:trPr>
          <w:trHeight w:val="20"/>
        </w:trPr>
        <w:tc>
          <w:tcPr>
            <w:tcW w:w="10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Amendment No. 1 to the Matson, Inc. Deferred Compensation Plan (incorporated by reference to</w:t>
              </w:r>
            </w:hyperlink>
          </w:p>
        </w:tc>
      </w:tr>
      <w:tr>
        <w:trPr>
          <w:trHeight w:val="196"/>
        </w:trPr>
        <w:tc>
          <w:tcPr>
            <w:tcW w:w="1060" w:type="dxa"/>
            <w:vAlign w:val="bottom"/>
          </w:tcPr>
          <w:p>
            <w:pPr>
              <w:spacing w:after="0"/>
              <w:rPr>
                <w:sz w:val="17"/>
                <w:szCs w:val="17"/>
                <w:color w:val="auto"/>
              </w:rPr>
            </w:pPr>
          </w:p>
        </w:tc>
        <w:tc>
          <w:tcPr>
            <w:tcW w:w="70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Exhibit 10.30 of Matson’s Form 10-K for the year ended December 31, 2020).</w:t>
              </w:r>
            </w:hyperlink>
          </w:p>
        </w:tc>
        <w:tc>
          <w:tcPr>
            <w:tcW w:w="820" w:type="dxa"/>
            <w:vAlign w:val="bottom"/>
            <w:gridSpan w:val="1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4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Contract for Construction of Two Vessels, dated as of August 25, 2016, by and between Matson Navigation</w:t>
              </w:r>
            </w:hyperlink>
          </w:p>
        </w:tc>
      </w:tr>
      <w:tr>
        <w:trPr>
          <w:trHeight w:val="196"/>
        </w:trPr>
        <w:tc>
          <w:tcPr>
            <w:tcW w:w="106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Company, Inc. and National Steel and Shipbuilding Company (certain portions of this exhibit have been</w:t>
              </w:r>
            </w:hyperlink>
          </w:p>
        </w:tc>
        <w:tc>
          <w:tcPr>
            <w:tcW w:w="240" w:type="dxa"/>
            <w:vAlign w:val="bottom"/>
            <w:tcBorders>
              <w:top w:val="single" w:sz="8" w:color="0000EE"/>
            </w:tcBorders>
            <w:gridSpan w:val="7"/>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omitted pursuant to a confidential treatment request submitted to the Commission) (incorporated by</w:t>
              </w:r>
            </w:hyperlink>
          </w:p>
        </w:tc>
        <w:tc>
          <w:tcPr>
            <w:tcW w:w="640" w:type="dxa"/>
            <w:vAlign w:val="bottom"/>
            <w:gridSpan w:val="1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reference to Exhibit 10.1 of Matson’s Form 10-Q for the quarter ended September 30, 2016).</w:t>
              </w:r>
            </w:hyperlink>
          </w:p>
        </w:tc>
        <w:tc>
          <w:tcPr>
            <w:tcW w:w="1120" w:type="dxa"/>
            <w:vAlign w:val="bottom"/>
            <w:gridSpan w:val="1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Purchaser’s Corporate Guaranty Agreement, by Matson, Inc., dated as of August 25, 2016 (incorporated by</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reference to Exhibit 10.2 of Matson’s Form 10-Q for the quarter ended September 30, 2016).</w:t>
              </w:r>
            </w:hyperlink>
          </w:p>
        </w:tc>
        <w:tc>
          <w:tcPr>
            <w:tcW w:w="10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4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Contractor’s Corporate Guaranty Agreement, by General Dynamics Corporation, dated as of August 25,</w:t>
              </w:r>
            </w:hyperlink>
          </w:p>
        </w:tc>
        <w:tc>
          <w:tcPr>
            <w:tcW w:w="32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2016 (incorporated by reference to Exhibit 10.3 of Matson’s Form 10-Q for the quarter ended September 30,</w:t>
              </w:r>
            </w:hyperlink>
          </w:p>
        </w:tc>
      </w:tr>
      <w:tr>
        <w:trPr>
          <w:trHeight w:val="196"/>
        </w:trPr>
        <w:tc>
          <w:tcPr>
            <w:tcW w:w="10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40">
              <w:r>
                <w:rPr>
                  <w:rFonts w:ascii="Times New Roman" w:cs="Times New Roman" w:eastAsia="Times New Roman" w:hAnsi="Times New Roman"/>
                  <w:sz w:val="18"/>
                  <w:szCs w:val="18"/>
                  <w:color w:val="0000EE"/>
                  <w:w w:val="94"/>
                </w:rPr>
                <w:t>2016).</w:t>
              </w:r>
            </w:hyperlink>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70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Form of Capital Construction Fund Agreement with Matson Navigation Company, as amended by</w:t>
              </w:r>
            </w:hyperlink>
          </w:p>
        </w:tc>
        <w:tc>
          <w:tcPr>
            <w:tcW w:w="74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Addendums No. 2, No. 5, No. 18, No. 20, No. 31 and No. 33 thereto (incorporated by reference to Exhibit</w:t>
              </w:r>
            </w:hyperlink>
          </w:p>
        </w:tc>
      </w:tr>
      <w:tr>
        <w:trPr>
          <w:trHeight w:val="196"/>
        </w:trPr>
        <w:tc>
          <w:tcPr>
            <w:tcW w:w="1060" w:type="dxa"/>
            <w:vAlign w:val="bottom"/>
          </w:tcPr>
          <w:p>
            <w:pPr>
              <w:spacing w:after="0"/>
              <w:rPr>
                <w:sz w:val="17"/>
                <w:szCs w:val="17"/>
                <w:color w:val="auto"/>
              </w:rPr>
            </w:pPr>
          </w:p>
        </w:tc>
        <w:tc>
          <w:tcPr>
            <w:tcW w:w="76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0000EE"/>
                </w:rPr>
                <w:t xml:space="preserve"> of Matson’s Form 10-K for the year ended December 31, 2021).</w:t>
              </w:r>
            </w:hyperlink>
          </w:p>
        </w:tc>
        <w:tc>
          <w:tcPr>
            <w:tcW w:w="180" w:type="dxa"/>
            <w:vAlign w:val="bottom"/>
            <w:gridSpan w:val="6"/>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4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Voting Agreement, dated as of November 11, 2014, among Matson Navigation Company, Inc. and</w:t>
              </w:r>
            </w:hyperlink>
          </w:p>
        </w:tc>
      </w:tr>
      <w:tr>
        <w:trPr>
          <w:trHeight w:val="196"/>
        </w:trPr>
        <w:tc>
          <w:tcPr>
            <w:tcW w:w="106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certain holders of voting securities of Horizon Lines, Inc. (incorporated by reference to Exhibit 10.1 of</w:t>
              </w:r>
            </w:hyperlink>
          </w:p>
        </w:tc>
        <w:tc>
          <w:tcPr>
            <w:tcW w:w="30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Matson’s Form 8-K dated November 11, 2014).</w:t>
              </w:r>
            </w:hyperlink>
          </w:p>
        </w:tc>
        <w:tc>
          <w:tcPr>
            <w:tcW w:w="4380" w:type="dxa"/>
            <w:vAlign w:val="bottom"/>
            <w:gridSpan w:val="24"/>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7820" w:type="dxa"/>
            <w:vAlign w:val="bottom"/>
            <w:gridSpan w:val="30"/>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Amended and Restated Matson, Inc. 2016 Incentive Compensation Plan (incorporated by reference to</w:t>
              </w:r>
            </w:hyperlink>
          </w:p>
        </w:tc>
      </w:tr>
      <w:tr>
        <w:trPr>
          <w:trHeight w:val="196"/>
        </w:trPr>
        <w:tc>
          <w:tcPr>
            <w:tcW w:w="10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Exhibit 99.1 of Matson’s Form S-8 date July 30, 2021).</w:t>
              </w:r>
            </w:hyperlink>
          </w:p>
        </w:tc>
        <w:tc>
          <w:tcPr>
            <w:tcW w:w="3340" w:type="dxa"/>
            <w:vAlign w:val="bottom"/>
            <w:tcBorders>
              <w:top w:val="single" w:sz="8" w:color="0000EE"/>
            </w:tcBorders>
            <w:gridSpan w:val="13"/>
          </w:tcPr>
          <w:p>
            <w:pPr>
              <w:spacing w:after="0"/>
              <w:rPr>
                <w:sz w:val="17"/>
                <w:szCs w:val="17"/>
                <w:color w:val="auto"/>
              </w:rPr>
            </w:pPr>
          </w:p>
        </w:tc>
        <w:tc>
          <w:tcPr>
            <w:tcW w:w="480" w:type="dxa"/>
            <w:vAlign w:val="bottom"/>
            <w:gridSpan w:val="1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7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Amended and Restated Matson, Inc. Cash Incentive Plan, effective January 1, 2016 (incorporated by</w:t>
              </w:r>
            </w:hyperlink>
          </w:p>
        </w:tc>
        <w:tc>
          <w:tcPr>
            <w:tcW w:w="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reference to Exhibit 10.63 of Matson’s Form 10-K for the year ended December 31, 2016).</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7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Form of 2016 Plan Restricted Stock Unit Award Agreement for Non-Employee Directors (Deferral</w:t>
              </w:r>
            </w:hyperlink>
          </w:p>
        </w:tc>
        <w:tc>
          <w:tcPr>
            <w:tcW w:w="6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Election) (incorporated by reference to Exhibit 10.65 of Matson’s Form 10-K for the year ended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9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December 31, 2016).</w:t>
              </w:r>
            </w:hyperlink>
          </w:p>
        </w:tc>
        <w:tc>
          <w:tcPr>
            <w:tcW w:w="9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7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Form of 2016 Plan Performance Share Award Agreement for Executive Employees (ROIC) (incorporated</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by reference to Exhibit 10.47 of Matson’s Form 10-K for the year ended December 31, 2020).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77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2016 Plan Performance Share Award Agreement for Executive Employees (TSR) (incorporated by</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reference to Exhibit 10.48 of Matson’s Form 10-K for the year ended December 31, 2020).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7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2016 Plan Performance Share Award Agreement for Non-Executive Employees (incorporated by</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reference to Exhibit 10.49 of Matson’s Form 10-K for the year ended December 31, 2020).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78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2016 Plan Time-Based Restricted Stock Unit Agreement for Executive Employees (incorporated by</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reference to Exhibit 10.50 of Matson’s Form 10-K for the year ended December 31, 2020).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7820" w:type="dxa"/>
            <w:vAlign w:val="bottom"/>
            <w:gridSpan w:val="25"/>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2016 Plan Time-Based Restricted Stock Unit Agreement for Non-Executive Employees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(incorporated by reference to Exhibit 10.51 of Matson’s Form 10-K for the year ended December 31, 2020).</w:t>
              </w:r>
            </w:hyperlink>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748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2016 Plan Restricted Stock Unit Award Agreement for Non-Employee Directors (No Deferral)</w:t>
              </w:r>
            </w:hyperlink>
          </w:p>
        </w:tc>
        <w:tc>
          <w:tcPr>
            <w:tcW w:w="300" w:type="dxa"/>
            <w:vAlign w:val="bottom"/>
            <w:tcBorders>
              <w:top w:val="single" w:sz="8" w:color="0000EE"/>
            </w:tcBorders>
            <w:gridSpan w:val="6"/>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(incorporated by reference to Exhibit 10.52 of Matson’s Form 10-K for the year ended December 31, 2020).</w:t>
              </w:r>
            </w:hyperlink>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71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2016 Plan Restricted Stock Unit Award Agreement for Non-Employee Directors (Deferral</w:t>
              </w:r>
            </w:hyperlink>
          </w:p>
        </w:tc>
        <w:tc>
          <w:tcPr>
            <w:tcW w:w="640" w:type="dxa"/>
            <w:vAlign w:val="bottom"/>
            <w:tcBorders>
              <w:top w:val="single" w:sz="8" w:color="0000EE"/>
            </w:tcBorders>
            <w:gridSpan w:val="1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Election) (incorporated by reference to Exhibit 10.53 of Matson’s Form 10-K for the year ended December</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53">
              <w:r>
                <w:rPr>
                  <w:rFonts w:ascii="Times New Roman" w:cs="Times New Roman" w:eastAsia="Times New Roman" w:hAnsi="Times New Roman"/>
                  <w:sz w:val="18"/>
                  <w:szCs w:val="18"/>
                  <w:color w:val="0000EE"/>
                  <w:w w:val="97"/>
                </w:rPr>
                <w:t>31, 2020).</w:t>
              </w:r>
            </w:hyperlink>
          </w:p>
        </w:tc>
        <w:tc>
          <w:tcPr>
            <w:tcW w:w="7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7820" w:type="dxa"/>
            <w:vAlign w:val="bottom"/>
            <w:gridSpan w:val="25"/>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Amendment to Third Amended and Restated Note Purchase and Private Shelf Agreement, dated as of</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March 31, 2021 (incorporated by reference to Exhibit 10.2 of Matson’s Form 8-K dated April 5, 2021).</w:t>
              </w:r>
            </w:hyperlink>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42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Amendment to Note Purchase Agreement dated December 21, 2016, dated as of March 31, 2021</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(incorporated by reference to Exhibit 10.3 of Matson’s Form 8-K dated April 5, 2021).</w:t>
              </w:r>
            </w:hyperlink>
          </w:p>
        </w:tc>
        <w:tc>
          <w:tcPr>
            <w:tcW w:w="720" w:type="dxa"/>
            <w:vAlign w:val="bottom"/>
            <w:tcBorders>
              <w:top w:val="single" w:sz="8" w:color="0000EE"/>
            </w:tcBorders>
            <w:gridSpan w:val="5"/>
          </w:tcPr>
          <w:p>
            <w:pPr>
              <w:spacing w:after="0"/>
              <w:rPr>
                <w:sz w:val="17"/>
                <w:szCs w:val="17"/>
                <w:color w:val="auto"/>
              </w:rPr>
            </w:pPr>
          </w:p>
        </w:tc>
        <w:tc>
          <w:tcPr>
            <w:tcW w:w="8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7820" w:type="dxa"/>
            <w:vAlign w:val="bottom"/>
            <w:gridSpan w:val="25"/>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Shipbuilding Contract Vessel Type Aloha Class L – Hull No. 040, by and between Philly Shipyard, Inc. and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Matson Navigation Company, Inc., dated as of November 1, 2022 (incorporated by reference to Exhibit</w:t>
              </w:r>
            </w:hyperlink>
          </w:p>
        </w:tc>
        <w:tc>
          <w:tcPr>
            <w:tcW w:w="30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0000EE"/>
                </w:rPr>
                <w:t xml:space="preserve"> of Matson’ s Form 10-K for the year ended December 31, 2022).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7820" w:type="dxa"/>
            <w:vAlign w:val="bottom"/>
            <w:gridSpan w:val="25"/>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Shipbuilding Contract Vessel Type Aloha Class L – Hull No. 041, by and between Philly Shipyard, Inc. and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Matson Navigation Company, Inc., dated as of November 1, 2022 (incorporated by reference to Exhibit</w:t>
              </w:r>
            </w:hyperlink>
          </w:p>
        </w:tc>
        <w:tc>
          <w:tcPr>
            <w:tcW w:w="30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0000EE"/>
                </w:rPr>
                <w:t xml:space="preserve"> of Matson’ s Form 10-K for the year ended December 31, 2022).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7820" w:type="dxa"/>
            <w:vAlign w:val="bottom"/>
            <w:gridSpan w:val="25"/>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Shipbuilding Contract Vessel Type Aloha Class L – Hull No. 042, by and between Philly Shipyard, Inc. and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Matson Navigation Company, Inc., dated as of November 1, 2022 (incorporated by reference to Exhibit</w:t>
              </w:r>
            </w:hyperlink>
          </w:p>
        </w:tc>
        <w:tc>
          <w:tcPr>
            <w:tcW w:w="30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5"/>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0000EE"/>
                </w:rPr>
                <w:t xml:space="preserve"> of Matson’ s Form 10-K for the year ended December 31, 2022).</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10.45*</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2180" w:type="dxa"/>
            <w:vAlign w:val="bottom"/>
            <w:gridSpan w:val="3"/>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vMerge w:val="continue"/>
          </w:tcPr>
          <w:p>
            <w:pPr>
              <w:spacing w:after="0"/>
              <w:rPr>
                <w:sz w:val="24"/>
                <w:szCs w:val="24"/>
                <w:color w:val="auto"/>
              </w:rPr>
            </w:pPr>
          </w:p>
        </w:tc>
        <w:tc>
          <w:tcPr>
            <w:tcW w:w="73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Form of 2016 Plan Performance Share Award Agreement for Executive Employees (ROIC) for grants</w:t>
            </w:r>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awarded after January 1, 2023</w:t>
            </w:r>
          </w:p>
        </w:tc>
        <w:tc>
          <w:tcPr>
            <w:tcW w:w="56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10.46*</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78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Form of 2016 Plan Performance Share Award Agreement for Non-Executive Employees (ROIC) for grants</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awarded after January 1, 2023</w:t>
            </w:r>
          </w:p>
        </w:tc>
        <w:tc>
          <w:tcPr>
            <w:tcW w:w="5520" w:type="dxa"/>
            <w:vAlign w:val="bottom"/>
            <w:tcBorders>
              <w:top w:val="single" w:sz="8" w:color="0000EE"/>
            </w:tcBorders>
            <w:gridSpan w:val="17"/>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10.47*</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72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Form of 2016 Plan Performance Share Award Agreement for Executive Employees (TSR) for grants</w:t>
            </w:r>
          </w:p>
        </w:tc>
        <w:tc>
          <w:tcPr>
            <w:tcW w:w="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awarded after January 1, 2024</w:t>
            </w:r>
          </w:p>
        </w:tc>
        <w:tc>
          <w:tcPr>
            <w:tcW w:w="56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29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10.48*</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7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Form of 2016 Plan Time-Based Restricted Stock Unit Agreement for Executive Employees for grants</w:t>
            </w:r>
          </w:p>
        </w:tc>
        <w:tc>
          <w:tcPr>
            <w:tcW w:w="50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1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awarded after January 1, 2024</w:t>
            </w:r>
          </w:p>
        </w:tc>
        <w:tc>
          <w:tcPr>
            <w:tcW w:w="5640" w:type="dxa"/>
            <w:vAlign w:val="bottom"/>
            <w:gridSpan w:val="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10.49*</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Form of 2016 Plan Time-Based Restricted Stock Unit Agreement for Non-Executive Employees for grants</w:t>
            </w:r>
          </w:p>
        </w:tc>
      </w:tr>
      <w:tr>
        <w:trPr>
          <w:trHeight w:val="196"/>
        </w:trPr>
        <w:tc>
          <w:tcPr>
            <w:tcW w:w="1060" w:type="dxa"/>
            <w:vAlign w:val="bottom"/>
          </w:tcPr>
          <w:p>
            <w:pPr>
              <w:spacing w:after="0"/>
              <w:rPr>
                <w:sz w:val="17"/>
                <w:szCs w:val="17"/>
                <w:color w:val="auto"/>
              </w:rPr>
            </w:pPr>
          </w:p>
        </w:tc>
        <w:tc>
          <w:tcPr>
            <w:tcW w:w="21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awarded after January 1, 2024</w:t>
            </w:r>
          </w:p>
        </w:tc>
        <w:tc>
          <w:tcPr>
            <w:tcW w:w="550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Matson, Inc. Subsidiaries as of December 31, 2023.</w:t>
            </w:r>
          </w:p>
        </w:tc>
      </w:tr>
      <w:tr>
        <w:trPr>
          <w:trHeight w:val="20"/>
        </w:trPr>
        <w:tc>
          <w:tcPr>
            <w:tcW w:w="10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Deloitte &amp; Touche, LLP dated February 23, 2024.</w:t>
            </w:r>
          </w:p>
        </w:tc>
      </w:tr>
      <w:tr>
        <w:trPr>
          <w:trHeight w:val="20"/>
        </w:trPr>
        <w:tc>
          <w:tcPr>
            <w:tcW w:w="1060" w:type="dxa"/>
            <w:vAlign w:val="bottom"/>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39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580" w:type="dxa"/>
            <w:vAlign w:val="bottom"/>
            <w:gridSpan w:val="4"/>
          </w:tcPr>
          <w:p>
            <w:pPr>
              <w:spacing w:after="0"/>
              <w:rPr>
                <w:sz w:val="24"/>
                <w:szCs w:val="24"/>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1060" w:type="dxa"/>
            <w:vAlign w:val="bottom"/>
          </w:tcPr>
          <w:p>
            <w:pPr>
              <w:spacing w:after="0" w:line="20" w:lineRule="exact"/>
              <w:rPr>
                <w:sz w:val="1"/>
                <w:szCs w:val="1"/>
                <w:color w:val="auto"/>
              </w:rPr>
            </w:pPr>
          </w:p>
        </w:tc>
        <w:tc>
          <w:tcPr>
            <w:tcW w:w="4980" w:type="dxa"/>
            <w:vAlign w:val="bottom"/>
            <w:gridSpan w:val="4"/>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Certifications of Chief Executive Officer and Chief Financial Officer Pursuant to 18 U.S.C. Section 1350, as</w:t>
            </w:r>
          </w:p>
        </w:tc>
      </w:tr>
      <w:tr>
        <w:trPr>
          <w:trHeight w:val="196"/>
        </w:trPr>
        <w:tc>
          <w:tcPr>
            <w:tcW w:w="1060" w:type="dxa"/>
            <w:vAlign w:val="bottom"/>
          </w:tcPr>
          <w:p>
            <w:pPr>
              <w:spacing w:after="0"/>
              <w:rPr>
                <w:sz w:val="17"/>
                <w:szCs w:val="17"/>
                <w:color w:val="auto"/>
              </w:rPr>
            </w:pPr>
          </w:p>
        </w:tc>
        <w:tc>
          <w:tcPr>
            <w:tcW w:w="78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r>
      <w:tr>
        <w:trPr>
          <w:trHeight w:val="20"/>
        </w:trPr>
        <w:tc>
          <w:tcPr>
            <w:tcW w:w="1060" w:type="dxa"/>
            <w:vAlign w:val="bottom"/>
          </w:tcPr>
          <w:p>
            <w:pPr>
              <w:spacing w:after="0" w:line="20" w:lineRule="exact"/>
              <w:rPr>
                <w:sz w:val="1"/>
                <w:szCs w:val="1"/>
                <w:color w:val="auto"/>
              </w:rPr>
            </w:pPr>
          </w:p>
        </w:tc>
        <w:tc>
          <w:tcPr>
            <w:tcW w:w="4980" w:type="dxa"/>
            <w:vAlign w:val="bottom"/>
            <w:gridSpan w:val="4"/>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Policy Regarding Recoupment of Certain Compensation (as amended and restated October 26, 2023)</w:t>
            </w:r>
          </w:p>
        </w:tc>
      </w:tr>
      <w:tr>
        <w:trPr>
          <w:trHeight w:val="20"/>
        </w:trPr>
        <w:tc>
          <w:tcPr>
            <w:tcW w:w="1060" w:type="dxa"/>
            <w:vAlign w:val="bottom"/>
          </w:tcPr>
          <w:p>
            <w:pPr>
              <w:spacing w:after="0" w:line="20" w:lineRule="exact"/>
              <w:rPr>
                <w:sz w:val="1"/>
                <w:szCs w:val="1"/>
                <w:color w:val="auto"/>
              </w:rPr>
            </w:pPr>
          </w:p>
        </w:tc>
        <w:tc>
          <w:tcPr>
            <w:tcW w:w="7280" w:type="dxa"/>
            <w:vAlign w:val="bottom"/>
            <w:gridSpan w:val="7"/>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38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16"/>
        </w:trPr>
        <w:tc>
          <w:tcPr>
            <w:tcW w:w="1060" w:type="dxa"/>
            <w:vAlign w:val="bottom"/>
          </w:tcPr>
          <w:p>
            <w:pPr>
              <w:spacing w:after="0"/>
              <w:rPr>
                <w:sz w:val="18"/>
                <w:szCs w:val="18"/>
                <w:color w:val="auto"/>
              </w:rPr>
            </w:pP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w:t>
            </w:r>
          </w:p>
        </w:tc>
      </w:tr>
      <w:tr>
        <w:trPr>
          <w:trHeight w:val="234"/>
        </w:trPr>
        <w:tc>
          <w:tcPr>
            <w:tcW w:w="1060" w:type="dxa"/>
            <w:vAlign w:val="bottom"/>
          </w:tcPr>
          <w:p>
            <w:pPr>
              <w:spacing w:after="0"/>
              <w:rPr>
                <w:sz w:val="20"/>
                <w:szCs w:val="20"/>
                <w:color w:val="auto"/>
              </w:rPr>
            </w:pP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wp:posOffset>
            </wp:positionV>
            <wp:extent cx="14141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4" w:lineRule="exact"/>
        <w:rPr>
          <w:sz w:val="20"/>
          <w:szCs w:val="20"/>
          <w:color w:val="auto"/>
        </w:rPr>
      </w:pPr>
    </w:p>
    <w:p>
      <w:pPr>
        <w:ind w:left="680" w:hanging="630"/>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9" w:lineRule="exact"/>
        <w:rPr>
          <w:rFonts w:ascii="Times New Roman" w:cs="Times New Roman" w:eastAsia="Times New Roman" w:hAnsi="Times New Roman"/>
          <w:sz w:val="18"/>
          <w:szCs w:val="18"/>
          <w:color w:val="auto"/>
        </w:rPr>
      </w:pPr>
    </w:p>
    <w:p>
      <w:pPr>
        <w:ind w:left="60" w:right="2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identified information has been excluded from this exhibit pursuant to Item 601(b)(10)(iv) of Regulation S-K because it is both (i) not material and (ii) the type that the registrant treats as private or confidential.</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MATSON, INC.</w:t>
            </w:r>
          </w:p>
        </w:tc>
      </w:tr>
      <w:tr>
        <w:trPr>
          <w:trHeight w:val="228"/>
        </w:trPr>
        <w:tc>
          <w:tcPr>
            <w:tcW w:w="4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1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J. Cox</w:t>
            </w:r>
          </w:p>
        </w:tc>
      </w:tr>
      <w:tr>
        <w:trPr>
          <w:trHeight w:val="191"/>
        </w:trPr>
        <w:tc>
          <w:tcPr>
            <w:tcW w:w="4460" w:type="dxa"/>
            <w:vAlign w:val="bottom"/>
          </w:tcPr>
          <w:p>
            <w:pPr>
              <w:spacing w:after="0"/>
              <w:rPr>
                <w:sz w:val="16"/>
                <w:szCs w:val="16"/>
                <w:color w:val="auto"/>
              </w:rPr>
            </w:pPr>
          </w:p>
        </w:tc>
        <w:tc>
          <w:tcPr>
            <w:tcW w:w="4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Matthew J. Cox</w:t>
            </w:r>
          </w:p>
        </w:tc>
      </w:tr>
      <w:tr>
        <w:trPr>
          <w:trHeight w:val="216"/>
        </w:trPr>
        <w:tc>
          <w:tcPr>
            <w:tcW w:w="4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and</w:t>
            </w:r>
          </w:p>
        </w:tc>
      </w:tr>
      <w:tr>
        <w:trPr>
          <w:trHeight w:val="234"/>
        </w:trPr>
        <w:tc>
          <w:tcPr>
            <w:tcW w:w="4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2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5"/>
                <w:szCs w:val="15"/>
                <w:color w:val="auto"/>
              </w:rPr>
            </w:pPr>
          </w:p>
        </w:tc>
        <w:tc>
          <w:tcPr>
            <w:tcW w:w="45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07"/>
        </w:trPr>
        <w:tc>
          <w:tcPr>
            <w:tcW w:w="2220" w:type="dxa"/>
            <w:vAlign w:val="bottom"/>
          </w:tcPr>
          <w:p>
            <w:pPr>
              <w:spacing w:after="0"/>
              <w:rPr>
                <w:sz w:val="24"/>
                <w:szCs w:val="24"/>
                <w:color w:val="auto"/>
              </w:rPr>
            </w:pP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and Chief Executive Officer (principal executive</w:t>
            </w:r>
          </w:p>
        </w:tc>
        <w:tc>
          <w:tcPr>
            <w:tcW w:w="1820" w:type="dxa"/>
            <w:vAlign w:val="bottom"/>
          </w:tcPr>
          <w:p>
            <w:pPr>
              <w:spacing w:after="0"/>
              <w:rPr>
                <w:sz w:val="24"/>
                <w:szCs w:val="24"/>
                <w:color w:val="auto"/>
              </w:rPr>
            </w:pPr>
          </w:p>
        </w:tc>
      </w:tr>
      <w:tr>
        <w:trPr>
          <w:trHeight w:val="23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Cox</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Matthew J. Cox</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Meredith J. Ching</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Meredith J. Ching</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B. Fargo</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Thomas B. Fargo</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H. Fukunaga</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Mark H. Fukunaga</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Stanley M. Kuriyama</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Stanley M. Kuriyama</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Constance H. Lau</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Constance H. Lau</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Jenai S. Wall</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Jenai S. Wall</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95"/>
        </w:trPr>
        <w:tc>
          <w:tcPr>
            <w:tcW w:w="2220" w:type="dxa"/>
            <w:vAlign w:val="bottom"/>
          </w:tcPr>
          <w:p>
            <w:pPr>
              <w:spacing w:after="0"/>
              <w:rPr>
                <w:sz w:val="24"/>
                <w:szCs w:val="24"/>
                <w:color w:val="auto"/>
              </w:rPr>
            </w:pP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20" w:type="dxa"/>
            <w:vAlign w:val="bottom"/>
          </w:tcPr>
          <w:p>
            <w:pPr>
              <w:spacing w:after="0"/>
              <w:rPr>
                <w:sz w:val="24"/>
                <w:szCs w:val="24"/>
                <w:color w:val="auto"/>
              </w:rPr>
            </w:pPr>
          </w:p>
        </w:tc>
      </w:tr>
      <w:tr>
        <w:trPr>
          <w:trHeight w:val="23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M. Wine</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Joel M. Wine</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L. Stuck</w:t>
            </w: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and Controller (principal accounting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Kevin L. Stuck</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4"/>
        </w:trPr>
        <w:tc>
          <w:tcPr>
            <w:tcW w:w="2220" w:type="dxa"/>
            <w:vAlign w:val="bottom"/>
          </w:tcPr>
          <w:p>
            <w:pPr>
              <w:spacing w:after="0"/>
              <w:rPr>
                <w:sz w:val="24"/>
                <w:szCs w:val="24"/>
                <w:color w:val="auto"/>
              </w:rPr>
            </w:pPr>
          </w:p>
        </w:tc>
        <w:tc>
          <w:tcPr>
            <w:tcW w:w="47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10.45</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Performance Share Award Package – Executives, ROIC metric</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EXECUTIVE NOTICE OF AWARD OF PERFORMANCE SHARES</w:t>
      </w:r>
    </w:p>
    <w:p>
      <w:pPr>
        <w:spacing w:after="0" w:line="209" w:lineRule="exact"/>
        <w:rPr>
          <w:sz w:val="20"/>
          <w:szCs w:val="20"/>
          <w:color w:val="auto"/>
        </w:rPr>
      </w:pPr>
    </w:p>
    <w:p>
      <w:pPr>
        <w:jc w:val="both"/>
        <w:ind w:left="200" w:right="219"/>
        <w:spacing w:after="0" w:line="260" w:lineRule="auto"/>
        <w:rPr>
          <w:sz w:val="20"/>
          <w:szCs w:val="20"/>
          <w:color w:val="auto"/>
        </w:rPr>
      </w:pPr>
      <w:r>
        <w:rPr>
          <w:rFonts w:ascii="Times New Roman" w:cs="Times New Roman" w:eastAsia="Times New Roman" w:hAnsi="Times New Roman"/>
          <w:sz w:val="21"/>
          <w:szCs w:val="21"/>
          <w:color w:val="auto"/>
        </w:rPr>
        <w:t>The Corporation hereby awards to Participant, as of the Award Date indicated below, an award (the “Award”) of Performance Shares under the Corporation’s 2016 Incentive Compensation Plan (as amended from time to time,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AWARD SUMMARY</w:t>
            </w:r>
          </w:p>
        </w:tc>
      </w:tr>
      <w:tr>
        <w:trPr>
          <w:trHeight w:val="380"/>
        </w:trPr>
        <w:tc>
          <w:tcPr>
            <w:tcW w:w="80" w:type="dxa"/>
            <w:vAlign w:val="bottom"/>
          </w:tcPr>
          <w:p>
            <w:pPr>
              <w:spacing w:after="0"/>
              <w:rPr>
                <w:sz w:val="24"/>
                <w:szCs w:val="24"/>
                <w:color w:val="auto"/>
              </w:rPr>
            </w:pPr>
          </w:p>
        </w:tc>
        <w:tc>
          <w:tcPr>
            <w:tcW w:w="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6"/>
              </w:rPr>
              <w:t>Participant</w:t>
            </w:r>
          </w:p>
        </w:tc>
        <w:tc>
          <w:tcPr>
            <w:tcW w:w="440" w:type="dxa"/>
            <w:vAlign w:val="bottom"/>
            <w:gridSpan w:val="2"/>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425"/>
        </w:trPr>
        <w:tc>
          <w:tcPr>
            <w:tcW w:w="80" w:type="dxa"/>
            <w:vAlign w:val="bottom"/>
          </w:tcPr>
          <w:p>
            <w:pPr>
              <w:spacing w:after="0"/>
              <w:rPr>
                <w:sz w:val="24"/>
                <w:szCs w:val="24"/>
                <w:color w:val="auto"/>
              </w:rPr>
            </w:pPr>
          </w:p>
        </w:tc>
        <w:tc>
          <w:tcPr>
            <w:tcW w:w="1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5"/>
              </w:rPr>
              <w:t>Award Date:</w:t>
            </w:r>
          </w:p>
        </w:tc>
        <w:tc>
          <w:tcPr>
            <w:tcW w:w="2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72"/>
        </w:trPr>
        <w:tc>
          <w:tcPr>
            <w:tcW w:w="8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Performance</w:t>
            </w: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number of shares of Common Stock issuable pursuant to the Award shall be</w:t>
            </w:r>
          </w:p>
        </w:tc>
      </w:tr>
      <w:tr>
        <w:trPr>
          <w:trHeight w:val="237"/>
        </w:trPr>
        <w:tc>
          <w:tcPr>
            <w:tcW w:w="80" w:type="dxa"/>
            <w:vAlign w:val="bottom"/>
          </w:tcPr>
          <w:p>
            <w:pPr>
              <w:spacing w:after="0"/>
              <w:rPr>
                <w:sz w:val="20"/>
                <w:szCs w:val="20"/>
                <w:color w:val="auto"/>
              </w:rPr>
            </w:pPr>
          </w:p>
        </w:tc>
        <w:tc>
          <w:tcPr>
            <w:tcW w:w="1100" w:type="dxa"/>
            <w:vAlign w:val="bottom"/>
            <w:tcBorders>
              <w:top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rPr>
              <w:t>Shares:</w:t>
            </w:r>
          </w:p>
        </w:tc>
        <w:tc>
          <w:tcPr>
            <w:tcW w:w="280" w:type="dxa"/>
            <w:vAlign w:val="bottom"/>
          </w:tcPr>
          <w:p>
            <w:pPr>
              <w:spacing w:after="0"/>
              <w:rPr>
                <w:sz w:val="20"/>
                <w:szCs w:val="20"/>
                <w:color w:val="auto"/>
              </w:rPr>
            </w:pPr>
          </w:p>
        </w:tc>
        <w:tc>
          <w:tcPr>
            <w:tcW w:w="712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determined in accordance with the Vesting Schedule below. For purposes of the</w:t>
            </w:r>
          </w:p>
        </w:tc>
      </w:tr>
      <w:tr>
        <w:trPr>
          <w:trHeight w:val="259"/>
        </w:trPr>
        <w:tc>
          <w:tcPr>
            <w:tcW w:w="8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percentage calculations set forth in the performance vesting section of such</w:t>
            </w:r>
          </w:p>
        </w:tc>
      </w:tr>
      <w:tr>
        <w:trPr>
          <w:trHeight w:val="260"/>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xml:space="preserve">schedule, the number of shares of Common Stock to be utilized is </w:t>
            </w:r>
            <w:r>
              <w:rPr>
                <w:rFonts w:ascii="Times New Roman" w:cs="Times New Roman" w:eastAsia="Times New Roman" w:hAnsi="Times New Roman"/>
                <w:sz w:val="22"/>
                <w:szCs w:val="22"/>
                <w:b w:val="1"/>
                <w:bCs w:val="1"/>
                <w:color w:val="auto"/>
              </w:rPr>
              <w:t>__</w:t>
            </w:r>
            <w:r>
              <w:rPr>
                <w:rFonts w:ascii="Times New Roman" w:cs="Times New Roman" w:eastAsia="Times New Roman" w:hAnsi="Times New Roman"/>
                <w:sz w:val="22"/>
                <w:szCs w:val="22"/>
                <w:color w:val="auto"/>
              </w:rPr>
              <w:t xml:space="preserve"> shares (the</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“Performance Shares”). The specific number of Performance Shares set forth in</w:t>
            </w:r>
          </w:p>
        </w:tc>
      </w:tr>
      <w:tr>
        <w:trPr>
          <w:trHeight w:val="28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this paragraph shall be referred to as the “Designated Shares”.</w:t>
            </w:r>
          </w:p>
        </w:tc>
      </w:tr>
      <w:tr>
        <w:trPr>
          <w:trHeight w:val="393"/>
        </w:trPr>
        <w:tc>
          <w:tcPr>
            <w:tcW w:w="8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Vesting</w:t>
            </w: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number of shares of Common Stock which may actually vest and become</w:t>
            </w:r>
          </w:p>
        </w:tc>
      </w:tr>
      <w:tr>
        <w:trPr>
          <w:trHeight w:val="20"/>
        </w:trPr>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138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rPr>
              <w:t>Schedule:</w:t>
            </w:r>
          </w:p>
        </w:tc>
        <w:tc>
          <w:tcPr>
            <w:tcW w:w="712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issuable pursuant to the Award shall be determined pursuant to a two-step</w:t>
            </w:r>
          </w:p>
        </w:tc>
      </w:tr>
      <w:tr>
        <w:trPr>
          <w:trHeight w:val="263"/>
        </w:trPr>
        <w:tc>
          <w:tcPr>
            <w:tcW w:w="8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process: (i) first there shall be calculated the maximum number of shares of</w:t>
            </w:r>
          </w:p>
        </w:tc>
      </w:tr>
      <w:tr>
        <w:trPr>
          <w:trHeight w:val="256"/>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Common Stock in which Participant can vest under the performance vesting</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below based upon the actual level at which the Performance Goal</w:t>
            </w:r>
          </w:p>
        </w:tc>
      </w:tr>
      <w:tr>
        <w:trPr>
          <w:trHeight w:val="256"/>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specified on attached Schedule I is attained and (ii) then the number of shares</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calculated under clause (i) in which Participant may actually vest shall be</w:t>
            </w:r>
          </w:p>
        </w:tc>
      </w:tr>
      <w:tr>
        <w:trPr>
          <w:trHeight w:val="256"/>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determined on the basis of his or her satisfaction of the applicable Service vesting</w:t>
            </w:r>
          </w:p>
        </w:tc>
      </w:tr>
      <w:tr>
        <w:trPr>
          <w:trHeight w:val="28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requirements set forth in the form Performance Share Award Agreement.</w:t>
            </w:r>
          </w:p>
        </w:tc>
      </w:tr>
      <w:tr>
        <w:trPr>
          <w:trHeight w:val="447"/>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rPr>
              <w:t>Performance Vesting</w:t>
            </w:r>
            <w:r>
              <w:rPr>
                <w:rFonts w:ascii="Times New Roman" w:cs="Times New Roman" w:eastAsia="Times New Roman" w:hAnsi="Times New Roman"/>
                <w:sz w:val="22"/>
                <w:szCs w:val="22"/>
                <w:color w:val="auto"/>
              </w:rPr>
              <w:t>: Attached Schedule I specifies the Performance Goal and</w:t>
            </w:r>
          </w:p>
        </w:tc>
      </w:tr>
      <w:tr>
        <w:trPr>
          <w:trHeight w:val="28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Performance Period established for the Award.</w:t>
            </w:r>
          </w:p>
        </w:tc>
      </w:tr>
      <w:tr>
        <w:trPr>
          <w:trHeight w:val="420"/>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Performance Goal: There are three designated levels of attainment set forth in</w:t>
            </w:r>
          </w:p>
        </w:tc>
      </w:tr>
      <w:tr>
        <w:trPr>
          <w:trHeight w:val="20"/>
        </w:trPr>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I for the Performance Goal: Threshold, Target and Extraordinary.</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Following the completion of the Performance Period, the Plan Administrator shall</w:t>
            </w:r>
          </w:p>
        </w:tc>
      </w:tr>
      <w:tr>
        <w:trPr>
          <w:trHeight w:val="28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determine and certify the actual level of attainment</w:t>
            </w:r>
          </w:p>
        </w:tc>
      </w:tr>
      <w:tr>
        <w:trPr>
          <w:trHeight w:val="656"/>
        </w:trPr>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88" w:name="page89"/>
    <w:bookmarkEnd w:id="88"/>
    <w:p>
      <w:pPr>
        <w:jc w:val="both"/>
        <w:ind w:left="1680" w:right="219"/>
        <w:spacing w:after="0" w:line="246" w:lineRule="auto"/>
        <w:rPr>
          <w:sz w:val="20"/>
          <w:szCs w:val="20"/>
          <w:color w:val="auto"/>
        </w:rPr>
      </w:pPr>
      <w:r>
        <w:rPr>
          <w:rFonts w:ascii="Times New Roman" w:cs="Times New Roman" w:eastAsia="Times New Roman" w:hAnsi="Times New Roman"/>
          <w:sz w:val="22"/>
          <w:szCs w:val="22"/>
          <w:color w:val="auto"/>
        </w:rPr>
        <w:t>for the Performance Goal and shall then measure that level of attainment against the Threshold, Target and Extraordinary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initially be determined by applying the corresponding percentage below for that level of attainment to the number of Designated Shares set forth above:</w:t>
      </w:r>
    </w:p>
    <w:p>
      <w:pPr>
        <w:spacing w:after="0" w:line="187" w:lineRule="exact"/>
        <w:rPr>
          <w:sz w:val="20"/>
          <w:szCs w:val="20"/>
          <w:color w:val="auto"/>
        </w:rPr>
      </w:pPr>
    </w:p>
    <w:tbl>
      <w:tblPr>
        <w:tblLayout w:type="fixed"/>
        <w:tblInd w:w="1680" w:type="dxa"/>
        <w:tblCellMar>
          <w:top w:w="0" w:type="dxa"/>
          <w:left w:w="0" w:type="dxa"/>
          <w:bottom w:w="0" w:type="dxa"/>
          <w:right w:w="0" w:type="dxa"/>
        </w:tblCellMar>
      </w:tblPr>
      <w:tr>
        <w:trPr>
          <w:trHeight w:val="286"/>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Level of Attainment</w:t>
            </w:r>
          </w:p>
        </w:tc>
        <w:tc>
          <w:tcPr>
            <w:tcW w:w="38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Percentage of Performance Shares</w:t>
            </w:r>
          </w:p>
        </w:tc>
      </w:tr>
      <w:tr>
        <w:trPr>
          <w:trHeight w:val="251"/>
        </w:trPr>
        <w:tc>
          <w:tcPr>
            <w:tcW w:w="20" w:type="dxa"/>
            <w:vAlign w:val="bottom"/>
          </w:tcPr>
          <w:p>
            <w:pPr>
              <w:spacing w:after="0"/>
              <w:rPr>
                <w:sz w:val="21"/>
                <w:szCs w:val="21"/>
                <w:color w:val="auto"/>
              </w:rPr>
            </w:pPr>
          </w:p>
        </w:tc>
        <w:tc>
          <w:tcPr>
            <w:tcW w:w="304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Below the Threshold Level:</w:t>
            </w:r>
          </w:p>
        </w:tc>
        <w:tc>
          <w:tcPr>
            <w:tcW w:w="260" w:type="dxa"/>
            <w:vAlign w:val="bottom"/>
          </w:tcPr>
          <w:p>
            <w:pPr>
              <w:spacing w:after="0"/>
              <w:rPr>
                <w:sz w:val="21"/>
                <w:szCs w:val="21"/>
                <w:color w:val="auto"/>
              </w:rPr>
            </w:pPr>
          </w:p>
        </w:tc>
        <w:tc>
          <w:tcPr>
            <w:tcW w:w="3800" w:type="dxa"/>
            <w:vAlign w:val="bottom"/>
            <w:tcBorders>
              <w:top w:val="single" w:sz="8" w:color="auto"/>
            </w:tcBorders>
          </w:tcPr>
          <w:p>
            <w:pPr>
              <w:jc w:val="center"/>
              <w:spacing w:after="0" w:line="251" w:lineRule="exact"/>
              <w:rPr>
                <w:sz w:val="20"/>
                <w:szCs w:val="20"/>
                <w:color w:val="auto"/>
              </w:rPr>
            </w:pPr>
            <w:r>
              <w:rPr>
                <w:rFonts w:ascii="Times New Roman" w:cs="Times New Roman" w:eastAsia="Times New Roman" w:hAnsi="Times New Roman"/>
                <w:sz w:val="22"/>
                <w:szCs w:val="22"/>
                <w:color w:val="auto"/>
                <w:w w:val="95"/>
              </w:rPr>
              <w:t>0%</w:t>
            </w:r>
          </w:p>
        </w:tc>
      </w:tr>
      <w:tr>
        <w:trPr>
          <w:trHeight w:val="270"/>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the Threshold Level:</w:t>
            </w:r>
          </w:p>
        </w:tc>
        <w:tc>
          <w:tcPr>
            <w:tcW w:w="38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r>
      <w:tr>
        <w:trPr>
          <w:trHeight w:val="270"/>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the Target Level:</w:t>
            </w:r>
          </w:p>
        </w:tc>
        <w:tc>
          <w:tcPr>
            <w:tcW w:w="38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100%</w:t>
            </w:r>
          </w:p>
        </w:tc>
      </w:tr>
      <w:tr>
        <w:trPr>
          <w:trHeight w:val="282"/>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the Extraordinary Level:</w:t>
            </w:r>
          </w:p>
        </w:tc>
        <w:tc>
          <w:tcPr>
            <w:tcW w:w="38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250%</w:t>
            </w:r>
          </w:p>
        </w:tc>
      </w:tr>
    </w:tbl>
    <w:p>
      <w:pPr>
        <w:spacing w:after="0" w:line="244" w:lineRule="exact"/>
        <w:rPr>
          <w:sz w:val="20"/>
          <w:szCs w:val="20"/>
          <w:color w:val="auto"/>
        </w:rPr>
      </w:pPr>
    </w:p>
    <w:p>
      <w:pPr>
        <w:jc w:val="both"/>
        <w:ind w:left="1680" w:right="219"/>
        <w:spacing w:after="0" w:line="256" w:lineRule="auto"/>
        <w:rPr>
          <w:sz w:val="20"/>
          <w:szCs w:val="20"/>
          <w:color w:val="auto"/>
        </w:rPr>
      </w:pPr>
      <w:r>
        <w:rPr>
          <w:rFonts w:ascii="Times New Roman" w:cs="Times New Roman" w:eastAsia="Times New Roman" w:hAnsi="Times New Roman"/>
          <w:sz w:val="22"/>
          <w:szCs w:val="22"/>
          <w:color w:val="auto"/>
        </w:rPr>
        <w:t>To the extent the actual level of attainment of the Performance Goal is at a point between the Threshold and Target Levels, the maximum number of shares of Common Stock in which Participant can vest shall be pro-rated between the two points on a straight line basis.</w:t>
      </w:r>
    </w:p>
    <w:p>
      <w:pPr>
        <w:spacing w:after="0" w:line="136" w:lineRule="exact"/>
        <w:rPr>
          <w:sz w:val="20"/>
          <w:szCs w:val="20"/>
          <w:color w:val="auto"/>
        </w:rPr>
      </w:pPr>
    </w:p>
    <w:p>
      <w:pPr>
        <w:jc w:val="both"/>
        <w:ind w:left="1680" w:right="219"/>
        <w:spacing w:after="0" w:line="252" w:lineRule="auto"/>
        <w:rPr>
          <w:sz w:val="20"/>
          <w:szCs w:val="20"/>
          <w:color w:val="auto"/>
        </w:rPr>
      </w:pPr>
      <w:r>
        <w:rPr>
          <w:rFonts w:ascii="Times New Roman" w:cs="Times New Roman" w:eastAsia="Times New Roman" w:hAnsi="Times New Roman"/>
          <w:sz w:val="22"/>
          <w:szCs w:val="22"/>
          <w:color w:val="auto"/>
        </w:rPr>
        <w:t>To the extent the actual level of attainment of a Performance Goal is at a point between the Target and Extraordinary Levels, the maximum number of shares of Common Stock in which Participant can vest shall be pro-rated between the two points on a straight line basis.</w:t>
      </w:r>
    </w:p>
    <w:p>
      <w:pPr>
        <w:spacing w:after="0" w:line="139" w:lineRule="exact"/>
        <w:rPr>
          <w:sz w:val="20"/>
          <w:szCs w:val="20"/>
          <w:color w:val="auto"/>
        </w:rPr>
      </w:pPr>
    </w:p>
    <w:p>
      <w:pPr>
        <w:jc w:val="both"/>
        <w:ind w:left="1680" w:right="219"/>
        <w:spacing w:after="0" w:line="253" w:lineRule="auto"/>
        <w:rPr>
          <w:sz w:val="20"/>
          <w:szCs w:val="20"/>
          <w:color w:val="auto"/>
        </w:rPr>
      </w:pPr>
      <w:r>
        <w:rPr>
          <w:rFonts w:ascii="Times New Roman" w:cs="Times New Roman" w:eastAsia="Times New Roman" w:hAnsi="Times New Roman"/>
          <w:sz w:val="22"/>
          <w:szCs w:val="22"/>
          <w:u w:val="single" w:color="auto"/>
          <w:color w:val="auto"/>
        </w:rPr>
        <w:t>Performance-Qualified Shares</w:t>
      </w:r>
      <w:r>
        <w:rPr>
          <w:rFonts w:ascii="Times New Roman" w:cs="Times New Roman" w:eastAsia="Times New Roman" w:hAnsi="Times New Roman"/>
          <w:sz w:val="22"/>
          <w:szCs w:val="22"/>
          <w:color w:val="auto"/>
        </w:rPr>
        <w:t>: The maximum number of shares of Common Stock in which Participant can vest on the basis of the foregoing performance measures shall be hereinafter designated the “Performance-Qualified Shares” and shall in no event exceed in the aggregate 250% of the number of Designated Shares set forth in the Number of Shares Subject to Award section above.</w:t>
      </w:r>
    </w:p>
    <w:p>
      <w:pPr>
        <w:spacing w:after="0" w:line="132" w:lineRule="exact"/>
        <w:rPr>
          <w:sz w:val="20"/>
          <w:szCs w:val="20"/>
          <w:color w:val="auto"/>
        </w:rPr>
      </w:pPr>
    </w:p>
    <w:p>
      <w:pPr>
        <w:jc w:val="both"/>
        <w:ind w:left="1680" w:right="219"/>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Service Vesting. </w:t>
      </w:r>
      <w:r>
        <w:rPr>
          <w:rFonts w:ascii="Times New Roman" w:cs="Times New Roman" w:eastAsia="Times New Roman" w:hAnsi="Times New Roman"/>
          <w:sz w:val="22"/>
          <w:szCs w:val="22"/>
          <w:color w:val="auto"/>
        </w:rPr>
        <w:t>The number of Performance-Qualified Shares in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Participant actually vests shall be determined on the basis of his or her satisfaction of the Service-vesting requirements set forth in Paragraph 3 of the form Performance Share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“Award Agreement”).</w:t>
      </w:r>
    </w:p>
    <w:p>
      <w:pPr>
        <w:spacing w:after="0" w:line="195"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21"/>
          <w:szCs w:val="21"/>
          <w:color w:val="auto"/>
        </w:rPr>
        <w:t xml:space="preserve"> Street, Oakland, California 94607. Participant agrees to electronic delivery of any and all communications relating to the Award, the Award Agreement or the Plan,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9" w:name="page90"/>
    <w:bookmarkEnd w:id="89"/>
    <w:p>
      <w:pPr>
        <w:ind w:left="200" w:right="219"/>
        <w:spacing w:after="0" w:line="271" w:lineRule="auto"/>
        <w:rPr>
          <w:sz w:val="20"/>
          <w:szCs w:val="20"/>
          <w:color w:val="auto"/>
        </w:rPr>
      </w:pPr>
      <w:r>
        <w:rPr>
          <w:rFonts w:ascii="Times New Roman" w:cs="Times New Roman" w:eastAsia="Times New Roman" w:hAnsi="Times New Roman"/>
          <w:sz w:val="22"/>
          <w:szCs w:val="22"/>
          <w:color w:val="auto"/>
        </w:rPr>
        <w:t>documentation of the Award, the official prospectus for the Plan, and any and all other documents and materials relating to the Award, the Award Agreement or the Plan.</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Coverage under Recoupment Policy</w:t>
      </w:r>
      <w:r>
        <w:rPr>
          <w:rFonts w:ascii="Times New Roman" w:cs="Times New Roman" w:eastAsia="Times New Roman" w:hAnsi="Times New Roman"/>
          <w:sz w:val="22"/>
          <w:szCs w:val="22"/>
          <w:color w:val="auto"/>
        </w:rPr>
        <w:t>. Participant hereby agrees that:</w:t>
      </w:r>
    </w:p>
    <w:p>
      <w:pPr>
        <w:spacing w:after="0" w:line="220" w:lineRule="exact"/>
        <w:rPr>
          <w:sz w:val="20"/>
          <w:szCs w:val="20"/>
          <w:color w:val="auto"/>
        </w:rPr>
      </w:pPr>
    </w:p>
    <w:p>
      <w:pPr>
        <w:jc w:val="both"/>
        <w:ind w:left="200" w:right="219" w:firstLine="1305"/>
        <w:spacing w:after="0" w:line="257"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subject to the Matson, Inc. Policy Regarding Recoupment of Certain Compensation, as it may be amended from time to time, the terms of which are hereby incorporated herein by reference; and</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incentive compensation that is paid or granted to, or received by, Participant under the Award shall be subject to recovery and recoupment pursuant to the terms of such policy.</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 copy of the recoupment policy is available upon request made to the Corporate Secretary.</w:t>
      </w:r>
    </w:p>
    <w:p>
      <w:pPr>
        <w:spacing w:after="0" w:line="220"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2"/>
          <w:szCs w:val="22"/>
          <w:u w:val="single" w:color="auto"/>
          <w:color w:val="auto"/>
        </w:rPr>
        <w:t>Continuing Consent</w:t>
      </w:r>
      <w:r>
        <w:rPr>
          <w:rFonts w:ascii="Times New Roman" w:cs="Times New Roman" w:eastAsia="Times New Roman" w:hAnsi="Times New Roman"/>
          <w:sz w:val="22"/>
          <w:szCs w:val="22"/>
          <w:color w:val="auto"/>
        </w:rPr>
        <w:t>.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Award Agreement, and Participant hereby understands and agrees to those terms and conditions for each such subsequent Performance Shares award that may be made to him or her under the Plan and hereby agrees to be bound by those terms and conditions for any such Performance Share awards, without any further consent or action required on his or her part at the time or times when those awards may be made. However, Participant may, at any time he or she holds an outstanding Performance Share award under the Plan, request a written copy of the Award Agreement from the Corporation by contacting the Corporation’s Human Resources Department at the Corporation’s offices at 555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xml:space="preserve"> Street, Oakland, California 94607.</w:t>
      </w:r>
    </w:p>
    <w:p>
      <w:pPr>
        <w:spacing w:after="0" w:line="45"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0" w:name="page91"/>
    <w:bookmarkEnd w:id="90"/>
    <w:p>
      <w:pPr>
        <w:ind w:left="200" w:right="219"/>
        <w:spacing w:after="0" w:line="271" w:lineRule="auto"/>
        <w:rPr>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capitalized terms in this Notice shall have the meaning assigned to them in this Notice or in the Award Agreement.</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-13970</wp:posOffset>
            </wp:positionV>
            <wp:extent cx="6858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2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10795</wp:posOffset>
            </wp:positionV>
            <wp:extent cx="24345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10795</wp:posOffset>
            </wp:positionV>
            <wp:extent cx="24345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-157480</wp:posOffset>
            </wp:positionV>
            <wp:extent cx="24345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1" w:name="page92"/>
    <w:bookmarkEnd w:id="91"/>
    <w:p>
      <w:pPr>
        <w:ind w:left="384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PERFORMANCE PERIOD, PERFORMANCE GOAL</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LEVELS OF ATTAINMENT</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PERFORMANCE PERIOD</w:t>
      </w:r>
    </w:p>
    <w:p>
      <w:pPr>
        <w:spacing w:after="0" w:line="226" w:lineRule="exact"/>
        <w:rPr>
          <w:sz w:val="20"/>
          <w:szCs w:val="20"/>
          <w:color w:val="auto"/>
        </w:rPr>
      </w:pPr>
    </w:p>
    <w:p>
      <w:pPr>
        <w:jc w:val="both"/>
        <w:ind w:left="200" w:right="239" w:firstLine="1296"/>
        <w:spacing w:after="0" w:line="271" w:lineRule="auto"/>
        <w:rPr>
          <w:sz w:val="20"/>
          <w:szCs w:val="20"/>
          <w:color w:val="auto"/>
        </w:rPr>
      </w:pPr>
      <w:r>
        <w:rPr>
          <w:rFonts w:ascii="Times New Roman" w:cs="Times New Roman" w:eastAsia="Times New Roman" w:hAnsi="Times New Roman"/>
          <w:sz w:val="22"/>
          <w:szCs w:val="22"/>
          <w:color w:val="auto"/>
        </w:rPr>
        <w:t>The Performance Period shall be the three (3)-year period beginning January 1, 20__ and ending December 31, 20__.</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PERFORMANCE GOAL – RETURN ON INVESTED CAPITAL</w:t>
      </w:r>
    </w:p>
    <w:p>
      <w:pPr>
        <w:spacing w:after="0" w:line="226" w:lineRule="exact"/>
        <w:rPr>
          <w:sz w:val="20"/>
          <w:szCs w:val="20"/>
          <w:color w:val="auto"/>
        </w:rPr>
      </w:pPr>
    </w:p>
    <w:p>
      <w:pPr>
        <w:jc w:val="both"/>
        <w:ind w:left="200" w:right="219" w:firstLine="1296"/>
        <w:spacing w:after="0" w:line="252" w:lineRule="auto"/>
        <w:rPr>
          <w:sz w:val="20"/>
          <w:szCs w:val="20"/>
          <w:color w:val="auto"/>
        </w:rPr>
      </w:pPr>
      <w:r>
        <w:rPr>
          <w:rFonts w:ascii="Times New Roman" w:cs="Times New Roman" w:eastAsia="Times New Roman" w:hAnsi="Times New Roman"/>
          <w:sz w:val="22"/>
          <w:szCs w:val="22"/>
          <w:color w:val="auto"/>
        </w:rPr>
        <w:t>The performance vesting requirement for this Award shall be tied to the level of attainment of the Average Adjusted ROIC for the Performance Period. The required levels of attainment of Average Adjusted ROIC for the Performance Period at the Threshold, Target and Extraordinary Levels are as follows:</w:t>
      </w:r>
    </w:p>
    <w:p>
      <w:pPr>
        <w:spacing w:after="0" w:line="170"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Threshold Level: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0"/>
        </w:trPr>
        <w:tc>
          <w:tcPr>
            <w:tcW w:w="2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20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Target Level:</w:t>
            </w:r>
          </w:p>
        </w:tc>
        <w:tc>
          <w:tcPr>
            <w:tcW w:w="46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Extraordinary</w:t>
            </w:r>
          </w:p>
        </w:tc>
        <w:tc>
          <w:tcPr>
            <w:tcW w:w="2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2040" w:type="dxa"/>
            <w:vAlign w:val="bottom"/>
          </w:tcPr>
          <w:p>
            <w:pPr>
              <w:ind w:left="140"/>
              <w:spacing w:after="0" w:line="230" w:lineRule="exact"/>
              <w:rPr>
                <w:sz w:val="20"/>
                <w:szCs w:val="20"/>
                <w:color w:val="auto"/>
              </w:rPr>
            </w:pPr>
            <w:r>
              <w:rPr>
                <w:rFonts w:ascii="Times New Roman" w:cs="Times New Roman" w:eastAsia="Times New Roman" w:hAnsi="Times New Roman"/>
                <w:sz w:val="22"/>
                <w:szCs w:val="22"/>
                <w:color w:val="auto"/>
              </w:rPr>
              <w:t>Level</w:t>
            </w:r>
          </w:p>
        </w:tc>
        <w:tc>
          <w:tcPr>
            <w:tcW w:w="4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2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2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“Average Adjusted ROIC” shall be the percentage, rounded down to the nearest tenth of a percent, determined as follows: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Annual Adjusted ROIC for 20__ +Annual Adjusted ROIC for 20__</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+Annual Adjusted ROIC for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-3810</wp:posOffset>
            </wp:positionV>
            <wp:extent cx="42430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32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1"/>
          <w:szCs w:val="21"/>
          <w:color w:val="auto"/>
        </w:rPr>
        <w:t>“Annual Adjusted ROIC” for a calendar year shall be the percentage determined as follows:</w:t>
      </w:r>
    </w:p>
    <w:p>
      <w:pPr>
        <w:spacing w:after="0" w:line="28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Adjusted Net Income After Tax + After Tax Interest</w:t>
      </w:r>
    </w:p>
    <w:p>
      <w:pPr>
        <w:spacing w:after="0" w:line="28" w:lineRule="exact"/>
        <w:rPr>
          <w:sz w:val="20"/>
          <w:szCs w:val="20"/>
          <w:color w:val="auto"/>
        </w:rPr>
      </w:pPr>
    </w:p>
    <w:p>
      <w:pPr>
        <w:ind w:left="3720"/>
        <w:spacing w:after="0"/>
        <w:tabs>
          <w:tab w:leader="none" w:pos="6660" w:val="left"/>
        </w:tabs>
        <w:rPr>
          <w:sz w:val="20"/>
          <w:szCs w:val="20"/>
          <w:color w:val="auto"/>
        </w:rPr>
      </w:pPr>
      <w:r>
        <w:rPr>
          <w:rFonts w:ascii="Times New Roman" w:cs="Times New Roman" w:eastAsia="Times New Roman" w:hAnsi="Times New Roman"/>
          <w:sz w:val="22"/>
          <w:szCs w:val="22"/>
          <w:color w:val="auto"/>
        </w:rPr>
        <w:t>Expense</w:t>
      </w:r>
      <w:r>
        <w:rPr>
          <w:sz w:val="20"/>
          <w:szCs w:val="20"/>
          <w:color w:val="auto"/>
        </w:rPr>
        <w:tab/>
      </w:r>
      <w:r>
        <w:rPr>
          <w:rFonts w:ascii="Times New Roman" w:cs="Times New Roman" w:eastAsia="Times New Roman" w:hAnsi="Times New Roman"/>
          <w:sz w:val="22"/>
          <w:szCs w:val="22"/>
          <w:color w:val="auto"/>
        </w:rPr>
        <w:t>x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-3810</wp:posOffset>
            </wp:positionV>
            <wp:extent cx="30943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22"/>
          <w:szCs w:val="22"/>
          <w:color w:val="auto"/>
        </w:rPr>
        <w:t>Average Debt + Average Total Shareholders’ Equity</w:t>
      </w:r>
    </w:p>
    <w:p>
      <w:pPr>
        <w:spacing w:after="0" w:line="275" w:lineRule="exact"/>
        <w:rPr>
          <w:sz w:val="20"/>
          <w:szCs w:val="20"/>
          <w:color w:val="auto"/>
        </w:rPr>
      </w:pPr>
    </w:p>
    <w:p>
      <w:pPr>
        <w:jc w:val="both"/>
        <w:ind w:left="200" w:right="219"/>
        <w:spacing w:after="0" w:line="260" w:lineRule="auto"/>
        <w:rPr>
          <w:sz w:val="20"/>
          <w:szCs w:val="20"/>
          <w:color w:val="auto"/>
        </w:rPr>
      </w:pPr>
      <w:r>
        <w:rPr>
          <w:rFonts w:ascii="Times New Roman" w:cs="Times New Roman" w:eastAsia="Times New Roman" w:hAnsi="Times New Roman"/>
          <w:sz w:val="21"/>
          <w:szCs w:val="21"/>
          <w:color w:val="auto"/>
        </w:rPr>
        <w:t>Annual Adjusted ROIC for a calendar year shall be calculated on a consolidated basis with the Corporation’s consolidated subsidiaries for U.S. financial reporting purposes and shall be determined on the basis of the Corporation’s audited financial statements for such year prepared in accordance with United States generally accepted accounting principles, subject to any adjustments as determined by the Plan Administrator that are needed to accurately reflect the performance of the Corporation (e.g., because of changes in accounting rules, extraordinary gains from the sale of the Corporation’s assets, unforeseen extraordinary events affecting the Corporation or any of its business operations, or other similar or dissimilar circumstances occurring during the Performance Period that may or may not have been beyond the control of the Corporation).</w:t>
      </w:r>
    </w:p>
    <w:p>
      <w:pPr>
        <w:spacing w:after="0" w:line="170" w:lineRule="exact"/>
        <w:rPr>
          <w:sz w:val="20"/>
          <w:szCs w:val="20"/>
          <w:color w:val="auto"/>
        </w:rPr>
      </w:pPr>
    </w:p>
    <w:p>
      <w:pPr>
        <w:jc w:val="both"/>
        <w:ind w:left="200" w:right="239"/>
        <w:spacing w:after="0" w:line="271" w:lineRule="auto"/>
        <w:rPr>
          <w:sz w:val="20"/>
          <w:szCs w:val="20"/>
          <w:color w:val="auto"/>
        </w:rPr>
      </w:pPr>
      <w:r>
        <w:rPr>
          <w:rFonts w:ascii="Times New Roman" w:cs="Times New Roman" w:eastAsia="Times New Roman" w:hAnsi="Times New Roman"/>
          <w:sz w:val="22"/>
          <w:szCs w:val="22"/>
          <w:color w:val="auto"/>
        </w:rPr>
        <w:t>“Adjusted Net Income” for a calendar year means Net Income for the year minus tax-effected interest income on deposits in the Capital Construction Fund.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92" w:name="page93"/>
    <w:bookmarkEnd w:id="92"/>
    <w:p>
      <w:pPr>
        <w:jc w:val="both"/>
        <w:ind w:left="200" w:right="239"/>
        <w:spacing w:after="0" w:line="271" w:lineRule="auto"/>
        <w:rPr>
          <w:sz w:val="20"/>
          <w:szCs w:val="20"/>
          <w:color w:val="auto"/>
        </w:rPr>
      </w:pPr>
      <w:r>
        <w:rPr>
          <w:rFonts w:ascii="Times New Roman" w:cs="Times New Roman" w:eastAsia="Times New Roman" w:hAnsi="Times New Roman"/>
          <w:sz w:val="22"/>
          <w:szCs w:val="22"/>
          <w:color w:val="auto"/>
        </w:rPr>
        <w:t>“Average Debt” for a calendar year means the average of the Debt at the beginning of the year and Debt at the end of the year.</w:t>
      </w:r>
    </w:p>
    <w:p>
      <w:pPr>
        <w:spacing w:after="0" w:line="225"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“Debt” means long-term debt plus notes payable and current portion of the long term debt, as determined in accordance with United States generally accepted accounting principles, and is intended to include potential convertible debt and other hybrid debt issued in the future.</w:t>
      </w:r>
    </w:p>
    <w:p>
      <w:pPr>
        <w:spacing w:after="0" w:line="227"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“Adjusted Total Shareholders’ Equity” for a calendar year means the year-end balance of Shareholders’ Equity minus the year-end balance of construction-in-progress within Property, Plant &amp; Equipment, and minus the year-end balance of the Capital Construction Fund.</w:t>
      </w:r>
    </w:p>
    <w:p>
      <w:pPr>
        <w:spacing w:after="0" w:line="240"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Unless otherwise defined above or in the Notice of Award of Performance Shares to which this Schedule is attached, capitalized terms used in this Schedule shall be construed in accordance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SHARE AWARD AGREEMENT</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78" w:lineRule="exact"/>
        <w:rPr>
          <w:sz w:val="20"/>
          <w:szCs w:val="20"/>
          <w:color w:val="auto"/>
        </w:rPr>
      </w:pPr>
    </w:p>
    <w:p>
      <w:pPr>
        <w:jc w:val="both"/>
        <w:ind w:left="200" w:right="219" w:firstLine="1305"/>
        <w:spacing w:after="0" w:line="248" w:lineRule="auto"/>
        <w:tabs>
          <w:tab w:leader="none" w:pos="21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79"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capitalized terms in this Agreement shall have the meaning assigned to them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or if not defined in that appendix, as defined in the Plan.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it is hereby agreed as follows:</w:t>
      </w:r>
    </w:p>
    <w:p>
      <w:pPr>
        <w:spacing w:after="0" w:line="220" w:lineRule="exact"/>
        <w:rPr>
          <w:sz w:val="20"/>
          <w:szCs w:val="20"/>
          <w:color w:val="auto"/>
        </w:rPr>
      </w:pPr>
    </w:p>
    <w:p>
      <w:pPr>
        <w:jc w:val="both"/>
        <w:ind w:left="200" w:right="219" w:firstLine="1305"/>
        <w:spacing w:after="0" w:line="254" w:lineRule="auto"/>
        <w:tabs>
          <w:tab w:leader="none" w:pos="21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Performance Shares</w:t>
      </w:r>
      <w:r>
        <w:rPr>
          <w:rFonts w:ascii="Times New Roman" w:cs="Times New Roman" w:eastAsia="Times New Roman" w:hAnsi="Times New Roman"/>
          <w:sz w:val="22"/>
          <w:szCs w:val="22"/>
          <w:color w:val="auto"/>
        </w:rPr>
        <w:t>. The Corporation hereby awards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as of the 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Transferability</w:t>
      </w:r>
      <w:r>
        <w:rPr>
          <w:rFonts w:ascii="Times New Roman" w:cs="Times New Roman" w:eastAsia="Times New Roman" w:hAnsi="Times New Roman"/>
          <w:sz w:val="22"/>
          <w:szCs w:val="22"/>
          <w:color w:val="auto"/>
        </w:rPr>
        <w:t>. Prior to the actual issuance of the Shares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 hereunder, Participant may not transfer any interest in the Performance Shares subject to the Award or the underlying Shares or pledge or otherwise hedge the sale of those Performance Shares or underlying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94" w:name="page95"/>
    <w:bookmarkEnd w:id="94"/>
    <w:p>
      <w:pPr>
        <w:jc w:val="both"/>
        <w:ind w:left="200" w:right="219" w:firstLine="1305"/>
        <w:spacing w:after="0" w:line="247"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Requirements</w:t>
      </w:r>
      <w:r>
        <w:rPr>
          <w:rFonts w:ascii="Times New Roman" w:cs="Times New Roman" w:eastAsia="Times New Roman" w:hAnsi="Times New Roman"/>
          <w:sz w:val="22"/>
          <w:szCs w:val="22"/>
          <w:color w:val="auto"/>
        </w:rPr>
        <w:t>. The actual number of Shares that may vest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issuable pursuant to the Performance Shares shall be determined pursuant to a two-step process: (i) first there shall be calculated the maximum number of Shares in which Participant can 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62" w:lineRule="auto"/>
        <w:tabs>
          <w:tab w:leader="none" w:pos="279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Performance Vesting</w:t>
      </w:r>
      <w:r>
        <w:rPr>
          <w:rFonts w:ascii="Times New Roman" w:cs="Times New Roman" w:eastAsia="Times New Roman" w:hAnsi="Times New Roman"/>
          <w:sz w:val="21"/>
          <w:szCs w:val="21"/>
          <w:color w:val="auto"/>
        </w:rPr>
        <w:t>: Following the completion of the Performance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Period, the 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 </w:t>
      </w:r>
      <w:r>
        <w:rPr>
          <w:rFonts w:ascii="Times New Roman" w:cs="Times New Roman" w:eastAsia="Times New Roman" w:hAnsi="Times New Roman"/>
          <w:sz w:val="21"/>
          <w:szCs w:val="21"/>
          <w:u w:val="single" w:color="auto"/>
          <w:color w:val="auto"/>
        </w:rPr>
        <w:t>Appendix B</w:t>
      </w:r>
      <w:r>
        <w:rPr>
          <w:rFonts w:ascii="Times New Roman" w:cs="Times New Roman" w:eastAsia="Times New Roman" w:hAnsi="Times New Roman"/>
          <w:sz w:val="21"/>
          <w:szCs w:val="21"/>
          <w:color w:val="auto"/>
        </w:rPr>
        <w:t xml:space="preserve"> attached to this Agreement sets forth examples illustrating the calculation of the number of Shares in which the Participant may vest based upon hypothetical levels of Performance Goal attainment and service vesting requirements.</w:t>
      </w:r>
    </w:p>
    <w:p>
      <w:pPr>
        <w:spacing w:after="0" w:line="166" w:lineRule="exact"/>
        <w:rPr>
          <w:rFonts w:ascii="Times New Roman" w:cs="Times New Roman" w:eastAsia="Times New Roman" w:hAnsi="Times New Roman"/>
          <w:sz w:val="21"/>
          <w:szCs w:val="21"/>
          <w:color w:val="auto"/>
        </w:rPr>
      </w:pPr>
    </w:p>
    <w:p>
      <w:pPr>
        <w:jc w:val="both"/>
        <w:ind w:left="200" w:right="219" w:firstLine="1953"/>
        <w:spacing w:after="0" w:line="266" w:lineRule="auto"/>
        <w:tabs>
          <w:tab w:leader="none" w:pos="279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Service Vesting</w:t>
      </w:r>
      <w:r>
        <w:rPr>
          <w:rFonts w:ascii="Times New Roman" w:cs="Times New Roman" w:eastAsia="Times New Roman" w:hAnsi="Times New Roman"/>
          <w:sz w:val="22"/>
          <w:szCs w:val="22"/>
          <w:color w:val="auto"/>
        </w:rPr>
        <w:t>: The Performance-Qualified Shares so determined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represent the maximum number of Shares in which Participant can vest hereunder. The actual number of Shares in which Participant shall vest shall be determined as follows:</w:t>
      </w:r>
    </w:p>
    <w:p>
      <w:pPr>
        <w:spacing w:after="0" w:line="163" w:lineRule="exact"/>
        <w:rPr>
          <w:rFonts w:ascii="Times New Roman" w:cs="Times New Roman" w:eastAsia="Times New Roman" w:hAnsi="Times New Roman"/>
          <w:sz w:val="22"/>
          <w:szCs w:val="22"/>
          <w:color w:val="auto"/>
        </w:rPr>
      </w:pPr>
    </w:p>
    <w:p>
      <w:pPr>
        <w:jc w:val="both"/>
        <w:ind w:left="860" w:right="879" w:firstLine="1941"/>
        <w:spacing w:after="0" w:line="247" w:lineRule="auto"/>
        <w:tabs>
          <w:tab w:leader="none" w:pos="3452"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 continues in Service through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w:t>
      </w:r>
      <w:r>
        <w:rPr>
          <w:rFonts w:ascii="Times New Roman" w:cs="Times New Roman" w:eastAsia="Times New Roman" w:hAnsi="Times New Roman"/>
          <w:sz w:val="22"/>
          <w:szCs w:val="22"/>
          <w:u w:val="single" w:color="auto"/>
          <w:color w:val="auto"/>
        </w:rPr>
        <w:t>provide</w:t>
      </w:r>
      <w:r>
        <w:rPr>
          <w:rFonts w:ascii="Times New Roman" w:cs="Times New Roman" w:eastAsia="Times New Roman" w:hAnsi="Times New Roman"/>
          <w:sz w:val="22"/>
          <w:szCs w:val="22"/>
          <w:color w:val="auto"/>
        </w:rPr>
        <w:t>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79" w:lineRule="exact"/>
        <w:rPr>
          <w:rFonts w:ascii="Times New Roman" w:cs="Times New Roman" w:eastAsia="Times New Roman" w:hAnsi="Times New Roman"/>
          <w:sz w:val="22"/>
          <w:szCs w:val="22"/>
          <w:color w:val="auto"/>
        </w:rPr>
      </w:pPr>
    </w:p>
    <w:p>
      <w:pPr>
        <w:jc w:val="both"/>
        <w:ind w:left="860" w:right="859" w:firstLine="1941"/>
        <w:spacing w:after="0" w:line="258" w:lineRule="auto"/>
        <w:tabs>
          <w:tab w:leader="none" w:pos="3452"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Participant ceases Service </w:t>
      </w:r>
      <w:r>
        <w:rPr>
          <w:rFonts w:ascii="Times New Roman" w:cs="Times New Roman" w:eastAsia="Times New Roman" w:hAnsi="Times New Roman"/>
          <w:sz w:val="21"/>
          <w:szCs w:val="21"/>
          <w:b w:val="1"/>
          <w:bCs w:val="1"/>
          <w:i w:val="1"/>
          <w:iCs w:val="1"/>
          <w:color w:val="auto"/>
        </w:rPr>
        <w:t>prior to</w:t>
      </w:r>
      <w:r>
        <w:rPr>
          <w:rFonts w:ascii="Times New Roman" w:cs="Times New Roman" w:eastAsia="Times New Roman" w:hAnsi="Times New Roman"/>
          <w:sz w:val="21"/>
          <w:szCs w:val="21"/>
          <w:color w:val="auto"/>
        </w:rPr>
        <w:t xml:space="preserve"> the Service Vesting Date by reason of Early Retirement, Normal Retirement, death or Permanent Disability, then Participant shall, upon the determination by the Plan Administrator of the maximum number of Performance-Qualified Shares, vest in a portion of the Performance-Qualified Shares determined by a two-step process: (i) prior to the Service Vesting Date, the Designated Shares will be prorated by multiplying (x) the number of Designated Shares by (y) a fraction, the numerator of which is the number of whole months of actual Service completed by Participant in such Performance Period, and the denominator of which is thirty-six (36) months, the product to be rounded up to the next whole share and (ii) then the number of shares calculated under clause (i) in which Participant may actually vest shall be the maximum number of shares of Common Stock in which Participant can vest under the Performance Vesting section based upon the actual level at which the Performance Goal specified on attached Schedule I is attained. The Shares underlying the Performance-Qualified Shares in which Participant vests in accordance with this subparagraph (ii) shall generally be issued to Participant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95" w:name="page96"/>
    <w:bookmarkEnd w:id="95"/>
    <w:p>
      <w:pPr>
        <w:jc w:val="both"/>
        <w:ind w:left="860" w:right="859"/>
        <w:spacing w:after="0" w:line="248" w:lineRule="auto"/>
        <w:rPr>
          <w:sz w:val="20"/>
          <w:szCs w:val="20"/>
          <w:color w:val="auto"/>
        </w:rPr>
      </w:pPr>
      <w:r>
        <w:rPr>
          <w:rFonts w:ascii="Times New Roman" w:cs="Times New Roman" w:eastAsia="Times New Roman" w:hAnsi="Times New Roman"/>
          <w:sz w:val="22"/>
          <w:szCs w:val="22"/>
          <w:color w:val="auto"/>
        </w:rPr>
        <w:t xml:space="preserve">in the event of the death of Participant, then to Participant’s heirs or beneficiaries) during the period beginning with the Service Vesting Date and ending on March 15th of that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87" w:lineRule="exact"/>
        <w:rPr>
          <w:sz w:val="20"/>
          <w:szCs w:val="20"/>
          <w:color w:val="auto"/>
        </w:rPr>
      </w:pPr>
    </w:p>
    <w:p>
      <w:pPr>
        <w:jc w:val="both"/>
        <w:ind w:left="860" w:right="879" w:firstLine="1941"/>
        <w:spacing w:after="0" w:line="252" w:lineRule="auto"/>
        <w:tabs>
          <w:tab w:leader="none" w:pos="3452"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Participant’s Service ceases for any other reason prior to the Service Vesting Date, then Participant shall not vest in any of the Performance-Qualified Shares and all of Participant’s right, title and interest to the Shares subject to this Award shall cease.</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Rights</w:t>
      </w:r>
      <w:r>
        <w:rPr>
          <w:rFonts w:ascii="Times New Roman" w:cs="Times New Roman" w:eastAsia="Times New Roman" w:hAnsi="Times New Roman"/>
          <w:sz w:val="22"/>
          <w:szCs w:val="22"/>
          <w:color w:val="auto"/>
        </w:rPr>
        <w:t>. The holder of this Award shall not have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58"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Notwithstanding Paragraph 3 above,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shall apply to 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71"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80" w:lineRule="exact"/>
        <w:rPr>
          <w:rFonts w:ascii="Times New Roman" w:cs="Times New Roman" w:eastAsia="Times New Roman" w:hAnsi="Times New Roman"/>
          <w:sz w:val="22"/>
          <w:szCs w:val="22"/>
          <w:color w:val="auto"/>
        </w:rPr>
      </w:pPr>
    </w:p>
    <w:p>
      <w:pPr>
        <w:jc w:val="both"/>
        <w:ind w:left="860" w:right="859" w:firstLine="1941"/>
        <w:spacing w:after="0" w:line="248" w:lineRule="auto"/>
        <w:tabs>
          <w:tab w:leader="none" w:pos="3452"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87" w:lineRule="exact"/>
        <w:rPr>
          <w:sz w:val="20"/>
          <w:szCs w:val="20"/>
          <w:color w:val="auto"/>
        </w:rPr>
      </w:pPr>
    </w:p>
    <w:p>
      <w:pPr>
        <w:jc w:val="both"/>
        <w:ind w:left="860" w:right="859" w:firstLine="1941"/>
        <w:spacing w:after="0" w:line="245" w:lineRule="auto"/>
        <w:tabs>
          <w:tab w:leader="none" w:pos="345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6" w:name="page97"/>
    <w:bookmarkEnd w:id="96"/>
    <w:p>
      <w:pPr>
        <w:ind w:left="860" w:right="879"/>
        <w:spacing w:after="0" w:line="271" w:lineRule="auto"/>
        <w:rPr>
          <w:sz w:val="20"/>
          <w:szCs w:val="20"/>
          <w:color w:val="auto"/>
        </w:rPr>
      </w:pPr>
      <w:r>
        <w:rPr>
          <w:rFonts w:ascii="Times New Roman" w:cs="Times New Roman" w:eastAsia="Times New Roman" w:hAnsi="Times New Roman"/>
          <w:sz w:val="22"/>
          <w:szCs w:val="22"/>
          <w:color w:val="auto"/>
        </w:rPr>
        <w:t>Change in Control, (ii) the date of Participant’s Separation from Service due to such cessation of Service.</w:t>
      </w:r>
    </w:p>
    <w:p>
      <w:pPr>
        <w:spacing w:after="0" w:line="158" w:lineRule="exact"/>
        <w:rPr>
          <w:sz w:val="20"/>
          <w:szCs w:val="20"/>
          <w:color w:val="auto"/>
        </w:rPr>
      </w:pPr>
    </w:p>
    <w:p>
      <w:pPr>
        <w:jc w:val="both"/>
        <w:ind w:left="860" w:right="879" w:firstLine="1941"/>
        <w:spacing w:after="0" w:line="246" w:lineRule="auto"/>
        <w:tabs>
          <w:tab w:leader="none" w:pos="345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2"/>
          <w:szCs w:val="22"/>
          <w:b w:val="1"/>
          <w:bCs w:val="1"/>
          <w:i w:val="1"/>
          <w:iCs w:val="1"/>
          <w:color w:val="auto"/>
        </w:rPr>
        <w:t>The Wall Street Journal</w:t>
      </w:r>
      <w:r>
        <w:rPr>
          <w:rFonts w:ascii="Times New Roman" w:cs="Times New Roman" w:eastAsia="Times New Roman" w:hAnsi="Times New Roman"/>
          <w:sz w:val="22"/>
          <w:szCs w:val="22"/>
          <w:color w:val="auto"/>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187" w:lineRule="exact"/>
        <w:rPr>
          <w:rFonts w:ascii="Times New Roman" w:cs="Times New Roman" w:eastAsia="Times New Roman" w:hAnsi="Times New Roman"/>
          <w:sz w:val="22"/>
          <w:szCs w:val="22"/>
          <w:color w:val="auto"/>
        </w:rPr>
      </w:pPr>
    </w:p>
    <w:p>
      <w:pPr>
        <w:jc w:val="both"/>
        <w:ind w:left="860" w:right="859" w:firstLine="1941"/>
        <w:spacing w:after="0" w:line="265" w:lineRule="auto"/>
        <w:tabs>
          <w:tab w:leader="none" w:pos="345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65" w:lineRule="exact"/>
        <w:rPr>
          <w:rFonts w:ascii="Times New Roman" w:cs="Times New Roman" w:eastAsia="Times New Roman" w:hAnsi="Times New Roman"/>
          <w:sz w:val="21"/>
          <w:szCs w:val="21"/>
          <w:color w:val="auto"/>
        </w:rPr>
      </w:pPr>
    </w:p>
    <w:p>
      <w:pPr>
        <w:jc w:val="both"/>
        <w:ind w:left="200" w:right="219" w:firstLine="1953"/>
        <w:spacing w:after="0" w:line="245" w:lineRule="auto"/>
        <w:tabs>
          <w:tab w:leader="none" w:pos="279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93" w:lineRule="exact"/>
        <w:rPr>
          <w:rFonts w:ascii="Times New Roman" w:cs="Times New Roman" w:eastAsia="Times New Roman" w:hAnsi="Times New Roman"/>
          <w:sz w:val="22"/>
          <w:szCs w:val="22"/>
          <w:color w:val="auto"/>
        </w:rPr>
      </w:pPr>
    </w:p>
    <w:p>
      <w:pPr>
        <w:jc w:val="both"/>
        <w:ind w:left="200" w:right="219" w:firstLine="1953"/>
        <w:spacing w:after="0" w:line="247" w:lineRule="auto"/>
        <w:tabs>
          <w:tab w:leader="none" w:pos="279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7" w:name="page98"/>
    <w:bookmarkEnd w:id="97"/>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occurs within twenty-four (24) months following the Change in Control. Such vested portion of the award shall be issued or distributed, as applicable, on the date of Participant’s Separation from Service, provided such Separation from Service occurs within twenty-four (24) 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spacing w:after="0" w:line="182" w:lineRule="exact"/>
        <w:rPr>
          <w:sz w:val="20"/>
          <w:szCs w:val="20"/>
          <w:color w:val="auto"/>
        </w:rPr>
      </w:pPr>
    </w:p>
    <w:p>
      <w:pPr>
        <w:jc w:val="both"/>
        <w:ind w:left="200" w:right="219" w:firstLine="1953"/>
        <w:spacing w:after="0" w:line="266" w:lineRule="auto"/>
        <w:tabs>
          <w:tab w:leader="none" w:pos="279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is not (1) assumed by the successor entity, (2) otherwise continued in effect or (3) replaced with a substitute equivalent award in accordance with Paragraph</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5(a), then the following provisions shall apply:</w:t>
      </w:r>
    </w:p>
    <w:p>
      <w:pPr>
        <w:spacing w:after="0" w:line="195" w:lineRule="exact"/>
        <w:rPr>
          <w:rFonts w:ascii="Times New Roman" w:cs="Times New Roman" w:eastAsia="Times New Roman" w:hAnsi="Times New Roman"/>
          <w:sz w:val="21"/>
          <w:szCs w:val="21"/>
          <w:color w:val="auto"/>
        </w:rPr>
      </w:pPr>
    </w:p>
    <w:p>
      <w:pPr>
        <w:jc w:val="both"/>
        <w:ind w:left="860" w:right="879" w:firstLine="1863"/>
        <w:spacing w:after="0" w:line="246" w:lineRule="auto"/>
        <w:tabs>
          <w:tab w:leader="none" w:pos="345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Times New Roman" w:cs="Times New Roman" w:eastAsia="Times New Roman" w:hAnsi="Times New Roman"/>
          <w:sz w:val="22"/>
          <w:szCs w:val="22"/>
          <w:b w:val="1"/>
          <w:bCs w:val="1"/>
          <w:i w:val="1"/>
          <w:iCs w:val="1"/>
          <w:color w:val="auto"/>
        </w:rPr>
        <w:t>earliest</w:t>
      </w:r>
      <w:r>
        <w:rPr>
          <w:rFonts w:ascii="Times New Roman" w:cs="Times New Roman" w:eastAsia="Times New Roman" w:hAnsi="Times New Roman"/>
          <w:sz w:val="22"/>
          <w:szCs w:val="22"/>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Section 409A of the Code (“Section 409A”).</w:t>
      </w:r>
    </w:p>
    <w:p>
      <w:pPr>
        <w:spacing w:after="0" w:line="187" w:lineRule="exact"/>
        <w:rPr>
          <w:rFonts w:ascii="Times New Roman" w:cs="Times New Roman" w:eastAsia="Times New Roman" w:hAnsi="Times New Roman"/>
          <w:sz w:val="22"/>
          <w:szCs w:val="22"/>
          <w:color w:val="auto"/>
        </w:rPr>
      </w:pPr>
    </w:p>
    <w:p>
      <w:pPr>
        <w:jc w:val="both"/>
        <w:ind w:left="860" w:right="859" w:firstLine="1863"/>
        <w:spacing w:after="0" w:line="245" w:lineRule="auto"/>
        <w:tabs>
          <w:tab w:leader="none" w:pos="345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2"/>
          <w:szCs w:val="22"/>
          <w:b w:val="1"/>
          <w:bCs w:val="1"/>
          <w:i w:val="1"/>
          <w:iCs w:val="1"/>
          <w:color w:val="auto"/>
        </w:rPr>
        <w:t>The Wall Street Journal</w:t>
      </w:r>
      <w:r>
        <w:rPr>
          <w:rFonts w:ascii="Times New Roman" w:cs="Times New Roman" w:eastAsia="Times New Roman" w:hAnsi="Times New Roman"/>
          <w:sz w:val="22"/>
          <w:szCs w:val="22"/>
          <w:color w:val="auto"/>
        </w:rPr>
        <w:t>. The cash retention account, together with all accrued interest thereon through the actual 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8" w:name="page99"/>
    <w:bookmarkEnd w:id="98"/>
    <w:p>
      <w:pPr>
        <w:jc w:val="both"/>
        <w:ind w:left="860" w:right="879" w:firstLine="1863"/>
        <w:spacing w:after="0" w:line="245" w:lineRule="auto"/>
        <w:tabs>
          <w:tab w:leader="none" w:pos="345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Times New Roman" w:cs="Times New Roman" w:eastAsia="Times New Roman" w:hAnsi="Times New Roman"/>
          <w:sz w:val="22"/>
          <w:szCs w:val="22"/>
          <w:b w:val="1"/>
          <w:bCs w:val="1"/>
          <w:i w:val="1"/>
          <w:iCs w:val="1"/>
          <w:color w:val="auto"/>
        </w:rPr>
        <w:t>earlier</w:t>
      </w:r>
      <w:r>
        <w:rPr>
          <w:rFonts w:ascii="Times New Roman" w:cs="Times New Roman" w:eastAsia="Times New Roman" w:hAnsi="Times New Roman"/>
          <w:sz w:val="22"/>
          <w:szCs w:val="22"/>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Section 409A.</w:t>
      </w:r>
    </w:p>
    <w:p>
      <w:pPr>
        <w:spacing w:after="0" w:line="189" w:lineRule="exact"/>
        <w:rPr>
          <w:rFonts w:ascii="Times New Roman" w:cs="Times New Roman" w:eastAsia="Times New Roman" w:hAnsi="Times New Roman"/>
          <w:sz w:val="22"/>
          <w:szCs w:val="22"/>
          <w:color w:val="auto"/>
        </w:rPr>
      </w:pPr>
    </w:p>
    <w:p>
      <w:pPr>
        <w:jc w:val="both"/>
        <w:ind w:left="860" w:right="859" w:firstLine="1863"/>
        <w:spacing w:after="0" w:line="263" w:lineRule="auto"/>
        <w:tabs>
          <w:tab w:leader="none" w:pos="345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amount of consideration so calculated, Participant shall have no further right or entitlement to any additional Shares or consideration under this Award.</w:t>
      </w:r>
    </w:p>
    <w:p>
      <w:pPr>
        <w:spacing w:after="0" w:line="163"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color w:val="auto"/>
        </w:rPr>
        <w:t>. 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58" w:lineRule="auto"/>
        <w:tabs>
          <w:tab w:leader="none" w:pos="214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Adjustment in Shares</w:t>
      </w:r>
      <w:r>
        <w:rPr>
          <w:rFonts w:ascii="Times New Roman" w:cs="Times New Roman" w:eastAsia="Times New Roman" w:hAnsi="Times New Roman"/>
          <w:sz w:val="21"/>
          <w:szCs w:val="21"/>
          <w:color w:val="auto"/>
        </w:rPr>
        <w:t>. Should any change be made to the Common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9" w:name="page100"/>
    <w:bookmarkEnd w:id="99"/>
    <w:p>
      <w:pPr>
        <w:ind w:left="200" w:right="239"/>
        <w:spacing w:after="0" w:line="271" w:lineRule="auto"/>
        <w:rPr>
          <w:sz w:val="20"/>
          <w:szCs w:val="20"/>
          <w:color w:val="auto"/>
        </w:rPr>
      </w:pPr>
      <w:r>
        <w:rPr>
          <w:rFonts w:ascii="Times New Roman" w:cs="Times New Roman" w:eastAsia="Times New Roman" w:hAnsi="Times New Roman"/>
          <w:sz w:val="22"/>
          <w:szCs w:val="22"/>
          <w:color w:val="auto"/>
        </w:rPr>
        <w:t>the event of any Change in Control transaction, the adjustment provisions of Paragraph 5(b) shall be controlling.</w:t>
      </w:r>
    </w:p>
    <w:p>
      <w:pPr>
        <w:spacing w:after="0" w:line="154" w:lineRule="exact"/>
        <w:rPr>
          <w:sz w:val="20"/>
          <w:szCs w:val="20"/>
          <w:color w:val="auto"/>
        </w:rPr>
      </w:pPr>
    </w:p>
    <w:p>
      <w:pPr>
        <w:ind w:left="2160" w:hanging="655"/>
        <w:spacing w:after="0"/>
        <w:tabs>
          <w:tab w:leader="none" w:pos="21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of Vested Shares and Applicable Withholding Taxes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79" w:lineRule="exact"/>
        <w:rPr>
          <w:rFonts w:ascii="Times New Roman" w:cs="Times New Roman" w:eastAsia="Times New Roman" w:hAnsi="Times New Roman"/>
          <w:sz w:val="22"/>
          <w:szCs w:val="22"/>
          <w:color w:val="auto"/>
        </w:rPr>
      </w:pPr>
    </w:p>
    <w:p>
      <w:pPr>
        <w:jc w:val="both"/>
        <w:ind w:left="200" w:right="219" w:firstLine="1953"/>
        <w:spacing w:after="0" w:line="266" w:lineRule="auto"/>
        <w:tabs>
          <w:tab w:leader="none" w:pos="279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shall govern the US Withholding Taxes on the Shares (or any replacement or substitute securities, property or other amounts under Paragraphs</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or 7 above) which vest in accordance with the provisions of this Agreement:</w:t>
      </w:r>
    </w:p>
    <w:p>
      <w:pPr>
        <w:spacing w:after="0" w:line="196" w:lineRule="exact"/>
        <w:rPr>
          <w:sz w:val="20"/>
          <w:szCs w:val="20"/>
          <w:color w:val="auto"/>
        </w:rPr>
      </w:pPr>
    </w:p>
    <w:p>
      <w:pPr>
        <w:jc w:val="both"/>
        <w:ind w:left="860" w:right="219" w:firstLine="1293"/>
        <w:spacing w:after="0" w:line="247" w:lineRule="auto"/>
        <w:tabs>
          <w:tab w:leader="none" w:pos="280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spacing w:after="0" w:line="179" w:lineRule="exact"/>
        <w:rPr>
          <w:rFonts w:ascii="Times New Roman" w:cs="Times New Roman" w:eastAsia="Times New Roman" w:hAnsi="Times New Roman"/>
          <w:sz w:val="22"/>
          <w:szCs w:val="22"/>
          <w:color w:val="auto"/>
        </w:rPr>
      </w:pPr>
    </w:p>
    <w:p>
      <w:pPr>
        <w:jc w:val="both"/>
        <w:ind w:left="860" w:right="219" w:firstLine="1293"/>
        <w:spacing w:after="0" w:line="261" w:lineRule="auto"/>
        <w:tabs>
          <w:tab w:leader="none" w:pos="280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Automatic Share Withholding</w:t>
      </w:r>
      <w:r>
        <w:rPr>
          <w:rFonts w:ascii="Times New Roman" w:cs="Times New Roman" w:eastAsia="Times New Roman" w:hAnsi="Times New Roman"/>
          <w:sz w:val="21"/>
          <w:szCs w:val="21"/>
          <w:color w:val="auto"/>
        </w:rPr>
        <w:t>. On the applicable issuance date,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spacing w:after="0" w:line="167" w:lineRule="exact"/>
        <w:rPr>
          <w:rFonts w:ascii="Times New Roman" w:cs="Times New Roman" w:eastAsia="Times New Roman" w:hAnsi="Times New Roman"/>
          <w:sz w:val="21"/>
          <w:szCs w:val="21"/>
          <w:color w:val="auto"/>
        </w:rPr>
      </w:pPr>
    </w:p>
    <w:p>
      <w:pPr>
        <w:jc w:val="both"/>
        <w:ind w:left="860" w:right="219" w:firstLine="1293"/>
        <w:spacing w:after="0" w:line="269" w:lineRule="auto"/>
        <w:tabs>
          <w:tab w:leader="none" w:pos="280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Amount of Withholding</w:t>
      </w:r>
      <w:r>
        <w:rPr>
          <w:rFonts w:ascii="Times New Roman" w:cs="Times New Roman" w:eastAsia="Times New Roman" w:hAnsi="Times New Roman"/>
          <w:sz w:val="21"/>
          <w:szCs w:val="21"/>
          <w:color w:val="auto"/>
        </w:rPr>
        <w:t>. The amount which the Corporation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required to so withhold shall not exceed in Fair Market Value the amount necessary to satisfy the Corporation’s required tax withholding obligations using the minimum statutory withholding rates for federal and state tax purposes, including payroll taxes, that are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0" w:name="page101"/>
    <w:bookmarkEnd w:id="100"/>
    <w:p>
      <w:pPr>
        <w:jc w:val="both"/>
        <w:ind w:left="860" w:right="219"/>
        <w:spacing w:after="0" w:line="257" w:lineRule="auto"/>
        <w:rPr>
          <w:sz w:val="20"/>
          <w:szCs w:val="20"/>
          <w:color w:val="auto"/>
        </w:rPr>
      </w:pPr>
      <w:r>
        <w:rPr>
          <w:rFonts w:ascii="Times New Roman" w:cs="Times New Roman" w:eastAsia="Times New Roman" w:hAnsi="Times New Roman"/>
          <w:sz w:val="21"/>
          <w:szCs w:val="21"/>
          <w:color w:val="auto"/>
        </w:rPr>
        <w:t>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spacing w:after="0" w:line="196" w:lineRule="exact"/>
        <w:rPr>
          <w:sz w:val="20"/>
          <w:szCs w:val="20"/>
          <w:color w:val="auto"/>
        </w:rPr>
      </w:pPr>
    </w:p>
    <w:p>
      <w:pPr>
        <w:ind w:left="200" w:right="219" w:firstLine="1953"/>
        <w:spacing w:after="0" w:line="245" w:lineRule="auto"/>
        <w:tabs>
          <w:tab w:leader="none" w:pos="279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Section 3121(v) of the Code.</w:t>
      </w:r>
    </w:p>
    <w:p>
      <w:pPr>
        <w:spacing w:after="0" w:line="193" w:lineRule="exact"/>
        <w:rPr>
          <w:rFonts w:ascii="Times New Roman" w:cs="Times New Roman" w:eastAsia="Times New Roman" w:hAnsi="Times New Roman"/>
          <w:sz w:val="22"/>
          <w:szCs w:val="22"/>
          <w:color w:val="auto"/>
        </w:rPr>
      </w:pPr>
    </w:p>
    <w:p>
      <w:pPr>
        <w:jc w:val="both"/>
        <w:ind w:left="200" w:right="219" w:firstLine="1953"/>
        <w:spacing w:after="0" w:line="248" w:lineRule="auto"/>
        <w:tabs>
          <w:tab w:leader="none" w:pos="2792"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2" w:lineRule="exact"/>
        <w:rPr>
          <w:rFonts w:ascii="Times New Roman" w:cs="Times New Roman" w:eastAsia="Times New Roman" w:hAnsi="Times New Roman"/>
          <w:sz w:val="22"/>
          <w:szCs w:val="22"/>
          <w:color w:val="auto"/>
        </w:rPr>
      </w:pPr>
    </w:p>
    <w:p>
      <w:pPr>
        <w:jc w:val="both"/>
        <w:ind w:left="200" w:right="239" w:firstLine="1305"/>
        <w:spacing w:after="0" w:line="259" w:lineRule="auto"/>
        <w:tabs>
          <w:tab w:leader="none" w:pos="21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Notwithstanding any provision to the contrary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extent this Award may be deemed to create a deferred compensation arrangement under Section 409A, then the following limitation and provisions shall apply:</w:t>
      </w:r>
    </w:p>
    <w:p>
      <w:pPr>
        <w:spacing w:after="0" w:line="170"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Shares or other amounts which become issuable or distributable under this Agreement upon Participant’s Separation from Service shall actually be issued or distributed to Participant prior to the </w:t>
      </w:r>
      <w:r>
        <w:rPr>
          <w:rFonts w:ascii="Times New Roman" w:cs="Times New Roman" w:eastAsia="Times New Roman" w:hAnsi="Times New Roman"/>
          <w:sz w:val="22"/>
          <w:szCs w:val="22"/>
          <w:b w:val="1"/>
          <w:bCs w:val="1"/>
          <w:i w:val="1"/>
          <w:iCs w:val="1"/>
          <w:color w:val="auto"/>
        </w:rPr>
        <w:t>earlier</w:t>
      </w:r>
      <w:r>
        <w:rPr>
          <w:rFonts w:ascii="Times New Roman" w:cs="Times New Roman" w:eastAsia="Times New Roman" w:hAnsi="Times New Roman"/>
          <w:sz w:val="22"/>
          <w:szCs w:val="22"/>
          <w:color w:val="auto"/>
        </w:rPr>
        <w:t xml:space="preserve"> of (i) the first (1st) day of the seventh (7th) month following the date of such Separation from Service or (ii) the date of Participant’s death, if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1" w:name="page102"/>
    <w:bookmarkEnd w:id="101"/>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 Section 409A arrangements of the Corporation, and such delayed commencement is otherwise required in order to avoid a prohibited distribution under Section 409A(a)(2) of the Code.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91" w:lineRule="exact"/>
        <w:rPr>
          <w:sz w:val="20"/>
          <w:szCs w:val="20"/>
          <w:color w:val="auto"/>
        </w:rPr>
      </w:pPr>
    </w:p>
    <w:p>
      <w:pPr>
        <w:jc w:val="both"/>
        <w:ind w:left="200" w:right="219" w:firstLine="1953"/>
        <w:spacing w:after="0" w:line="257" w:lineRule="auto"/>
        <w:tabs>
          <w:tab w:leader="none" w:pos="279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68" w:lineRule="exact"/>
        <w:rPr>
          <w:rFonts w:ascii="Times New Roman" w:cs="Times New Roman" w:eastAsia="Times New Roman" w:hAnsi="Times New Roman"/>
          <w:sz w:val="22"/>
          <w:szCs w:val="22"/>
          <w:color w:val="auto"/>
        </w:rPr>
      </w:pPr>
    </w:p>
    <w:p>
      <w:pPr>
        <w:jc w:val="both"/>
        <w:ind w:left="200" w:right="219" w:firstLine="1305"/>
        <w:spacing w:after="0" w:line="254" w:lineRule="auto"/>
        <w:tabs>
          <w:tab w:leader="none" w:pos="214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Laws and Regulations</w:t>
      </w:r>
      <w:r>
        <w:rPr>
          <w:rFonts w:ascii="Times New Roman" w:cs="Times New Roman" w:eastAsia="Times New Roman" w:hAnsi="Times New Roman"/>
          <w:sz w:val="22"/>
          <w:szCs w:val="22"/>
          <w:color w:val="auto"/>
        </w:rPr>
        <w:t>. The issuance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required to be given or delivered to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Except to the extent otherwise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75"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859"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2" w:name="page103"/>
    <w:bookmarkEnd w:id="102"/>
    <w:p>
      <w:pPr>
        <w:jc w:val="both"/>
        <w:ind w:left="200" w:right="219" w:firstLine="1953"/>
        <w:spacing w:after="0" w:line="275" w:lineRule="auto"/>
        <w:tabs>
          <w:tab w:leader="none" w:pos="2792"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51" w:lineRule="exact"/>
        <w:rPr>
          <w:rFonts w:ascii="Times New Roman" w:cs="Times New Roman" w:eastAsia="Times New Roman" w:hAnsi="Times New Roman"/>
          <w:sz w:val="21"/>
          <w:szCs w:val="21"/>
          <w:color w:val="auto"/>
        </w:rPr>
      </w:pPr>
    </w:p>
    <w:p>
      <w:pPr>
        <w:jc w:val="both"/>
        <w:ind w:left="200" w:right="219" w:firstLine="1305"/>
        <w:spacing w:after="0" w:line="259" w:lineRule="auto"/>
        <w:tabs>
          <w:tab w:leader="none" w:pos="214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interpretation, performance and enforcement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laws of the State of Hawaii without regard to that State’s conflict-of-laws rules.</w:t>
      </w:r>
    </w:p>
    <w:p>
      <w:pPr>
        <w:spacing w:after="0" w:line="16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p>
    <w:p>
      <w:pPr>
        <w:spacing w:after="0" w:line="223" w:lineRule="exact"/>
        <w:rPr>
          <w:rFonts w:ascii="Times New Roman" w:cs="Times New Roman" w:eastAsia="Times New Roman" w:hAnsi="Times New Roman"/>
          <w:sz w:val="22"/>
          <w:szCs w:val="22"/>
          <w:color w:val="auto"/>
        </w:rPr>
      </w:pPr>
    </w:p>
    <w:p>
      <w:pPr>
        <w:ind w:left="200" w:right="219" w:firstLine="1953"/>
        <w:spacing w:after="0" w:line="244" w:lineRule="auto"/>
        <w:tabs>
          <w:tab w:leader="none" w:pos="279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59" w:lineRule="auto"/>
        <w:tabs>
          <w:tab w:leader="none" w:pos="279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Each party fully understands and agrees that they are giving up certain rights otherwise afforded to them by civil court actions, including but not limited to the right to a jury trial.</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69" w:lineRule="auto"/>
        <w:tabs>
          <w:tab w:leader="none" w:pos="214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Coverage under Recoupment Policy</w:t>
      </w:r>
      <w:r>
        <w:rPr>
          <w:rFonts w:ascii="Times New Roman" w:cs="Times New Roman" w:eastAsia="Times New Roman" w:hAnsi="Times New Roman"/>
          <w:sz w:val="21"/>
          <w:szCs w:val="21"/>
          <w:color w:val="auto"/>
        </w:rPr>
        <w:t>. If Participant is on the Award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at any time thereafter becomes, an executive officer of the Corporation subject to Section 16 of the 1934 Act, then Participant shall be subject to the Matson, Inc. Policy Regarding Recoupment of Certain Compensation (as amended from time to time, the “Recoupment Policy”), the terms of</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3" w:name="page104"/>
    <w:bookmarkEnd w:id="103"/>
    <w:p>
      <w:pPr>
        <w:ind w:left="200" w:right="219"/>
        <w:spacing w:after="0" w:line="271" w:lineRule="auto"/>
        <w:rPr>
          <w:sz w:val="20"/>
          <w:szCs w:val="20"/>
          <w:color w:val="auto"/>
        </w:rPr>
      </w:pPr>
      <w:r>
        <w:rPr>
          <w:rFonts w:ascii="Times New Roman" w:cs="Times New Roman" w:eastAsia="Times New Roman" w:hAnsi="Times New Roman"/>
          <w:sz w:val="22"/>
          <w:szCs w:val="22"/>
          <w:color w:val="auto"/>
        </w:rPr>
        <w:t>which are hereby incorporated herein by reference. A copy of the Recoupment Policy is available upon request made to the Corporate Secretary.</w:t>
      </w:r>
    </w:p>
    <w:p>
      <w:pPr>
        <w:spacing w:after="0" w:line="154" w:lineRule="exact"/>
        <w:rPr>
          <w:sz w:val="20"/>
          <w:szCs w:val="20"/>
          <w:color w:val="auto"/>
        </w:rPr>
      </w:pPr>
    </w:p>
    <w:p>
      <w:pPr>
        <w:ind w:left="2080" w:hanging="575"/>
        <w:spacing w:after="0"/>
        <w:tabs>
          <w:tab w:leader="none" w:pos="20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79"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76" w:lineRule="exact"/>
        <w:rPr>
          <w:rFonts w:ascii="Times New Roman" w:cs="Times New Roman" w:eastAsia="Times New Roman" w:hAnsi="Times New Roman"/>
          <w:sz w:val="21"/>
          <w:szCs w:val="21"/>
          <w:color w:val="auto"/>
        </w:rPr>
      </w:pPr>
    </w:p>
    <w:p>
      <w:pPr>
        <w:jc w:val="both"/>
        <w:ind w:left="200" w:right="219" w:firstLine="1305"/>
        <w:spacing w:after="0" w:line="253" w:lineRule="auto"/>
        <w:tabs>
          <w:tab w:leader="none" w:pos="21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not be altered, modified, or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by 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77" w:lineRule="auto"/>
        <w:tabs>
          <w:tab w:leader="none" w:pos="214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Other Agreements Superseded</w:t>
      </w:r>
      <w:r>
        <w:rPr>
          <w:rFonts w:ascii="Times New Roman" w:cs="Times New Roman" w:eastAsia="Times New Roman" w:hAnsi="Times New Roman"/>
          <w:sz w:val="21"/>
          <w:szCs w:val="21"/>
          <w:color w:val="auto"/>
        </w:rPr>
        <w:t>. The Award Notice,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constitute the entire understanding between Participant and the Corporation regarding the Award. Any prior agreements, commitments or negotiations concerning the Award are superseded.</w:t>
      </w:r>
    </w:p>
    <w:p>
      <w:pPr>
        <w:spacing w:after="0" w:line="149" w:lineRule="exact"/>
        <w:rPr>
          <w:rFonts w:ascii="Times New Roman" w:cs="Times New Roman" w:eastAsia="Times New Roman" w:hAnsi="Times New Roman"/>
          <w:sz w:val="21"/>
          <w:szCs w:val="21"/>
          <w:color w:val="auto"/>
        </w:rPr>
      </w:pPr>
    </w:p>
    <w:p>
      <w:pPr>
        <w:jc w:val="both"/>
        <w:ind w:left="200" w:right="219" w:firstLine="1305"/>
        <w:spacing w:after="0" w:line="253" w:lineRule="auto"/>
        <w:tabs>
          <w:tab w:leader="none" w:pos="21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Plan Document</w:t>
      </w:r>
      <w:r>
        <w:rPr>
          <w:rFonts w:ascii="Times New Roman" w:cs="Times New Roman" w:eastAsia="Times New Roman" w:hAnsi="Times New Roman"/>
          <w:sz w:val="22"/>
          <w:szCs w:val="22"/>
          <w:color w:val="auto"/>
        </w:rPr>
        <w:t>. The Award is subject to all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0" w:lineRule="exact"/>
        <w:rPr>
          <w:sz w:val="20"/>
          <w:szCs w:val="20"/>
          <w:color w:val="auto"/>
        </w:rPr>
      </w:pPr>
    </w:p>
    <w:p>
      <w:pPr>
        <w:spacing w:after="0" w:line="2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following definitions shall be in effect under the Agreement:</w:t>
      </w:r>
    </w:p>
    <w:p>
      <w:pPr>
        <w:spacing w:after="0" w:line="216" w:lineRule="exact"/>
        <w:rPr>
          <w:sz w:val="20"/>
          <w:szCs w:val="20"/>
          <w:color w:val="auto"/>
        </w:rPr>
      </w:pPr>
    </w:p>
    <w:p>
      <w:pPr>
        <w:ind w:left="2160" w:hanging="655"/>
        <w:spacing w:after="0"/>
        <w:tabs>
          <w:tab w:leader="none" w:pos="21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this Performance Share Award Agreement.</w:t>
      </w:r>
    </w:p>
    <w:p>
      <w:pPr>
        <w:spacing w:after="0" w:line="219" w:lineRule="exact"/>
        <w:rPr>
          <w:rFonts w:ascii="Times New Roman" w:cs="Times New Roman" w:eastAsia="Times New Roman" w:hAnsi="Times New Roman"/>
          <w:sz w:val="22"/>
          <w:szCs w:val="22"/>
          <w:color w:val="auto"/>
        </w:rPr>
      </w:pPr>
    </w:p>
    <w:p>
      <w:pPr>
        <w:ind w:left="200" w:right="239" w:firstLine="1305"/>
        <w:spacing w:after="0" w:line="275"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award of Performance Shares made to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this Agreement.</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59"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date the Performance Shares are awarded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pursuant to the Agreement and shall be the date specified in Paragraph 1 of the Award Notice.</w:t>
      </w:r>
    </w:p>
    <w:p>
      <w:pPr>
        <w:spacing w:after="0" w:line="166" w:lineRule="exact"/>
        <w:rPr>
          <w:rFonts w:ascii="Times New Roman" w:cs="Times New Roman" w:eastAsia="Times New Roman" w:hAnsi="Times New Roman"/>
          <w:sz w:val="22"/>
          <w:szCs w:val="22"/>
          <w:color w:val="auto"/>
        </w:rPr>
      </w:pPr>
    </w:p>
    <w:p>
      <w:pPr>
        <w:jc w:val="both"/>
        <w:ind w:left="200" w:right="239" w:firstLine="1305"/>
        <w:spacing w:after="0" w:line="259"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Notice of Award of Performance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to Participant in which there is set forth the basic terms of the Performance Shares subject to this Agreement.</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Participant is a party to a Change in Control Benefits Agreement applicable to the Award, the term Change in Control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separate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number of Shares obtained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multiplying the Vested Percentage by the greater of (i) the number of Designated Shares, or (ii) the number of Performance-Qualified Shares issuable under the Award based on actual performance of the Performance Goal through the date of the Change in Control.</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65"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Early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retirement from Service,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prior approval of the Corporation (or the Parent or Subsidiary employing Participant), on or after the attainment of age fifty-five (55) and the completion of at least five (5)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05" w:name="page106"/>
    <w:bookmarkEnd w:id="105"/>
    <w:p>
      <w:pPr>
        <w:jc w:val="both"/>
        <w:ind w:left="200" w:right="239" w:firstLine="1305"/>
        <w:spacing w:after="0" w:line="259" w:lineRule="auto"/>
        <w:tabs>
          <w:tab w:leader="none" w:pos="21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Extraordinary Level Attainment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the Performance Goal set forth in Schedule I of the Award Notice at the level designated as Extraordinary Level attainment for that goal.</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however, in the event 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Normal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cessation of Service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at or after the attainment of age sixty-five (65).</w:t>
      </w:r>
    </w:p>
    <w:p>
      <w:pPr>
        <w:spacing w:after="0" w:line="14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person to whom the Award is made pursuant to</w:t>
      </w:r>
    </w:p>
    <w:p>
      <w:pPr>
        <w:spacing w:after="0" w:line="3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w:t>
      </w:r>
    </w:p>
    <w:p>
      <w:pPr>
        <w:spacing w:after="0" w:line="19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Performance Goal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performance goal specified on Schedule I</w:t>
      </w:r>
    </w:p>
    <w:p>
      <w:pPr>
        <w:spacing w:after="0" w:line="43"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Award Notice.</w:t>
      </w:r>
    </w:p>
    <w:p>
      <w:pPr>
        <w:spacing w:after="0" w:line="191" w:lineRule="exact"/>
        <w:rPr>
          <w:rFonts w:ascii="Times New Roman" w:cs="Times New Roman" w:eastAsia="Times New Roman" w:hAnsi="Times New Roman"/>
          <w:sz w:val="21"/>
          <w:szCs w:val="21"/>
          <w:color w:val="auto"/>
        </w:rPr>
      </w:pPr>
    </w:p>
    <w:p>
      <w:pPr>
        <w:ind w:left="200" w:right="219" w:firstLine="1305"/>
        <w:spacing w:after="0" w:line="275" w:lineRule="auto"/>
        <w:tabs>
          <w:tab w:leader="none" w:pos="21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period specified on Schedule I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Notice over which the attainment of the Performance Goal is to be measured.</w:t>
      </w:r>
    </w:p>
    <w:p>
      <w:pPr>
        <w:spacing w:after="0" w:line="162"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Performance-Qualified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maximum number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which Participant can vest based on the level at which the Performance Goal for the Performance Period is attained and shall be calculated in accordance with the provisions of the Award Notice. In no event shall the number of such Performance-Qualified Shares exceed two hundred and fifty percent (250%) of the designated number of Performance Shares set forth in the Performance Shares section of the Award Notice. Each Performance-Qualified Share that vests pursuant to the terms of the Award shall entitle Participant to receive one Share.</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number of phantom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awarded under this Agreement that shall be applied to the calculation of the maximum number of Performance-Qualified Shares (if any) based on the level at which the Performance Goal is in fact attained over the applicable Performance Period.</w:t>
      </w:r>
    </w:p>
    <w:p>
      <w:pPr>
        <w:spacing w:after="0" w:line="175"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2016 Incentive Compensation Plan,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from time to time.</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Qualifying Change in Control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date on which there occurs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in Control that also qualifies as: (i) a change in the ownership of the Corporation, as determined in accordance with Section 1.409A-3(i)(5)(v) of the Treasury Regulations, (ii) a change in the effective control of the Corporation, as determined in accordance with Section 1.409A-3(i)</w:t>
      </w:r>
    </w:p>
    <w:p>
      <w:pPr>
        <w:spacing w:after="0" w:line="3" w:lineRule="exact"/>
        <w:rPr>
          <w:rFonts w:ascii="Times New Roman" w:cs="Times New Roman" w:eastAsia="Times New Roman" w:hAnsi="Times New Roman"/>
          <w:sz w:val="21"/>
          <w:szCs w:val="21"/>
          <w:color w:val="auto"/>
        </w:rPr>
      </w:pPr>
    </w:p>
    <w:p>
      <w:pPr>
        <w:jc w:val="both"/>
        <w:ind w:left="200" w:right="219"/>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(5)(vi) of the Treasury Regulations, or (iii) a change in the ownership of a substantial portion of the assets of the Corporation, as determined in accordance with Section 1.409A-3(i)(5)(vii) of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06" w:name="page107"/>
    <w:bookmarkEnd w:id="106"/>
    <w:p>
      <w:pPr>
        <w:jc w:val="both"/>
        <w:ind w:left="200" w:right="219" w:firstLine="1305"/>
        <w:spacing w:after="0" w:line="245"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Participant’s cessation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189"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performance of services for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Parent or Subsidiary) in the capacity of an Employee, a non-employee member of the board of directors or a consultant or independent advisor. In addition, the following provisions shall govern the determination of Participant’s period of Service:</w:t>
      </w:r>
    </w:p>
    <w:p>
      <w:pPr>
        <w:spacing w:after="0" w:line="179" w:lineRule="exact"/>
        <w:rPr>
          <w:sz w:val="20"/>
          <w:szCs w:val="20"/>
          <w:color w:val="auto"/>
        </w:rPr>
      </w:pPr>
    </w:p>
    <w:p>
      <w:pPr>
        <w:jc w:val="both"/>
        <w:ind w:left="860" w:right="879" w:firstLine="1293"/>
        <w:spacing w:after="0" w:line="252" w:lineRule="auto"/>
        <w:tabs>
          <w:tab w:leader="none" w:pos="296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79" w:lineRule="exact"/>
        <w:rPr>
          <w:rFonts w:ascii="Times New Roman" w:cs="Times New Roman" w:eastAsia="Times New Roman" w:hAnsi="Times New Roman"/>
          <w:sz w:val="22"/>
          <w:szCs w:val="22"/>
          <w:color w:val="auto"/>
        </w:rPr>
      </w:pPr>
    </w:p>
    <w:p>
      <w:pPr>
        <w:jc w:val="both"/>
        <w:ind w:left="860" w:right="859" w:firstLine="1293"/>
        <w:spacing w:after="0" w:line="248" w:lineRule="auto"/>
        <w:tabs>
          <w:tab w:leader="none" w:pos="296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186" w:lineRule="exact"/>
        <w:rPr>
          <w:rFonts w:ascii="Times New Roman" w:cs="Times New Roman" w:eastAsia="Times New Roman" w:hAnsi="Times New Roman"/>
          <w:sz w:val="22"/>
          <w:szCs w:val="22"/>
          <w:color w:val="auto"/>
        </w:rPr>
      </w:pPr>
    </w:p>
    <w:p>
      <w:pPr>
        <w:jc w:val="both"/>
        <w:ind w:left="860" w:right="859" w:firstLine="1293"/>
        <w:spacing w:after="0" w:line="252" w:lineRule="auto"/>
        <w:tabs>
          <w:tab w:leader="none" w:pos="296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Service as an Employee shall not be deemed to cease during a period of military leave, sick leave or other personal leave approved by the Plan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following special provisions shall be in effect for any such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07" w:name="page108"/>
    <w:bookmarkEnd w:id="107"/>
    <w:p>
      <w:pPr>
        <w:jc w:val="both"/>
        <w:ind w:left="860" w:right="859" w:firstLine="1941"/>
        <w:spacing w:after="0" w:line="262" w:lineRule="auto"/>
        <w:tabs>
          <w:tab w:leader="none" w:pos="3452" w:val="left"/>
        </w:tabs>
        <w:numPr>
          <w:ilvl w:val="2"/>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the period of such leave (other than a disability leave) exceed six (6) months, then Participant shall be deemed to cease Service and to incur a Separation from Service upon the expiration of the initial six</w:t>
      </w:r>
    </w:p>
    <w:p>
      <w:pPr>
        <w:spacing w:after="0" w:line="2" w:lineRule="exact"/>
        <w:rPr>
          <w:rFonts w:ascii="Times New Roman" w:cs="Times New Roman" w:eastAsia="Times New Roman" w:hAnsi="Times New Roman"/>
          <w:sz w:val="21"/>
          <w:szCs w:val="21"/>
          <w:color w:val="auto"/>
        </w:rPr>
      </w:pPr>
    </w:p>
    <w:p>
      <w:pPr>
        <w:jc w:val="both"/>
        <w:ind w:left="860" w:right="859"/>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(6)-month period of that leave, unless Participant retains a right to re-employment under applicable law or by contract with the Corporation (or any Parent or Subsidiary).</w:t>
      </w:r>
    </w:p>
    <w:p>
      <w:pPr>
        <w:spacing w:after="0" w:line="186" w:lineRule="exact"/>
        <w:rPr>
          <w:rFonts w:ascii="Times New Roman" w:cs="Times New Roman" w:eastAsia="Times New Roman" w:hAnsi="Times New Roman"/>
          <w:sz w:val="21"/>
          <w:szCs w:val="21"/>
          <w:color w:val="auto"/>
        </w:rPr>
      </w:pPr>
    </w:p>
    <w:p>
      <w:pPr>
        <w:ind w:left="860" w:right="859" w:firstLine="1941"/>
        <w:spacing w:after="0" w:line="247" w:lineRule="auto"/>
        <w:tabs>
          <w:tab w:leader="none" w:pos="3452"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87" w:lineRule="exact"/>
        <w:rPr>
          <w:rFonts w:ascii="Times New Roman" w:cs="Times New Roman" w:eastAsia="Times New Roman" w:hAnsi="Times New Roman"/>
          <w:sz w:val="22"/>
          <w:szCs w:val="22"/>
          <w:color w:val="auto"/>
        </w:rPr>
      </w:pPr>
    </w:p>
    <w:p>
      <w:pPr>
        <w:jc w:val="both"/>
        <w:ind w:left="860" w:right="879" w:firstLine="1941"/>
        <w:spacing w:after="0" w:line="252" w:lineRule="auto"/>
        <w:tabs>
          <w:tab w:leader="none" w:pos="3452"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79" w:lineRule="exact"/>
        <w:rPr>
          <w:rFonts w:ascii="Times New Roman" w:cs="Times New Roman" w:eastAsia="Times New Roman" w:hAnsi="Times New Roman"/>
          <w:sz w:val="22"/>
          <w:szCs w:val="22"/>
          <w:color w:val="auto"/>
        </w:rPr>
      </w:pPr>
    </w:p>
    <w:p>
      <w:pPr>
        <w:jc w:val="both"/>
        <w:ind w:left="860" w:right="879" w:firstLine="1293"/>
        <w:spacing w:after="0" w:line="252" w:lineRule="auto"/>
        <w:tabs>
          <w:tab w:leader="none" w:pos="296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175"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 Vesting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three (3)-year anniversary of the</w:t>
      </w:r>
    </w:p>
    <w:p>
      <w:pPr>
        <w:spacing w:after="0" w:line="3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Date.</w:t>
      </w:r>
    </w:p>
    <w:p>
      <w:pPr>
        <w:spacing w:after="0" w:line="191"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shares of Common Stock which may vest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issuable under the Award pursuant to the terms of this Agreement and the Award Notice.</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59"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Target Level Attainment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 set forth in Schedule I to the Award Notice at the level designated as Target Level attainment for that goal.</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Vested Percentage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(i) fifty percent (50%) if the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is consummated during the first 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8" w:name="page109"/>
    <w:bookmarkEnd w:id="108"/>
    <w:p>
      <w:pPr>
        <w:ind w:left="3840"/>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2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ILLUSTRATION OF VESTING CALCULATIONS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following examples are for illustration purposes only:</w:t>
      </w:r>
    </w:p>
    <w:p>
      <w:pPr>
        <w:spacing w:after="0" w:line="220" w:lineRule="exact"/>
        <w:rPr>
          <w:sz w:val="20"/>
          <w:szCs w:val="20"/>
          <w:color w:val="auto"/>
        </w:rPr>
      </w:pPr>
    </w:p>
    <w:p>
      <w:pPr>
        <w:jc w:val="both"/>
        <w:ind w:left="200" w:right="219" w:firstLine="9"/>
        <w:spacing w:after="0" w:line="248" w:lineRule="auto"/>
        <w:tabs>
          <w:tab w:leader="none" w:pos="52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receives an Award for 100 Shares at Target Level and Participant continues in Service until the expiration of the requisite three (3)-year Service vesting period. If the Performance Goal is attained at the Target Level, Participant shall vest in 100 Shares upon the Service Vesting Date. If the Performance Goal is attained at the Extraordinary Level, Participant shall vest in an additional 150 Shares for a total of 250 Shares following the completion of the Performance Period.</w:t>
      </w:r>
    </w:p>
    <w:p>
      <w:pPr>
        <w:spacing w:after="0" w:line="186" w:lineRule="exact"/>
        <w:rPr>
          <w:rFonts w:ascii="Times New Roman" w:cs="Times New Roman" w:eastAsia="Times New Roman" w:hAnsi="Times New Roman"/>
          <w:sz w:val="22"/>
          <w:szCs w:val="22"/>
          <w:color w:val="auto"/>
        </w:rPr>
      </w:pPr>
    </w:p>
    <w:p>
      <w:pPr>
        <w:jc w:val="both"/>
        <w:ind w:left="200" w:right="219" w:firstLine="9"/>
        <w:spacing w:after="0" w:line="250" w:lineRule="auto"/>
        <w:tabs>
          <w:tab w:leader="none" w:pos="52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receives an Award for 100 Shares at Target Level and Participant ceases Service due to Permanent Disability halfway through the Performance Period. If the Performance Goal is attained at the Target Level, Participant shall vest in 50 of the Shares. On the other hand, if the Performance Goal is attained at the Extraordinary Level, Participant shall vest in an additional 75 Shares for a total of 125 Shares.</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65" w:lineRule="auto"/>
        <w:tabs>
          <w:tab w:leader="none" w:pos="524"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receives an Award for 100 Shares at Target Level and Participant continues in Service until the Service Vesting Date. If the Performance Goal is attained at a point halfway between the Threshold and Target Levels, Participant would vest in 63 of the Shares following the completion of the Performance Period upon the Service Vesting Date. On the other hand, if the Performance Goal is attained at a point halfway between the Target and Extraordinary Levels, Participant would vest in 175 of the Shares following the completion of the Performance Period.</w:t>
      </w:r>
    </w:p>
    <w:p>
      <w:pPr>
        <w:spacing w:after="0" w:line="168" w:lineRule="exact"/>
        <w:rPr>
          <w:rFonts w:ascii="Times New Roman" w:cs="Times New Roman" w:eastAsia="Times New Roman" w:hAnsi="Times New Roman"/>
          <w:sz w:val="21"/>
          <w:szCs w:val="21"/>
          <w:color w:val="auto"/>
        </w:rPr>
      </w:pPr>
    </w:p>
    <w:p>
      <w:pPr>
        <w:jc w:val="both"/>
        <w:ind w:left="200" w:right="219" w:firstLine="9"/>
        <w:spacing w:after="0" w:line="248" w:lineRule="auto"/>
        <w:tabs>
          <w:tab w:leader="none" w:pos="59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receives an Award for 100 Shares at Target Level and Participant ceases Service due to Permanent Disability halfway through the Performance Period. If the Performance Goal is attained at a point halfway between the Threshold and Target Levels, Participant would vest in 32 of the Shares following the completion of the Performance Period. On the other hand, if the Performance Goal is attained at a point halfway between the Target and Extraordinary Levels, Participant would vest in 88 of the Shares following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09" w:name="page110"/>
    <w:bookmarkEnd w:id="109"/>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10.46</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Performance Share Award Package – Standard Template</w:t>
      </w:r>
    </w:p>
    <w:p>
      <w:pPr>
        <w:spacing w:after="0" w:line="18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AWARD OF PERFORMANCE SHARES</w:t>
      </w:r>
    </w:p>
    <w:p>
      <w:pPr>
        <w:spacing w:after="0" w:line="169"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21"/>
          <w:szCs w:val="21"/>
          <w:color w:val="auto"/>
        </w:rPr>
        <w:t>The Corporation hereby awards to Participant, as of the Award Date indicated below, an award (the “Award”) of Performance Shares under the Corporation’s 2016 Incentive Compensation Plan (as amended from time to time,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spacing w:after="0" w:line="144"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AWARD SUMMARY</w:t>
            </w:r>
          </w:p>
        </w:tc>
      </w:tr>
      <w:tr>
        <w:trPr>
          <w:trHeight w:val="380"/>
        </w:trPr>
        <w:tc>
          <w:tcPr>
            <w:tcW w:w="80" w:type="dxa"/>
            <w:vAlign w:val="bottom"/>
          </w:tcPr>
          <w:p>
            <w:pPr>
              <w:spacing w:after="0"/>
              <w:rPr>
                <w:sz w:val="24"/>
                <w:szCs w:val="24"/>
                <w:color w:val="auto"/>
              </w:rPr>
            </w:pPr>
          </w:p>
        </w:tc>
        <w:tc>
          <w:tcPr>
            <w:tcW w:w="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6"/>
              </w:rPr>
              <w:t>Participant</w:t>
            </w:r>
          </w:p>
        </w:tc>
        <w:tc>
          <w:tcPr>
            <w:tcW w:w="780" w:type="dxa"/>
            <w:vAlign w:val="bottom"/>
            <w:gridSpan w:val="2"/>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358"/>
        </w:trPr>
        <w:tc>
          <w:tcPr>
            <w:tcW w:w="80" w:type="dxa"/>
            <w:vAlign w:val="bottom"/>
          </w:tcPr>
          <w:p>
            <w:pPr>
              <w:spacing w:after="0"/>
              <w:rPr>
                <w:sz w:val="24"/>
                <w:szCs w:val="24"/>
                <w:color w:val="auto"/>
              </w:rPr>
            </w:pPr>
          </w:p>
        </w:tc>
        <w:tc>
          <w:tcPr>
            <w:tcW w:w="1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5"/>
              </w:rPr>
              <w:t>Award Date:</w:t>
            </w:r>
          </w:p>
        </w:tc>
        <w:tc>
          <w:tcPr>
            <w:tcW w:w="6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372"/>
        </w:trPr>
        <w:tc>
          <w:tcPr>
            <w:tcW w:w="8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Performance</w:t>
            </w: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The number of shares of Common Stock issuable pursuant to the Award shall</w:t>
            </w:r>
          </w:p>
        </w:tc>
      </w:tr>
      <w:tr>
        <w:trPr>
          <w:trHeight w:val="237"/>
        </w:trPr>
        <w:tc>
          <w:tcPr>
            <w:tcW w:w="80" w:type="dxa"/>
            <w:vAlign w:val="bottom"/>
          </w:tcPr>
          <w:p>
            <w:pPr>
              <w:spacing w:after="0"/>
              <w:rPr>
                <w:sz w:val="20"/>
                <w:szCs w:val="20"/>
                <w:color w:val="auto"/>
              </w:rPr>
            </w:pPr>
          </w:p>
        </w:tc>
        <w:tc>
          <w:tcPr>
            <w:tcW w:w="1100" w:type="dxa"/>
            <w:vAlign w:val="bottom"/>
            <w:tcBorders>
              <w:top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rPr>
              <w:t>Shares:</w:t>
            </w:r>
          </w:p>
        </w:tc>
        <w:tc>
          <w:tcPr>
            <w:tcW w:w="620" w:type="dxa"/>
            <w:vAlign w:val="bottom"/>
          </w:tcPr>
          <w:p>
            <w:pPr>
              <w:spacing w:after="0"/>
              <w:rPr>
                <w:sz w:val="20"/>
                <w:szCs w:val="20"/>
                <w:color w:val="auto"/>
              </w:rPr>
            </w:pPr>
          </w:p>
        </w:tc>
        <w:tc>
          <w:tcPr>
            <w:tcW w:w="678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be determined in accordance with the Vesting Schedule below. For purposes</w:t>
            </w:r>
          </w:p>
        </w:tc>
      </w:tr>
      <w:tr>
        <w:trPr>
          <w:trHeight w:val="263"/>
        </w:trPr>
        <w:tc>
          <w:tcPr>
            <w:tcW w:w="8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of the percentage calculations set forth in the performance vesting section of</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such schedule, the number of shares of Common Stock to be utilized is ____</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shares (the “Performance Shares”).  The specific number of Performance</w:t>
            </w:r>
          </w:p>
        </w:tc>
      </w:tr>
      <w:tr>
        <w:trPr>
          <w:trHeight w:val="256"/>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Shares set forth in this paragraph shall be referred to as the “Designated</w:t>
            </w:r>
          </w:p>
        </w:tc>
      </w:tr>
      <w:tr>
        <w:trPr>
          <w:trHeight w:val="28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Shares”.</w:t>
            </w:r>
          </w:p>
        </w:tc>
      </w:tr>
      <w:tr>
        <w:trPr>
          <w:trHeight w:val="326"/>
        </w:trPr>
        <w:tc>
          <w:tcPr>
            <w:tcW w:w="8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Vesting</w:t>
            </w: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The number of shares of Common Stock which may actually vest and become</w:t>
            </w:r>
          </w:p>
        </w:tc>
      </w:tr>
      <w:tr>
        <w:trPr>
          <w:trHeight w:val="20"/>
        </w:trPr>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172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rPr>
              <w:t>Schedule:</w:t>
            </w:r>
          </w:p>
        </w:tc>
        <w:tc>
          <w:tcPr>
            <w:tcW w:w="678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issuable pursuant to the Award shall be determined pursuant to a two-step</w:t>
            </w:r>
          </w:p>
        </w:tc>
      </w:tr>
      <w:tr>
        <w:trPr>
          <w:trHeight w:val="263"/>
        </w:trPr>
        <w:tc>
          <w:tcPr>
            <w:tcW w:w="8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process: (i) first there shall be calculated the maximum number of shares of</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Common Stock in which Participant can vest under the performance vesting</w:t>
            </w:r>
          </w:p>
        </w:tc>
      </w:tr>
      <w:tr>
        <w:trPr>
          <w:trHeight w:val="256"/>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below based upon the actual level at which the Performance Goal</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specified on attached Schedule I is attained and (ii) then the number of shares</w:t>
            </w:r>
          </w:p>
        </w:tc>
      </w:tr>
      <w:tr>
        <w:trPr>
          <w:trHeight w:val="256"/>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calculated under clause (i) in which Participant may actually vest shall be</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determined on the basis of his or her satisfaction of the applicable Service</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vesting  requirements  set  forth  in  the  form  Performance  Share  Award</w:t>
            </w:r>
          </w:p>
        </w:tc>
      </w:tr>
      <w:tr>
        <w:trPr>
          <w:trHeight w:val="28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Agreement.</w:t>
            </w:r>
          </w:p>
        </w:tc>
      </w:tr>
      <w:tr>
        <w:trPr>
          <w:trHeight w:val="379"/>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rPr>
              <w:t>Performance Vesting</w:t>
            </w:r>
            <w:r>
              <w:rPr>
                <w:rFonts w:ascii="Times New Roman" w:cs="Times New Roman" w:eastAsia="Times New Roman" w:hAnsi="Times New Roman"/>
                <w:sz w:val="22"/>
                <w:szCs w:val="22"/>
                <w:color w:val="auto"/>
              </w:rPr>
              <w:t>:  Attached Schedule I specifies the Performance Goal</w:t>
            </w:r>
          </w:p>
        </w:tc>
      </w:tr>
      <w:tr>
        <w:trPr>
          <w:trHeight w:val="28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and Performance Period established for the Award.</w:t>
            </w:r>
          </w:p>
        </w:tc>
      </w:tr>
      <w:tr>
        <w:trPr>
          <w:trHeight w:val="339"/>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Performance Goal: There are three designated levels of attainment set forth in</w:t>
            </w:r>
          </w:p>
        </w:tc>
      </w:tr>
      <w:tr>
        <w:trPr>
          <w:trHeight w:val="20"/>
        </w:trPr>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I for the Performance Goal: Threshold, Target and Extraordinary.</w:t>
            </w:r>
          </w:p>
        </w:tc>
      </w:tr>
      <w:tr>
        <w:trPr>
          <w:trHeight w:val="256"/>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9"/>
              </w:rPr>
              <w:t>Following the completion of the Performance Period, the Plan Administrator</w:t>
            </w:r>
          </w:p>
        </w:tc>
      </w:tr>
      <w:tr>
        <w:trPr>
          <w:trHeight w:val="257"/>
        </w:trPr>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shall determine and certify the actual level of attainment for the Performance</w:t>
            </w:r>
          </w:p>
        </w:tc>
      </w:tr>
      <w:tr>
        <w:trPr>
          <w:trHeight w:val="28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Goal and shall then measure that level of attainment</w:t>
            </w:r>
          </w:p>
        </w:tc>
      </w:tr>
      <w:tr>
        <w:trPr>
          <w:trHeight w:val="702"/>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gridSpan w:val="3"/>
          </w:tcPr>
          <w:p>
            <w:pPr>
              <w:ind w:left="2420"/>
              <w:spacing w:after="0"/>
              <w:rPr>
                <w:sz w:val="20"/>
                <w:szCs w:val="20"/>
                <w:color w:val="auto"/>
              </w:rPr>
            </w:pPr>
            <w:r>
              <w:rPr>
                <w:rFonts w:ascii="Times New Roman" w:cs="Times New Roman" w:eastAsia="Times New Roman" w:hAnsi="Times New Roman"/>
                <w:sz w:val="22"/>
                <w:szCs w:val="22"/>
                <w:color w:val="auto"/>
              </w:rPr>
              <w:t>1</w:t>
            </w:r>
          </w:p>
        </w:tc>
      </w:tr>
      <w:tr>
        <w:trPr>
          <w:trHeight w:val="535"/>
        </w:trPr>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110" w:name="page111"/>
    <w:bookmarkEnd w:id="110"/>
    <w:p>
      <w:pPr>
        <w:jc w:val="both"/>
        <w:ind w:left="2020" w:right="219"/>
        <w:spacing w:after="0" w:line="247" w:lineRule="auto"/>
        <w:rPr>
          <w:sz w:val="20"/>
          <w:szCs w:val="20"/>
          <w:color w:val="auto"/>
        </w:rPr>
      </w:pPr>
      <w:r>
        <w:rPr>
          <w:rFonts w:ascii="Times New Roman" w:cs="Times New Roman" w:eastAsia="Times New Roman" w:hAnsi="Times New Roman"/>
          <w:sz w:val="22"/>
          <w:szCs w:val="22"/>
          <w:color w:val="auto"/>
        </w:rPr>
        <w:t>against the Threshold, Target and Extraordinary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be determined by applying the corresponding percentage below for that level of attainment to the number of Designated Shares set forth above:</w:t>
      </w:r>
    </w:p>
    <w:p>
      <w:pPr>
        <w:spacing w:after="0" w:line="154" w:lineRule="exact"/>
        <w:rPr>
          <w:sz w:val="20"/>
          <w:szCs w:val="20"/>
          <w:color w:val="auto"/>
        </w:rPr>
      </w:pPr>
    </w:p>
    <w:tbl>
      <w:tblPr>
        <w:tblLayout w:type="fixed"/>
        <w:tblInd w:w="2020" w:type="dxa"/>
        <w:tblCellMar>
          <w:top w:w="0" w:type="dxa"/>
          <w:left w:w="0" w:type="dxa"/>
          <w:bottom w:w="0" w:type="dxa"/>
          <w:right w:w="0" w:type="dxa"/>
        </w:tblCellMar>
      </w:tblPr>
      <w:tr>
        <w:trPr>
          <w:trHeight w:val="286"/>
        </w:trPr>
        <w:tc>
          <w:tcPr>
            <w:tcW w:w="2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Level of Attainment</w:t>
            </w:r>
          </w:p>
        </w:tc>
        <w:tc>
          <w:tcPr>
            <w:tcW w:w="38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Percentage of Performance Shares</w:t>
            </w:r>
          </w:p>
        </w:tc>
      </w:tr>
      <w:tr>
        <w:trPr>
          <w:trHeight w:val="238"/>
        </w:trPr>
        <w:tc>
          <w:tcPr>
            <w:tcW w:w="2640" w:type="dxa"/>
            <w:vAlign w:val="bottom"/>
            <w:tcBorders>
              <w:top w:val="single" w:sz="8" w:color="auto"/>
            </w:tcBorders>
          </w:tcPr>
          <w:p>
            <w:pPr>
              <w:spacing w:after="0" w:line="238" w:lineRule="exact"/>
              <w:rPr>
                <w:sz w:val="20"/>
                <w:szCs w:val="20"/>
                <w:color w:val="auto"/>
              </w:rPr>
            </w:pPr>
            <w:r>
              <w:rPr>
                <w:rFonts w:ascii="Times New Roman" w:cs="Times New Roman" w:eastAsia="Times New Roman" w:hAnsi="Times New Roman"/>
                <w:sz w:val="22"/>
                <w:szCs w:val="22"/>
                <w:color w:val="auto"/>
              </w:rPr>
              <w:t>Below the Threshold Level:</w:t>
            </w:r>
          </w:p>
        </w:tc>
        <w:tc>
          <w:tcPr>
            <w:tcW w:w="320" w:type="dxa"/>
            <w:vAlign w:val="bottom"/>
          </w:tcPr>
          <w:p>
            <w:pPr>
              <w:spacing w:after="0"/>
              <w:rPr>
                <w:sz w:val="20"/>
                <w:szCs w:val="20"/>
                <w:color w:val="auto"/>
              </w:rPr>
            </w:pPr>
          </w:p>
        </w:tc>
        <w:tc>
          <w:tcPr>
            <w:tcW w:w="3820" w:type="dxa"/>
            <w:vAlign w:val="bottom"/>
            <w:tcBorders>
              <w:top w:val="single" w:sz="8" w:color="auto"/>
            </w:tcBorders>
          </w:tcPr>
          <w:p>
            <w:pPr>
              <w:jc w:val="center"/>
              <w:spacing w:after="0" w:line="238" w:lineRule="exact"/>
              <w:rPr>
                <w:sz w:val="20"/>
                <w:szCs w:val="20"/>
                <w:color w:val="auto"/>
              </w:rPr>
            </w:pPr>
            <w:r>
              <w:rPr>
                <w:rFonts w:ascii="Times New Roman" w:cs="Times New Roman" w:eastAsia="Times New Roman" w:hAnsi="Times New Roman"/>
                <w:sz w:val="22"/>
                <w:szCs w:val="22"/>
                <w:color w:val="auto"/>
              </w:rPr>
              <w:t>0%</w:t>
            </w: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 the Threshold Level:</w:t>
            </w:r>
          </w:p>
        </w:tc>
        <w:tc>
          <w:tcPr>
            <w:tcW w:w="3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 the Target Level:</w:t>
            </w:r>
          </w:p>
        </w:tc>
        <w:tc>
          <w:tcPr>
            <w:tcW w:w="3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82"/>
        </w:trPr>
        <w:tc>
          <w:tcPr>
            <w:tcW w:w="2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 the Extraordinary Level:</w:t>
            </w:r>
          </w:p>
        </w:tc>
        <w:tc>
          <w:tcPr>
            <w:tcW w:w="3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r>
    </w:tbl>
    <w:p>
      <w:pPr>
        <w:spacing w:after="0" w:line="177" w:lineRule="exact"/>
        <w:rPr>
          <w:sz w:val="20"/>
          <w:szCs w:val="20"/>
          <w:color w:val="auto"/>
        </w:rPr>
      </w:pPr>
    </w:p>
    <w:p>
      <w:pPr>
        <w:jc w:val="both"/>
        <w:ind w:left="2020" w:right="239"/>
        <w:spacing w:after="0" w:line="252" w:lineRule="auto"/>
        <w:rPr>
          <w:sz w:val="20"/>
          <w:szCs w:val="20"/>
          <w:color w:val="auto"/>
        </w:rPr>
      </w:pPr>
      <w:r>
        <w:rPr>
          <w:rFonts w:ascii="Times New Roman" w:cs="Times New Roman" w:eastAsia="Times New Roman" w:hAnsi="Times New Roman"/>
          <w:sz w:val="22"/>
          <w:szCs w:val="22"/>
          <w:color w:val="auto"/>
        </w:rPr>
        <w:t>To the extent the actual level of attainment of the Performance Goal is at a point between the Threshold and Target Levels, the maximum number of shares of Common Stock in which Participant can vest shall be pro-rated between the two points on a straight line basis.</w:t>
      </w:r>
    </w:p>
    <w:p>
      <w:pPr>
        <w:spacing w:after="0" w:line="179" w:lineRule="exact"/>
        <w:rPr>
          <w:sz w:val="20"/>
          <w:szCs w:val="20"/>
          <w:color w:val="auto"/>
        </w:rPr>
      </w:pPr>
    </w:p>
    <w:p>
      <w:pPr>
        <w:jc w:val="both"/>
        <w:ind w:left="2040" w:right="219" w:hanging="15"/>
        <w:spacing w:after="0" w:line="252" w:lineRule="auto"/>
        <w:rPr>
          <w:sz w:val="20"/>
          <w:szCs w:val="20"/>
          <w:color w:val="auto"/>
        </w:rPr>
      </w:pPr>
      <w:r>
        <w:rPr>
          <w:rFonts w:ascii="Times New Roman" w:cs="Times New Roman" w:eastAsia="Times New Roman" w:hAnsi="Times New Roman"/>
          <w:sz w:val="22"/>
          <w:szCs w:val="22"/>
          <w:color w:val="auto"/>
        </w:rPr>
        <w:t>To the extent the actual level of attainment of a Performance Goal is at a point between the Target and Extraordinary Levels, the maximum number of shares of Common Stock in which Participant can vest shall be pro-rated between the two points on a straight line basis.</w:t>
      </w:r>
    </w:p>
    <w:p>
      <w:pPr>
        <w:spacing w:after="0" w:line="179" w:lineRule="exact"/>
        <w:rPr>
          <w:sz w:val="20"/>
          <w:szCs w:val="20"/>
          <w:color w:val="auto"/>
        </w:rPr>
      </w:pPr>
    </w:p>
    <w:p>
      <w:pPr>
        <w:jc w:val="both"/>
        <w:ind w:left="2020" w:right="219"/>
        <w:spacing w:after="0" w:line="248" w:lineRule="auto"/>
        <w:rPr>
          <w:sz w:val="20"/>
          <w:szCs w:val="20"/>
          <w:color w:val="auto"/>
        </w:rPr>
      </w:pPr>
      <w:r>
        <w:rPr>
          <w:rFonts w:ascii="Times New Roman" w:cs="Times New Roman" w:eastAsia="Times New Roman" w:hAnsi="Times New Roman"/>
          <w:sz w:val="22"/>
          <w:szCs w:val="22"/>
          <w:u w:val="single" w:color="auto"/>
          <w:color w:val="auto"/>
        </w:rPr>
        <w:t>Performance-Qualified Shares</w:t>
      </w:r>
      <w:r>
        <w:rPr>
          <w:rFonts w:ascii="Times New Roman" w:cs="Times New Roman" w:eastAsia="Times New Roman" w:hAnsi="Times New Roman"/>
          <w:sz w:val="22"/>
          <w:szCs w:val="22"/>
          <w:color w:val="auto"/>
        </w:rPr>
        <w:t>: The maximum number of shares of Common Stock in which Participant can vest on the basis of the foregoing performance measures shall be hereinafter designated the “Performance-Qualified Shares” and shall in no event exceed in the aggregate 200% of the number of Designated Shares set forth in the Number of Shares Subject to Award section above.</w:t>
      </w:r>
    </w:p>
    <w:p>
      <w:pPr>
        <w:spacing w:after="0" w:line="181" w:lineRule="exact"/>
        <w:rPr>
          <w:sz w:val="20"/>
          <w:szCs w:val="20"/>
          <w:color w:val="auto"/>
        </w:rPr>
      </w:pPr>
    </w:p>
    <w:p>
      <w:pPr>
        <w:jc w:val="both"/>
        <w:ind w:left="2020" w:right="219"/>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Service Vesting. </w:t>
      </w:r>
      <w:r>
        <w:rPr>
          <w:rFonts w:ascii="Times New Roman" w:cs="Times New Roman" w:eastAsia="Times New Roman" w:hAnsi="Times New Roman"/>
          <w:sz w:val="22"/>
          <w:szCs w:val="22"/>
          <w:color w:val="auto"/>
        </w:rPr>
        <w:t>The number of Performance-Qualified Shares in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Participant actually vests shall be determined on the basis of his or her satisfaction of the Service-vesting requirements set forth in Paragraph 3 of the form Performance Share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“Award Agreement”).</w:t>
      </w:r>
    </w:p>
    <w:p>
      <w:pPr>
        <w:spacing w:after="0" w:line="155"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12th Street, Oakland, California 94607.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11" w:name="page112"/>
    <w:bookmarkEnd w:id="111"/>
    <w:p>
      <w:pPr>
        <w:ind w:left="200"/>
        <w:spacing w:after="0"/>
        <w:rPr>
          <w:sz w:val="20"/>
          <w:szCs w:val="20"/>
          <w:color w:val="auto"/>
        </w:rPr>
      </w:pPr>
      <w:r>
        <w:rPr>
          <w:rFonts w:ascii="Times New Roman" w:cs="Times New Roman" w:eastAsia="Times New Roman" w:hAnsi="Times New Roman"/>
          <w:sz w:val="22"/>
          <w:szCs w:val="22"/>
          <w:u w:val="single" w:color="auto"/>
          <w:color w:val="auto"/>
        </w:rPr>
        <w:t>Coverage under Recoupment Policy</w:t>
      </w:r>
      <w:r>
        <w:rPr>
          <w:rFonts w:ascii="Times New Roman" w:cs="Times New Roman" w:eastAsia="Times New Roman" w:hAnsi="Times New Roman"/>
          <w:sz w:val="22"/>
          <w:szCs w:val="22"/>
          <w:color w:val="auto"/>
        </w:rPr>
        <w:t>. Participant hereby agrees that:</w:t>
      </w:r>
    </w:p>
    <w:p>
      <w:pPr>
        <w:spacing w:after="0" w:line="220" w:lineRule="exact"/>
        <w:rPr>
          <w:sz w:val="20"/>
          <w:szCs w:val="20"/>
          <w:color w:val="auto"/>
        </w:rPr>
      </w:pPr>
    </w:p>
    <w:p>
      <w:pPr>
        <w:jc w:val="both"/>
        <w:ind w:left="200" w:right="219" w:firstLine="1305"/>
        <w:spacing w:after="0" w:line="257" w:lineRule="auto"/>
        <w:tabs>
          <w:tab w:leader="none" w:pos="21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may be subject to the Matson, Inc. Policy Regarding Recoupment of Certain Compensation, as applicable and as it may be amended from time to time, the terms of which are hereby incorporated herein by reference; and</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incentive compensation that is paid or granted to, or received by, Participant under the Award shall be subject to recovery and recoupment pursuant to the terms of such policy.</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 copy of the recoupment policy is available upon request made to the Corporate Secretary.</w:t>
      </w:r>
    </w:p>
    <w:p>
      <w:pPr>
        <w:spacing w:after="0" w:line="220"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2"/>
          <w:szCs w:val="22"/>
          <w:u w:val="single" w:color="auto"/>
          <w:color w:val="auto"/>
        </w:rPr>
        <w:t>Continuing Consent</w:t>
      </w:r>
      <w:r>
        <w:rPr>
          <w:rFonts w:ascii="Times New Roman" w:cs="Times New Roman" w:eastAsia="Times New Roman" w:hAnsi="Times New Roman"/>
          <w:sz w:val="22"/>
          <w:szCs w:val="22"/>
          <w:color w:val="auto"/>
        </w:rPr>
        <w:t>.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Award Agreement, and Participant hereby understands and agrees to those terms and conditions for each such subsequent Performance Shares award that may be made to him or her under the Plan and hereby agrees to be bound by those terms and conditions for any such Performance Share awards, without any further consent or action required on his or her part at the time or times when those awards may be made. However, Participant may, at any time he or she holds an outstanding Performance Share award under the Plan, request a written copy of the Award Agreement from the Corporation by contacting the Corporation’s Human Resources Department at the Corporation’s offices at 555 12th Street, Oakland, California 94607.</w:t>
      </w:r>
    </w:p>
    <w:p>
      <w:pPr>
        <w:spacing w:after="0" w:line="187"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2" w:name="page113"/>
    <w:bookmarkEnd w:id="112"/>
    <w:p>
      <w:pPr>
        <w:ind w:left="200" w:right="219"/>
        <w:spacing w:after="0" w:line="271" w:lineRule="auto"/>
        <w:rPr>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capitalized terms in this Notice shall have the meaning assigned to them in this Notice or in the Award Agreement.</w:t>
      </w: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-13970</wp:posOffset>
            </wp:positionV>
            <wp:extent cx="6858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2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10795</wp:posOffset>
            </wp:positionV>
            <wp:extent cx="24085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10795</wp:posOffset>
            </wp:positionV>
            <wp:extent cx="24085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-157480</wp:posOffset>
            </wp:positionV>
            <wp:extent cx="24085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3" w:name="page114"/>
    <w:bookmarkEnd w:id="113"/>
    <w:p>
      <w:pPr>
        <w:ind w:left="384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PERFORMANCE PERIOD, PERFORMANCE GOAL</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LEVELS OF ATTAINMENT</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PERFORMANCE PERIOD</w:t>
      </w:r>
    </w:p>
    <w:p>
      <w:pPr>
        <w:spacing w:after="0" w:line="226" w:lineRule="exact"/>
        <w:rPr>
          <w:sz w:val="20"/>
          <w:szCs w:val="20"/>
          <w:color w:val="auto"/>
        </w:rPr>
      </w:pPr>
    </w:p>
    <w:p>
      <w:pPr>
        <w:jc w:val="both"/>
        <w:ind w:left="200" w:right="239" w:firstLine="1296"/>
        <w:spacing w:after="0" w:line="271" w:lineRule="auto"/>
        <w:rPr>
          <w:sz w:val="20"/>
          <w:szCs w:val="20"/>
          <w:color w:val="auto"/>
        </w:rPr>
      </w:pPr>
      <w:r>
        <w:rPr>
          <w:rFonts w:ascii="Times New Roman" w:cs="Times New Roman" w:eastAsia="Times New Roman" w:hAnsi="Times New Roman"/>
          <w:sz w:val="22"/>
          <w:szCs w:val="22"/>
          <w:color w:val="auto"/>
        </w:rPr>
        <w:t>The Performance Period shall be the three (3)-year period beginning January 1, 20xx and ending December 31, 20xx.</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PERFORMANCE GOAL – RETURN ON INVESTED CAPITAL</w:t>
      </w:r>
    </w:p>
    <w:p>
      <w:pPr>
        <w:spacing w:after="0" w:line="226" w:lineRule="exact"/>
        <w:rPr>
          <w:sz w:val="20"/>
          <w:szCs w:val="20"/>
          <w:color w:val="auto"/>
        </w:rPr>
      </w:pPr>
    </w:p>
    <w:p>
      <w:pPr>
        <w:jc w:val="both"/>
        <w:ind w:left="200" w:right="219" w:firstLine="1296"/>
        <w:spacing w:after="0" w:line="252" w:lineRule="auto"/>
        <w:rPr>
          <w:sz w:val="20"/>
          <w:szCs w:val="20"/>
          <w:color w:val="auto"/>
        </w:rPr>
      </w:pPr>
      <w:r>
        <w:rPr>
          <w:rFonts w:ascii="Times New Roman" w:cs="Times New Roman" w:eastAsia="Times New Roman" w:hAnsi="Times New Roman"/>
          <w:sz w:val="22"/>
          <w:szCs w:val="22"/>
          <w:color w:val="auto"/>
        </w:rPr>
        <w:t>The performance vesting requirement for this Award shall be tied to the level of attainment of the Average Adjusted ROIC for the Performance Period. The required levels of attainment of Average Adjusted ROIC for the Performance Period at the Threshold, Target and Extraordinary Levels are as follows:</w:t>
      </w:r>
    </w:p>
    <w:p>
      <w:pPr>
        <w:spacing w:after="0" w:line="156"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Threshold Level: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0"/>
        </w:trPr>
        <w:tc>
          <w:tcPr>
            <w:tcW w:w="2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20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Target Level:</w:t>
            </w:r>
          </w:p>
        </w:tc>
        <w:tc>
          <w:tcPr>
            <w:tcW w:w="46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Extraordinary</w:t>
            </w:r>
          </w:p>
        </w:tc>
        <w:tc>
          <w:tcPr>
            <w:tcW w:w="2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2040" w:type="dxa"/>
            <w:vAlign w:val="bottom"/>
          </w:tcPr>
          <w:p>
            <w:pPr>
              <w:ind w:left="140"/>
              <w:spacing w:after="0" w:line="230" w:lineRule="exact"/>
              <w:rPr>
                <w:sz w:val="20"/>
                <w:szCs w:val="20"/>
                <w:color w:val="auto"/>
              </w:rPr>
            </w:pPr>
            <w:r>
              <w:rPr>
                <w:rFonts w:ascii="Times New Roman" w:cs="Times New Roman" w:eastAsia="Times New Roman" w:hAnsi="Times New Roman"/>
                <w:sz w:val="22"/>
                <w:szCs w:val="22"/>
                <w:color w:val="auto"/>
              </w:rPr>
              <w:t>Level</w:t>
            </w:r>
          </w:p>
        </w:tc>
        <w:tc>
          <w:tcPr>
            <w:tcW w:w="4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2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“Average Adjusted ROIC” shall be the percentage, rounded down to the nearest tenth of a percent, determined as follows:</w:t>
      </w:r>
    </w:p>
    <w:p>
      <w:pPr>
        <w:spacing w:after="0" w:line="212" w:lineRule="exact"/>
        <w:rPr>
          <w:sz w:val="20"/>
          <w:szCs w:val="20"/>
          <w:color w:val="auto"/>
        </w:rPr>
      </w:pPr>
    </w:p>
    <w:p>
      <w:pPr>
        <w:jc w:val="center"/>
        <w:ind w:left="200" w:right="219"/>
        <w:spacing w:after="0" w:line="271" w:lineRule="auto"/>
        <w:rPr>
          <w:sz w:val="20"/>
          <w:szCs w:val="20"/>
          <w:color w:val="auto"/>
        </w:rPr>
      </w:pPr>
      <w:r>
        <w:rPr>
          <w:rFonts w:ascii="Times New Roman" w:cs="Times New Roman" w:eastAsia="Times New Roman" w:hAnsi="Times New Roman"/>
          <w:sz w:val="22"/>
          <w:szCs w:val="22"/>
          <w:color w:val="auto"/>
        </w:rPr>
        <w:t>Annual Adjusted ROIC for 20xx +Annual Adjusted ROIC for 20xx +Annual Adjusted ROIC for 20xx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-27305</wp:posOffset>
            </wp:positionV>
            <wp:extent cx="42430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1"/>
          <w:szCs w:val="21"/>
          <w:color w:val="auto"/>
        </w:rPr>
        <w:t>“Annual Adjusted ROIC” for a calendar year shall be the percentage determined as follows:</w:t>
      </w:r>
    </w:p>
    <w:p>
      <w:pPr>
        <w:spacing w:after="0" w:line="28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Adjusted Net Income After Tax + After Tax Interest</w:t>
      </w:r>
    </w:p>
    <w:p>
      <w:pPr>
        <w:ind w:left="3720"/>
        <w:spacing w:after="0" w:line="182" w:lineRule="auto"/>
        <w:tabs>
          <w:tab w:leader="none" w:pos="6660" w:val="left"/>
        </w:tabs>
        <w:rPr>
          <w:sz w:val="20"/>
          <w:szCs w:val="20"/>
          <w:color w:val="auto"/>
        </w:rPr>
      </w:pPr>
      <w:r>
        <w:rPr>
          <w:rFonts w:ascii="Times New Roman" w:cs="Times New Roman" w:eastAsia="Times New Roman" w:hAnsi="Times New Roman"/>
          <w:sz w:val="18"/>
          <w:szCs w:val="18"/>
          <w:color w:val="auto"/>
        </w:rPr>
        <w:t>Expense</w:t>
      </w:r>
      <w:r>
        <w:rPr>
          <w:sz w:val="20"/>
          <w:szCs w:val="20"/>
          <w:color w:val="auto"/>
        </w:rPr>
        <w:tab/>
      </w:r>
      <w:r>
        <w:rPr>
          <w:rFonts w:ascii="Times New Roman" w:cs="Times New Roman" w:eastAsia="Times New Roman" w:hAnsi="Times New Roman"/>
          <w:sz w:val="34"/>
          <w:szCs w:val="34"/>
          <w:color w:val="auto"/>
          <w:vertAlign w:val="subscript"/>
        </w:rPr>
        <w:t>x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-13970</wp:posOffset>
            </wp:positionV>
            <wp:extent cx="30943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jc w:val="center"/>
        <w:ind w:right="839"/>
        <w:spacing w:after="0"/>
        <w:rPr>
          <w:sz w:val="20"/>
          <w:szCs w:val="20"/>
          <w:color w:val="auto"/>
        </w:rPr>
      </w:pPr>
      <w:r>
        <w:rPr>
          <w:rFonts w:ascii="Times New Roman" w:cs="Times New Roman" w:eastAsia="Times New Roman" w:hAnsi="Times New Roman"/>
          <w:sz w:val="22"/>
          <w:szCs w:val="22"/>
          <w:color w:val="auto"/>
        </w:rPr>
        <w:t>Average Debt + Average Adjusted Total</w:t>
      </w:r>
    </w:p>
    <w:p>
      <w:pPr>
        <w:spacing w:after="0" w:line="4"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2"/>
          <w:szCs w:val="22"/>
          <w:color w:val="auto"/>
        </w:rPr>
        <w:t>Shareholders’ Equity</w:t>
      </w:r>
    </w:p>
    <w:p>
      <w:pPr>
        <w:spacing w:after="0" w:line="263" w:lineRule="exact"/>
        <w:rPr>
          <w:sz w:val="20"/>
          <w:szCs w:val="20"/>
          <w:color w:val="auto"/>
        </w:rPr>
      </w:pPr>
    </w:p>
    <w:p>
      <w:pPr>
        <w:jc w:val="both"/>
        <w:ind w:left="200" w:right="219"/>
        <w:spacing w:after="0" w:line="260" w:lineRule="auto"/>
        <w:rPr>
          <w:sz w:val="20"/>
          <w:szCs w:val="20"/>
          <w:color w:val="auto"/>
        </w:rPr>
      </w:pPr>
      <w:r>
        <w:rPr>
          <w:rFonts w:ascii="Times New Roman" w:cs="Times New Roman" w:eastAsia="Times New Roman" w:hAnsi="Times New Roman"/>
          <w:sz w:val="21"/>
          <w:szCs w:val="21"/>
          <w:color w:val="auto"/>
        </w:rPr>
        <w:t>Annual Adjusted ROIC for a calendar year shall be calculated on a consolidated basis with the Corporation’s consolidated subsidiaries for U.S. financial reporting purposes and shall be determined on the basis of the Corporation’s audited financial statements for such year prepared in accordance with United States generally accepted accounting principles, subject to any adjustments as determined by the Plan Administrator that are needed to accurately reflect the performance of the Corporation (e.g., because of changes in accounting rules, extraordinary gains from the sale of the Corporation’s assets, unforeseen extraordinary events affecting the Corporation or any of its business operations, or other similar or dissimilar circumstances occurring during the Performance Period that may or may not have been beyond the control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4" w:name="page115"/>
    <w:bookmarkEnd w:id="114"/>
    <w:p>
      <w:pPr>
        <w:jc w:val="both"/>
        <w:ind w:left="200" w:right="239"/>
        <w:spacing w:after="0" w:line="271" w:lineRule="auto"/>
        <w:rPr>
          <w:sz w:val="20"/>
          <w:szCs w:val="20"/>
          <w:color w:val="auto"/>
        </w:rPr>
      </w:pPr>
      <w:r>
        <w:rPr>
          <w:rFonts w:ascii="Times New Roman" w:cs="Times New Roman" w:eastAsia="Times New Roman" w:hAnsi="Times New Roman"/>
          <w:sz w:val="22"/>
          <w:szCs w:val="22"/>
          <w:color w:val="auto"/>
        </w:rPr>
        <w:t>“Adjusted Net Income” for a calendar year means Net Income for the year minus tax-effected interest income on deposits in the Capital Construction Fund.</w:t>
      </w:r>
    </w:p>
    <w:p>
      <w:pPr>
        <w:spacing w:after="0" w:line="198" w:lineRule="exact"/>
        <w:rPr>
          <w:sz w:val="20"/>
          <w:szCs w:val="20"/>
          <w:color w:val="auto"/>
        </w:rPr>
      </w:pPr>
    </w:p>
    <w:p>
      <w:pPr>
        <w:jc w:val="both"/>
        <w:ind w:left="200" w:right="239"/>
        <w:spacing w:after="0" w:line="271" w:lineRule="auto"/>
        <w:rPr>
          <w:sz w:val="20"/>
          <w:szCs w:val="20"/>
          <w:color w:val="auto"/>
        </w:rPr>
      </w:pPr>
      <w:r>
        <w:rPr>
          <w:rFonts w:ascii="Times New Roman" w:cs="Times New Roman" w:eastAsia="Times New Roman" w:hAnsi="Times New Roman"/>
          <w:sz w:val="22"/>
          <w:szCs w:val="22"/>
          <w:color w:val="auto"/>
        </w:rPr>
        <w:t>“Average Debt” for a calendar year means the average of the Debt at the beginning of the year and Debt at the end of the year.</w:t>
      </w:r>
    </w:p>
    <w:p>
      <w:pPr>
        <w:spacing w:after="0" w:line="212"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“Debt” means long-term debt plus notes payable and current portion of the long term debt, as determined in accordance with United States generally accepted accounting principles, and is intended to include potential convertible debt and other hybrid debt issued in the future.</w:t>
      </w:r>
    </w:p>
    <w:p>
      <w:pPr>
        <w:spacing w:after="0" w:line="240"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“Adjusted Total Shareholders’ Equity” for a calendar year means the year-end balance of Shareholders’ Equity minus the year-end balance of construction-in-progress within Property, Plant &amp; Equipment, and minus the year-end balance of the Capital Construction Fund.</w:t>
      </w:r>
    </w:p>
    <w:p>
      <w:pPr>
        <w:spacing w:after="0" w:line="227"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22"/>
          <w:szCs w:val="22"/>
          <w:color w:val="auto"/>
        </w:rPr>
        <w:t>Unless otherwise defined above or in the Notice of Award of Performance Shares to which this Schedule is attached, capitalized terms used in this Schedule shall be construed in accordance with accounting principles generally accepted in the United States.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SHARE AWARD AGREEMENT</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78" w:lineRule="exact"/>
        <w:rPr>
          <w:sz w:val="20"/>
          <w:szCs w:val="20"/>
          <w:color w:val="auto"/>
        </w:rPr>
      </w:pPr>
    </w:p>
    <w:p>
      <w:pPr>
        <w:ind w:left="200" w:right="219" w:firstLine="1305"/>
        <w:spacing w:after="0" w:line="248" w:lineRule="auto"/>
        <w:tabs>
          <w:tab w:leader="none" w:pos="214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79"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capitalized terms in this Agreement shall have the meaning assigned to them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or if not defined in that appendix, as defined in the Plan.</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it is hereby agreed as follows:</w:t>
      </w:r>
    </w:p>
    <w:p>
      <w:pPr>
        <w:spacing w:after="0" w:line="220" w:lineRule="exact"/>
        <w:rPr>
          <w:sz w:val="20"/>
          <w:szCs w:val="20"/>
          <w:color w:val="auto"/>
        </w:rPr>
      </w:pPr>
    </w:p>
    <w:p>
      <w:pPr>
        <w:jc w:val="both"/>
        <w:ind w:left="200" w:right="219" w:firstLine="1305"/>
        <w:spacing w:after="0" w:line="254"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Performance Shares</w:t>
      </w:r>
      <w:r>
        <w:rPr>
          <w:rFonts w:ascii="Times New Roman" w:cs="Times New Roman" w:eastAsia="Times New Roman" w:hAnsi="Times New Roman"/>
          <w:sz w:val="22"/>
          <w:szCs w:val="22"/>
          <w:color w:val="auto"/>
        </w:rPr>
        <w:t>. The Corporation hereby awards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as of the 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Transferability</w:t>
      </w:r>
      <w:r>
        <w:rPr>
          <w:rFonts w:ascii="Times New Roman" w:cs="Times New Roman" w:eastAsia="Times New Roman" w:hAnsi="Times New Roman"/>
          <w:sz w:val="22"/>
          <w:szCs w:val="22"/>
          <w:color w:val="auto"/>
        </w:rPr>
        <w:t>. Prior to the actual issuance of the Shares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 hereunder, Participant may not transfer any interest in the Performance Shares subject to the Award or the underlying Shares or pledge or otherwise hedge the sale of those Performance Shares or underlying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19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Requirements</w:t>
      </w:r>
      <w:r>
        <w:rPr>
          <w:rFonts w:ascii="Times New Roman" w:cs="Times New Roman" w:eastAsia="Times New Roman" w:hAnsi="Times New Roman"/>
          <w:sz w:val="22"/>
          <w:szCs w:val="22"/>
          <w:color w:val="auto"/>
        </w:rPr>
        <w:t>. The actual number of Shares that may vest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6" w:name="page117"/>
    <w:bookmarkEnd w:id="116"/>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become issuable pursuant to the Performance Shares shall be determined pursuant to a two-step process: (i) first there shall be calculated the maximum number of Shares in which Participant can 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76" w:lineRule="exact"/>
        <w:rPr>
          <w:sz w:val="20"/>
          <w:szCs w:val="20"/>
          <w:color w:val="auto"/>
        </w:rPr>
      </w:pPr>
    </w:p>
    <w:p>
      <w:pPr>
        <w:jc w:val="both"/>
        <w:ind w:left="200" w:right="219" w:firstLine="1953"/>
        <w:spacing w:after="0" w:line="262" w:lineRule="auto"/>
        <w:tabs>
          <w:tab w:leader="none" w:pos="2792"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Performance Vesting</w:t>
      </w:r>
      <w:r>
        <w:rPr>
          <w:rFonts w:ascii="Times New Roman" w:cs="Times New Roman" w:eastAsia="Times New Roman" w:hAnsi="Times New Roman"/>
          <w:sz w:val="21"/>
          <w:szCs w:val="21"/>
          <w:color w:val="auto"/>
        </w:rPr>
        <w:t>: Following the completion of the Performance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Period, the 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 Appendix B attached to this Agreement sets forth examples illustrating the calculation of the number of Shares in which the Participant may vest based upon hypothetical levels of Performance Goal attainment and service vesting requirements.</w:t>
      </w:r>
    </w:p>
    <w:p>
      <w:pPr>
        <w:spacing w:after="0" w:line="166" w:lineRule="exact"/>
        <w:rPr>
          <w:rFonts w:ascii="Times New Roman" w:cs="Times New Roman" w:eastAsia="Times New Roman" w:hAnsi="Times New Roman"/>
          <w:sz w:val="21"/>
          <w:szCs w:val="21"/>
          <w:color w:val="auto"/>
        </w:rPr>
      </w:pPr>
    </w:p>
    <w:p>
      <w:pPr>
        <w:jc w:val="both"/>
        <w:ind w:left="200" w:right="219" w:firstLine="1953"/>
        <w:spacing w:after="0" w:line="266" w:lineRule="auto"/>
        <w:tabs>
          <w:tab w:leader="none" w:pos="279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Service Vesting</w:t>
      </w:r>
      <w:r>
        <w:rPr>
          <w:rFonts w:ascii="Times New Roman" w:cs="Times New Roman" w:eastAsia="Times New Roman" w:hAnsi="Times New Roman"/>
          <w:sz w:val="22"/>
          <w:szCs w:val="22"/>
          <w:color w:val="auto"/>
        </w:rPr>
        <w:t>: The Performance-Qualified Shares so determined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represent the maximum number of Shares in which Participant can vest hereunder. The actual number of Shares in which Participant shall vest shall be determined as follows:</w:t>
      </w:r>
    </w:p>
    <w:p>
      <w:pPr>
        <w:spacing w:after="0" w:line="163" w:lineRule="exact"/>
        <w:rPr>
          <w:rFonts w:ascii="Times New Roman" w:cs="Times New Roman" w:eastAsia="Times New Roman" w:hAnsi="Times New Roman"/>
          <w:sz w:val="22"/>
          <w:szCs w:val="22"/>
          <w:color w:val="auto"/>
        </w:rPr>
      </w:pPr>
    </w:p>
    <w:p>
      <w:pPr>
        <w:jc w:val="both"/>
        <w:ind w:left="860" w:right="879" w:firstLine="1941"/>
        <w:spacing w:after="0" w:line="247" w:lineRule="auto"/>
        <w:tabs>
          <w:tab w:leader="none" w:pos="345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continues in Service through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provided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79" w:lineRule="exact"/>
        <w:rPr>
          <w:rFonts w:ascii="Times New Roman" w:cs="Times New Roman" w:eastAsia="Times New Roman" w:hAnsi="Times New Roman"/>
          <w:sz w:val="22"/>
          <w:szCs w:val="22"/>
          <w:color w:val="auto"/>
        </w:rPr>
      </w:pPr>
    </w:p>
    <w:p>
      <w:pPr>
        <w:jc w:val="both"/>
        <w:ind w:left="860" w:right="859" w:firstLine="1941"/>
        <w:spacing w:after="0" w:line="257" w:lineRule="auto"/>
        <w:tabs>
          <w:tab w:leader="none" w:pos="3452"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Participant ceases Service </w:t>
      </w:r>
      <w:r>
        <w:rPr>
          <w:rFonts w:ascii="Times New Roman" w:cs="Times New Roman" w:eastAsia="Times New Roman" w:hAnsi="Times New Roman"/>
          <w:sz w:val="21"/>
          <w:szCs w:val="21"/>
          <w:b w:val="1"/>
          <w:bCs w:val="1"/>
          <w:i w:val="1"/>
          <w:iCs w:val="1"/>
          <w:color w:val="auto"/>
        </w:rPr>
        <w:t>prior to</w:t>
      </w:r>
      <w:r>
        <w:rPr>
          <w:rFonts w:ascii="Times New Roman" w:cs="Times New Roman" w:eastAsia="Times New Roman" w:hAnsi="Times New Roman"/>
          <w:sz w:val="21"/>
          <w:szCs w:val="21"/>
          <w:color w:val="auto"/>
        </w:rPr>
        <w:t xml:space="preserve"> the Service Vesting Date by reason of Early Retirement, Normal Retirement, death or Permanent Disability, then Participant shall, upon the determination by the Plan Administrator of the maximum number of Performance-Qualified Shares, vest in a portion of the Performance-Qualified Shares determined by a two-step process: (i) prior to the Service Vesting Date, the Designated Shares will be prorated by multiplying (x) the number of Designated Shares by (y) a fraction, the numerator of which is the number of whole months of actual Service completed by Participant in such Performance Period, and the denominator of which is thirty-six (36) months, the product to be rounded up to the next whole share and (ii) then the number of shares calculated under clause (i) in which Participant may actually vest shall be the maximum number of shares of Common Stock in which Participant can vest under the Performance Vesting section based upon the actual level at which the Performance Goal specified on attached Schedule I is attained. The Shares underlying the Performance-Qualified Shares in which Participant vests in accordance with this subparagraph (ii) shall generally be issued to Participant (or in the event of the death of Participant, then to Participant’s heirs or beneficiaries)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7" w:name="page118"/>
    <w:bookmarkEnd w:id="117"/>
    <w:p>
      <w:pPr>
        <w:jc w:val="both"/>
        <w:ind w:left="860" w:right="879"/>
        <w:spacing w:after="0" w:line="250" w:lineRule="auto"/>
        <w:rPr>
          <w:sz w:val="20"/>
          <w:szCs w:val="20"/>
          <w:color w:val="auto"/>
        </w:rPr>
      </w:pPr>
      <w:r>
        <w:rPr>
          <w:rFonts w:ascii="Times New Roman" w:cs="Times New Roman" w:eastAsia="Times New Roman" w:hAnsi="Times New Roman"/>
          <w:sz w:val="22"/>
          <w:szCs w:val="22"/>
          <w:color w:val="auto"/>
        </w:rPr>
        <w:t>during the period beginning with the Service Vesting Date and ending on March 15th of that year; provided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81" w:lineRule="exact"/>
        <w:rPr>
          <w:sz w:val="20"/>
          <w:szCs w:val="20"/>
          <w:color w:val="auto"/>
        </w:rPr>
      </w:pPr>
    </w:p>
    <w:p>
      <w:pPr>
        <w:jc w:val="both"/>
        <w:ind w:left="860" w:right="859" w:firstLine="1941"/>
        <w:spacing w:after="0" w:line="252" w:lineRule="auto"/>
        <w:tabs>
          <w:tab w:leader="none" w:pos="3452"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Participant’s Service ceases for any other reason prior to the Service Vesting Date, then Participant shall not vest in any of the Performance-Qualified Shares and all of Participant's right, title and interest to the Shares subject to this Award shall cease.</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Rights</w:t>
      </w:r>
      <w:r>
        <w:rPr>
          <w:rFonts w:ascii="Times New Roman" w:cs="Times New Roman" w:eastAsia="Times New Roman" w:hAnsi="Times New Roman"/>
          <w:sz w:val="22"/>
          <w:szCs w:val="22"/>
          <w:color w:val="auto"/>
        </w:rPr>
        <w:t>. The holder of this Award shall not have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58"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Paragraph 3 above,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shall apply to 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71"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80" w:lineRule="exact"/>
        <w:rPr>
          <w:rFonts w:ascii="Times New Roman" w:cs="Times New Roman" w:eastAsia="Times New Roman" w:hAnsi="Times New Roman"/>
          <w:sz w:val="22"/>
          <w:szCs w:val="22"/>
          <w:color w:val="auto"/>
        </w:rPr>
      </w:pPr>
    </w:p>
    <w:p>
      <w:pPr>
        <w:jc w:val="both"/>
        <w:ind w:left="860" w:right="859" w:firstLine="1941"/>
        <w:spacing w:after="0" w:line="248" w:lineRule="auto"/>
        <w:tabs>
          <w:tab w:leader="none" w:pos="3452"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87" w:lineRule="exact"/>
        <w:rPr>
          <w:sz w:val="20"/>
          <w:szCs w:val="20"/>
          <w:color w:val="auto"/>
        </w:rPr>
      </w:pPr>
    </w:p>
    <w:p>
      <w:pPr>
        <w:jc w:val="both"/>
        <w:ind w:left="860" w:right="859" w:firstLine="1941"/>
        <w:spacing w:after="0" w:line="258" w:lineRule="auto"/>
        <w:tabs>
          <w:tab w:leader="none" w:pos="345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 Change in Control, (ii) the date of Participant’s Separation from Service due to such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8" w:name="page119"/>
    <w:bookmarkEnd w:id="118"/>
    <w:p>
      <w:pPr>
        <w:ind w:left="860"/>
        <w:spacing w:after="0"/>
        <w:rPr>
          <w:sz w:val="20"/>
          <w:szCs w:val="20"/>
          <w:color w:val="auto"/>
        </w:rPr>
      </w:pPr>
      <w:r>
        <w:rPr>
          <w:rFonts w:ascii="Times New Roman" w:cs="Times New Roman" w:eastAsia="Times New Roman" w:hAnsi="Times New Roman"/>
          <w:sz w:val="22"/>
          <w:szCs w:val="22"/>
          <w:color w:val="auto"/>
        </w:rPr>
        <w:t>cessation of Service.</w:t>
      </w:r>
    </w:p>
    <w:p>
      <w:pPr>
        <w:spacing w:after="0" w:line="220" w:lineRule="exact"/>
        <w:rPr>
          <w:sz w:val="20"/>
          <w:szCs w:val="20"/>
          <w:color w:val="auto"/>
        </w:rPr>
      </w:pPr>
    </w:p>
    <w:p>
      <w:pPr>
        <w:jc w:val="both"/>
        <w:ind w:left="860" w:right="879" w:firstLine="1941"/>
        <w:spacing w:after="0" w:line="245" w:lineRule="auto"/>
        <w:tabs>
          <w:tab w:leader="none" w:pos="3452"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2"/>
          <w:szCs w:val="22"/>
          <w:b w:val="1"/>
          <w:bCs w:val="1"/>
          <w:i w:val="1"/>
          <w:iCs w:val="1"/>
          <w:color w:val="auto"/>
        </w:rPr>
        <w:t>The Wall Street Journal</w:t>
      </w:r>
      <w:r>
        <w:rPr>
          <w:rFonts w:ascii="Times New Roman" w:cs="Times New Roman" w:eastAsia="Times New Roman" w:hAnsi="Times New Roman"/>
          <w:sz w:val="22"/>
          <w:szCs w:val="22"/>
          <w:color w:val="auto"/>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203" w:lineRule="exact"/>
        <w:rPr>
          <w:rFonts w:ascii="Times New Roman" w:cs="Times New Roman" w:eastAsia="Times New Roman" w:hAnsi="Times New Roman"/>
          <w:sz w:val="22"/>
          <w:szCs w:val="22"/>
          <w:color w:val="auto"/>
        </w:rPr>
      </w:pPr>
    </w:p>
    <w:p>
      <w:pPr>
        <w:jc w:val="both"/>
        <w:ind w:left="860" w:right="859" w:firstLine="1941"/>
        <w:spacing w:after="0" w:line="265" w:lineRule="auto"/>
        <w:tabs>
          <w:tab w:leader="none" w:pos="345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65" w:lineRule="exact"/>
        <w:rPr>
          <w:rFonts w:ascii="Times New Roman" w:cs="Times New Roman" w:eastAsia="Times New Roman" w:hAnsi="Times New Roman"/>
          <w:sz w:val="21"/>
          <w:szCs w:val="21"/>
          <w:color w:val="auto"/>
        </w:rPr>
      </w:pPr>
    </w:p>
    <w:p>
      <w:pPr>
        <w:jc w:val="both"/>
        <w:ind w:left="200" w:right="219" w:firstLine="1953"/>
        <w:spacing w:after="0" w:line="245" w:lineRule="auto"/>
        <w:tabs>
          <w:tab w:leader="none" w:pos="279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93" w:lineRule="exact"/>
        <w:rPr>
          <w:rFonts w:ascii="Times New Roman" w:cs="Times New Roman" w:eastAsia="Times New Roman" w:hAnsi="Times New Roman"/>
          <w:sz w:val="22"/>
          <w:szCs w:val="22"/>
          <w:color w:val="auto"/>
        </w:rPr>
      </w:pPr>
    </w:p>
    <w:p>
      <w:pPr>
        <w:jc w:val="both"/>
        <w:ind w:left="200" w:right="219" w:firstLine="1953"/>
        <w:spacing w:after="0" w:line="246" w:lineRule="auto"/>
        <w:tabs>
          <w:tab w:leader="none" w:pos="279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 occurs within twenty-four (24) months following the Change in Control. Such vested portion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9" w:name="page120"/>
    <w:bookmarkEnd w:id="119"/>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the award shall be issued or distributed, as applicable, on the date of Participant’s Separation from Service, provided such Separation from Service occurs within twenty-four (24) 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spacing w:after="0" w:line="187" w:lineRule="exact"/>
        <w:rPr>
          <w:sz w:val="20"/>
          <w:szCs w:val="20"/>
          <w:color w:val="auto"/>
        </w:rPr>
      </w:pPr>
    </w:p>
    <w:p>
      <w:pPr>
        <w:jc w:val="both"/>
        <w:ind w:left="200" w:right="219" w:firstLine="1953"/>
        <w:spacing w:after="0" w:line="266" w:lineRule="auto"/>
        <w:tabs>
          <w:tab w:leader="none" w:pos="279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is not (1) assumed by the successor entity, (2) otherwise continued in effect or (3) replaced with a substitute equivalent award in accordance with Paragraph</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5(a), then the following provisions shall apply:</w:t>
      </w:r>
    </w:p>
    <w:p>
      <w:pPr>
        <w:spacing w:after="0" w:line="195" w:lineRule="exact"/>
        <w:rPr>
          <w:rFonts w:ascii="Times New Roman" w:cs="Times New Roman" w:eastAsia="Times New Roman" w:hAnsi="Times New Roman"/>
          <w:sz w:val="21"/>
          <w:szCs w:val="21"/>
          <w:color w:val="auto"/>
        </w:rPr>
      </w:pPr>
    </w:p>
    <w:p>
      <w:pPr>
        <w:jc w:val="both"/>
        <w:ind w:left="860" w:right="879" w:firstLine="1863"/>
        <w:spacing w:after="0" w:line="246" w:lineRule="auto"/>
        <w:tabs>
          <w:tab w:leader="none" w:pos="345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Times New Roman" w:cs="Times New Roman" w:eastAsia="Times New Roman" w:hAnsi="Times New Roman"/>
          <w:sz w:val="22"/>
          <w:szCs w:val="22"/>
          <w:b w:val="1"/>
          <w:bCs w:val="1"/>
          <w:i w:val="1"/>
          <w:iCs w:val="1"/>
          <w:color w:val="auto"/>
        </w:rPr>
        <w:t>earliest</w:t>
      </w:r>
      <w:r>
        <w:rPr>
          <w:rFonts w:ascii="Times New Roman" w:cs="Times New Roman" w:eastAsia="Times New Roman" w:hAnsi="Times New Roman"/>
          <w:sz w:val="22"/>
          <w:szCs w:val="22"/>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Section 409A of the Code (“Section 409A”).</w:t>
      </w:r>
    </w:p>
    <w:p>
      <w:pPr>
        <w:spacing w:after="0" w:line="187" w:lineRule="exact"/>
        <w:rPr>
          <w:rFonts w:ascii="Times New Roman" w:cs="Times New Roman" w:eastAsia="Times New Roman" w:hAnsi="Times New Roman"/>
          <w:sz w:val="22"/>
          <w:szCs w:val="22"/>
          <w:color w:val="auto"/>
        </w:rPr>
      </w:pPr>
    </w:p>
    <w:p>
      <w:pPr>
        <w:jc w:val="both"/>
        <w:ind w:left="860" w:right="859" w:firstLine="1863"/>
        <w:spacing w:after="0" w:line="245" w:lineRule="auto"/>
        <w:tabs>
          <w:tab w:leader="none" w:pos="345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2"/>
          <w:szCs w:val="22"/>
          <w:b w:val="1"/>
          <w:bCs w:val="1"/>
          <w:i w:val="1"/>
          <w:iCs w:val="1"/>
          <w:color w:val="auto"/>
        </w:rPr>
        <w:t>The Wall Street Journal</w:t>
      </w:r>
      <w:r>
        <w:rPr>
          <w:rFonts w:ascii="Times New Roman" w:cs="Times New Roman" w:eastAsia="Times New Roman" w:hAnsi="Times New Roman"/>
          <w:sz w:val="22"/>
          <w:szCs w:val="22"/>
          <w:color w:val="auto"/>
        </w:rPr>
        <w:t>. The cash retention account, together with all accrued interest thereon through the actual 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spacing w:after="0" w:line="186" w:lineRule="exact"/>
        <w:rPr>
          <w:rFonts w:ascii="Times New Roman" w:cs="Times New Roman" w:eastAsia="Times New Roman" w:hAnsi="Times New Roman"/>
          <w:sz w:val="22"/>
          <w:szCs w:val="22"/>
          <w:color w:val="auto"/>
        </w:rPr>
      </w:pPr>
    </w:p>
    <w:p>
      <w:pPr>
        <w:ind w:left="3440" w:hanging="717"/>
        <w:spacing w:after="0"/>
        <w:tabs>
          <w:tab w:leader="none" w:pos="34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ceases Service prior to the effective date</w:t>
      </w:r>
    </w:p>
    <w:p>
      <w:pPr>
        <w:spacing w:after="0" w:line="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of the Change in Control by reason of Early Retirement, Normal Retirement,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0" w:name="page121"/>
    <w:bookmarkEnd w:id="120"/>
    <w:p>
      <w:pPr>
        <w:jc w:val="both"/>
        <w:ind w:left="860" w:right="879"/>
        <w:spacing w:after="0" w:line="245" w:lineRule="auto"/>
        <w:rPr>
          <w:sz w:val="20"/>
          <w:szCs w:val="20"/>
          <w:color w:val="auto"/>
        </w:rPr>
      </w:pPr>
      <w:r>
        <w:rPr>
          <w:rFonts w:ascii="Times New Roman" w:cs="Times New Roman" w:eastAsia="Times New Roman" w:hAnsi="Times New Roman"/>
          <w:sz w:val="22"/>
          <w:szCs w:val="22"/>
          <w:color w:val="auto"/>
        </w:rPr>
        <w:t xml:space="preserve">death or Permanent Disability, then Participant shall, upon the closing of such Change in Control,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Times New Roman" w:cs="Times New Roman" w:eastAsia="Times New Roman" w:hAnsi="Times New Roman"/>
          <w:sz w:val="22"/>
          <w:szCs w:val="22"/>
          <w:b w:val="1"/>
          <w:bCs w:val="1"/>
          <w:i w:val="1"/>
          <w:iCs w:val="1"/>
          <w:color w:val="auto"/>
        </w:rPr>
        <w:t>earlier</w:t>
      </w:r>
      <w:r>
        <w:rPr>
          <w:rFonts w:ascii="Times New Roman" w:cs="Times New Roman" w:eastAsia="Times New Roman" w:hAnsi="Times New Roman"/>
          <w:sz w:val="22"/>
          <w:szCs w:val="22"/>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Section 409A.</w:t>
      </w:r>
    </w:p>
    <w:p>
      <w:pPr>
        <w:spacing w:after="0" w:line="193" w:lineRule="exact"/>
        <w:rPr>
          <w:sz w:val="20"/>
          <w:szCs w:val="20"/>
          <w:color w:val="auto"/>
        </w:rPr>
      </w:pPr>
    </w:p>
    <w:p>
      <w:pPr>
        <w:jc w:val="both"/>
        <w:ind w:left="860" w:right="859" w:firstLine="1863"/>
        <w:spacing w:after="0" w:line="257" w:lineRule="auto"/>
        <w:tabs>
          <w:tab w:leader="none" w:pos="345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amount of consideration so calculated, Participant shall have no further right or entitlement to any additional Shares or consideration under this Award.</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58" w:lineRule="auto"/>
        <w:tabs>
          <w:tab w:leader="none" w:pos="214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Adjustment in Shares</w:t>
      </w:r>
      <w:r>
        <w:rPr>
          <w:rFonts w:ascii="Times New Roman" w:cs="Times New Roman" w:eastAsia="Times New Roman" w:hAnsi="Times New Roman"/>
          <w:sz w:val="21"/>
          <w:szCs w:val="21"/>
          <w:color w:val="auto"/>
        </w:rPr>
        <w:t>. Should any change be made to the Common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1" w:name="page122"/>
    <w:bookmarkEnd w:id="121"/>
    <w:p>
      <w:pPr>
        <w:ind w:left="2160" w:hanging="655"/>
        <w:spacing w:after="0"/>
        <w:tabs>
          <w:tab w:leader="none" w:pos="21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of Vested Shares and Applicable Withholding Taxes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79" w:lineRule="exact"/>
        <w:rPr>
          <w:rFonts w:ascii="Times New Roman" w:cs="Times New Roman" w:eastAsia="Times New Roman" w:hAnsi="Times New Roman"/>
          <w:sz w:val="22"/>
          <w:szCs w:val="22"/>
          <w:color w:val="auto"/>
        </w:rPr>
      </w:pPr>
    </w:p>
    <w:p>
      <w:pPr>
        <w:jc w:val="both"/>
        <w:ind w:left="200" w:right="219" w:firstLine="1953"/>
        <w:spacing w:after="0" w:line="266" w:lineRule="auto"/>
        <w:tabs>
          <w:tab w:leader="none" w:pos="2792"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shall govern the US Withholding Taxes on the Shares (or any replacement or substitute securities, property or other amounts under Paragraphs</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or 7 above) which vest in accordance with the provisions of this Agreement:</w:t>
      </w:r>
    </w:p>
    <w:p>
      <w:pPr>
        <w:spacing w:after="0" w:line="195" w:lineRule="exact"/>
        <w:rPr>
          <w:rFonts w:ascii="Times New Roman" w:cs="Times New Roman" w:eastAsia="Times New Roman" w:hAnsi="Times New Roman"/>
          <w:sz w:val="21"/>
          <w:szCs w:val="21"/>
          <w:color w:val="auto"/>
        </w:rPr>
      </w:pPr>
    </w:p>
    <w:p>
      <w:pPr>
        <w:jc w:val="both"/>
        <w:ind w:left="860" w:right="219" w:firstLine="1941"/>
        <w:spacing w:after="0" w:line="247" w:lineRule="auto"/>
        <w:tabs>
          <w:tab w:leader="none" w:pos="3452"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spacing w:after="0" w:line="179" w:lineRule="exact"/>
        <w:rPr>
          <w:rFonts w:ascii="Times New Roman" w:cs="Times New Roman" w:eastAsia="Times New Roman" w:hAnsi="Times New Roman"/>
          <w:sz w:val="22"/>
          <w:szCs w:val="22"/>
          <w:color w:val="auto"/>
        </w:rPr>
      </w:pPr>
    </w:p>
    <w:p>
      <w:pPr>
        <w:jc w:val="both"/>
        <w:ind w:left="860" w:right="219" w:firstLine="1941"/>
        <w:spacing w:after="0" w:line="247" w:lineRule="auto"/>
        <w:tabs>
          <w:tab w:leader="none" w:pos="3452"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Automatic Share Withholding</w:t>
      </w:r>
      <w:r>
        <w:rPr>
          <w:rFonts w:ascii="Times New Roman" w:cs="Times New Roman" w:eastAsia="Times New Roman" w:hAnsi="Times New Roman"/>
          <w:sz w:val="22"/>
          <w:szCs w:val="22"/>
          <w:color w:val="auto"/>
        </w:rPr>
        <w:t>. On the applicable issuance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the 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spacing w:after="0" w:line="181" w:lineRule="exact"/>
        <w:rPr>
          <w:rFonts w:ascii="Times New Roman" w:cs="Times New Roman" w:eastAsia="Times New Roman" w:hAnsi="Times New Roman"/>
          <w:sz w:val="22"/>
          <w:szCs w:val="22"/>
          <w:color w:val="auto"/>
        </w:rPr>
      </w:pPr>
    </w:p>
    <w:p>
      <w:pPr>
        <w:jc w:val="both"/>
        <w:ind w:left="860" w:right="219" w:firstLine="1941"/>
        <w:spacing w:after="0" w:line="248" w:lineRule="auto"/>
        <w:tabs>
          <w:tab w:leader="none" w:pos="3452"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Amount of Withholding</w:t>
      </w:r>
      <w:r>
        <w:rPr>
          <w:rFonts w:ascii="Times New Roman" w:cs="Times New Roman" w:eastAsia="Times New Roman" w:hAnsi="Times New Roman"/>
          <w:sz w:val="22"/>
          <w:szCs w:val="22"/>
          <w:color w:val="auto"/>
        </w:rPr>
        <w:t>. The amount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22" w:name="page123"/>
    <w:bookmarkEnd w:id="122"/>
    <w:p>
      <w:pPr>
        <w:jc w:val="both"/>
        <w:ind w:left="860" w:right="219"/>
        <w:spacing w:after="0" w:line="245" w:lineRule="auto"/>
        <w:rPr>
          <w:sz w:val="20"/>
          <w:szCs w:val="20"/>
          <w:color w:val="auto"/>
        </w:rPr>
      </w:pPr>
      <w:r>
        <w:rPr>
          <w:rFonts w:ascii="Times New Roman" w:cs="Times New Roman" w:eastAsia="Times New Roman" w:hAnsi="Times New Roman"/>
          <w:sz w:val="22"/>
          <w:szCs w:val="22"/>
          <w:color w:val="auto"/>
        </w:rPr>
        <w:t>“Alternate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spacing w:after="0" w:line="192" w:lineRule="exact"/>
        <w:rPr>
          <w:sz w:val="20"/>
          <w:szCs w:val="20"/>
          <w:color w:val="auto"/>
        </w:rPr>
      </w:pPr>
    </w:p>
    <w:p>
      <w:pPr>
        <w:ind w:left="200" w:right="219" w:firstLine="1953"/>
        <w:spacing w:after="0" w:line="246" w:lineRule="auto"/>
        <w:tabs>
          <w:tab w:leader="none" w:pos="279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Section 3121(v) of the Code.</w:t>
      </w:r>
    </w:p>
    <w:p>
      <w:pPr>
        <w:spacing w:after="0" w:line="193" w:lineRule="exact"/>
        <w:rPr>
          <w:rFonts w:ascii="Times New Roman" w:cs="Times New Roman" w:eastAsia="Times New Roman" w:hAnsi="Times New Roman"/>
          <w:sz w:val="22"/>
          <w:szCs w:val="22"/>
          <w:color w:val="auto"/>
        </w:rPr>
      </w:pPr>
    </w:p>
    <w:p>
      <w:pPr>
        <w:jc w:val="both"/>
        <w:ind w:left="200" w:right="219" w:firstLine="1953"/>
        <w:spacing w:after="0" w:line="248" w:lineRule="auto"/>
        <w:tabs>
          <w:tab w:leader="none" w:pos="279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2" w:lineRule="exact"/>
        <w:rPr>
          <w:rFonts w:ascii="Times New Roman" w:cs="Times New Roman" w:eastAsia="Times New Roman" w:hAnsi="Times New Roman"/>
          <w:sz w:val="22"/>
          <w:szCs w:val="22"/>
          <w:color w:val="auto"/>
        </w:rPr>
      </w:pPr>
    </w:p>
    <w:p>
      <w:pPr>
        <w:jc w:val="both"/>
        <w:ind w:left="200" w:right="239" w:firstLine="1305"/>
        <w:spacing w:after="0" w:line="259" w:lineRule="auto"/>
        <w:tabs>
          <w:tab w:leader="none" w:pos="21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Notwithstanding any provision to the contrary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extent this Award may be deemed to create a deferred compensation arrangement under Section 409A, then the following limitation and provisions shall apply:</w:t>
      </w:r>
    </w:p>
    <w:p>
      <w:pPr>
        <w:spacing w:after="0" w:line="170" w:lineRule="exact"/>
        <w:rPr>
          <w:rFonts w:ascii="Times New Roman" w:cs="Times New Roman" w:eastAsia="Times New Roman" w:hAnsi="Times New Roman"/>
          <w:sz w:val="22"/>
          <w:szCs w:val="22"/>
          <w:color w:val="auto"/>
        </w:rPr>
      </w:pPr>
    </w:p>
    <w:p>
      <w:pPr>
        <w:jc w:val="both"/>
        <w:ind w:left="200" w:right="219" w:firstLine="1953"/>
        <w:spacing w:after="0" w:line="261" w:lineRule="auto"/>
        <w:tabs>
          <w:tab w:leader="none" w:pos="2792"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Shares or other amounts which become issuable or distributable under this Agreement upon Participant’s Separation from Service shall actually be issued or distributed to Participant prior to the </w:t>
      </w:r>
      <w:r>
        <w:rPr>
          <w:rFonts w:ascii="Times New Roman" w:cs="Times New Roman" w:eastAsia="Times New Roman" w:hAnsi="Times New Roman"/>
          <w:sz w:val="21"/>
          <w:szCs w:val="21"/>
          <w:b w:val="1"/>
          <w:bCs w:val="1"/>
          <w:i w:val="1"/>
          <w:iCs w:val="1"/>
          <w:color w:val="auto"/>
        </w:rPr>
        <w:t>earlier</w:t>
      </w:r>
      <w:r>
        <w:rPr>
          <w:rFonts w:ascii="Times New Roman" w:cs="Times New Roman" w:eastAsia="Times New Roman" w:hAnsi="Times New Roman"/>
          <w:sz w:val="21"/>
          <w:szCs w:val="21"/>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3" w:name="page124"/>
    <w:bookmarkEnd w:id="123"/>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Section 409A arrangements of the Corporation, and such delayed commencement is otherwise required in order to avoid a prohibited distribution under Section 409A(a)(2) of the Code.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60" w:lineRule="exact"/>
        <w:rPr>
          <w:sz w:val="20"/>
          <w:szCs w:val="20"/>
          <w:color w:val="auto"/>
        </w:rPr>
      </w:pPr>
    </w:p>
    <w:p>
      <w:pPr>
        <w:jc w:val="both"/>
        <w:ind w:left="200" w:right="219" w:firstLine="1953"/>
        <w:spacing w:after="0" w:line="257" w:lineRule="auto"/>
        <w:tabs>
          <w:tab w:leader="none" w:pos="279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28"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Laws and Regulations</w:t>
      </w:r>
      <w:r>
        <w:rPr>
          <w:rFonts w:ascii="Times New Roman" w:cs="Times New Roman" w:eastAsia="Times New Roman" w:hAnsi="Times New Roman"/>
          <w:sz w:val="22"/>
          <w:szCs w:val="22"/>
          <w:color w:val="auto"/>
        </w:rPr>
        <w:t>. The issuance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required to be given or delivered to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Except to the extent otherwise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75"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3" w:lineRule="auto"/>
        <w:tabs>
          <w:tab w:leader="none" w:pos="279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78"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85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75" w:lineRule="auto"/>
        <w:tabs>
          <w:tab w:leader="none" w:pos="2792"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4" w:name="page125"/>
    <w:bookmarkEnd w:id="124"/>
    <w:p>
      <w:pPr>
        <w:jc w:val="both"/>
        <w:ind w:left="200" w:right="219" w:firstLine="1305"/>
        <w:spacing w:after="0" w:line="259" w:lineRule="auto"/>
        <w:tabs>
          <w:tab w:leader="none" w:pos="21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interpretation, performance and enforcement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laws of the State of Hawaii without regard to that State’s conflict-of-laws rules.</w:t>
      </w:r>
    </w:p>
    <w:p>
      <w:pPr>
        <w:spacing w:after="0" w:line="16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p>
    <w:p>
      <w:pPr>
        <w:spacing w:after="0" w:line="223" w:lineRule="exact"/>
        <w:rPr>
          <w:rFonts w:ascii="Times New Roman" w:cs="Times New Roman" w:eastAsia="Times New Roman" w:hAnsi="Times New Roman"/>
          <w:sz w:val="22"/>
          <w:szCs w:val="22"/>
          <w:color w:val="auto"/>
        </w:rPr>
      </w:pPr>
    </w:p>
    <w:p>
      <w:pPr>
        <w:ind w:left="200" w:right="219" w:firstLine="1953"/>
        <w:spacing w:after="0" w:line="244" w:lineRule="auto"/>
        <w:tabs>
          <w:tab w:leader="none" w:pos="2792"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59" w:lineRule="auto"/>
        <w:tabs>
          <w:tab w:leader="none" w:pos="2792"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Each party fully understands and agrees that they are giving up certain rights otherwise afforded to them by civil court actions, including but not limited to the right to a jury trial.</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Coverage under Recoupment Policy</w:t>
      </w:r>
      <w:r>
        <w:rPr>
          <w:rFonts w:ascii="Times New Roman" w:cs="Times New Roman" w:eastAsia="Times New Roman" w:hAnsi="Times New Roman"/>
          <w:sz w:val="22"/>
          <w:szCs w:val="22"/>
          <w:color w:val="auto"/>
        </w:rPr>
        <w:t>. If Participant is on the 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at any time 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 copy of the Recoupment Policy is available upon request made to the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25" w:name="page126"/>
    <w:bookmarkEnd w:id="125"/>
    <w:p>
      <w:pPr>
        <w:ind w:left="2160" w:hanging="655"/>
        <w:spacing w:after="0"/>
        <w:tabs>
          <w:tab w:leader="none" w:pos="21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79"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76" w:lineRule="exact"/>
        <w:rPr>
          <w:rFonts w:ascii="Times New Roman" w:cs="Times New Roman" w:eastAsia="Times New Roman" w:hAnsi="Times New Roman"/>
          <w:sz w:val="21"/>
          <w:szCs w:val="21"/>
          <w:color w:val="auto"/>
        </w:rPr>
      </w:pPr>
    </w:p>
    <w:p>
      <w:pPr>
        <w:jc w:val="both"/>
        <w:ind w:left="200" w:right="219" w:firstLine="1305"/>
        <w:spacing w:after="0" w:line="253"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not be altered, modified, or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by 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77" w:lineRule="auto"/>
        <w:tabs>
          <w:tab w:leader="none" w:pos="214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Other Agreements Superseded</w:t>
      </w:r>
      <w:r>
        <w:rPr>
          <w:rFonts w:ascii="Times New Roman" w:cs="Times New Roman" w:eastAsia="Times New Roman" w:hAnsi="Times New Roman"/>
          <w:sz w:val="21"/>
          <w:szCs w:val="21"/>
          <w:color w:val="auto"/>
        </w:rPr>
        <w:t>. The Award Notice,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constitute the entire understanding between Participant and the Corporation regarding the Award. Any prior agreements, commitments or negotiations concerning the Award are superseded.</w:t>
      </w:r>
    </w:p>
    <w:p>
      <w:pPr>
        <w:spacing w:after="0" w:line="149" w:lineRule="exact"/>
        <w:rPr>
          <w:rFonts w:ascii="Times New Roman" w:cs="Times New Roman" w:eastAsia="Times New Roman" w:hAnsi="Times New Roman"/>
          <w:sz w:val="21"/>
          <w:szCs w:val="21"/>
          <w:color w:val="auto"/>
        </w:rPr>
      </w:pPr>
    </w:p>
    <w:p>
      <w:pPr>
        <w:jc w:val="both"/>
        <w:ind w:left="200" w:right="219" w:firstLine="1305"/>
        <w:spacing w:after="0" w:line="253"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Plan Document</w:t>
      </w:r>
      <w:r>
        <w:rPr>
          <w:rFonts w:ascii="Times New Roman" w:cs="Times New Roman" w:eastAsia="Times New Roman" w:hAnsi="Times New Roman"/>
          <w:sz w:val="22"/>
          <w:szCs w:val="22"/>
          <w:color w:val="auto"/>
        </w:rPr>
        <w:t>. The Award is subject to all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0" w:lineRule="exact"/>
        <w:rPr>
          <w:sz w:val="20"/>
          <w:szCs w:val="20"/>
          <w:color w:val="auto"/>
        </w:rPr>
      </w:pPr>
    </w:p>
    <w:p>
      <w:pPr>
        <w:spacing w:after="0" w:line="2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following definitions shall be in effect under the Agreement:</w:t>
      </w:r>
    </w:p>
    <w:p>
      <w:pPr>
        <w:spacing w:after="0" w:line="216" w:lineRule="exact"/>
        <w:rPr>
          <w:sz w:val="20"/>
          <w:szCs w:val="20"/>
          <w:color w:val="auto"/>
        </w:rPr>
      </w:pPr>
    </w:p>
    <w:p>
      <w:pPr>
        <w:ind w:left="2160" w:hanging="655"/>
        <w:spacing w:after="0"/>
        <w:tabs>
          <w:tab w:leader="none" w:pos="21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this Performance Share Award Agreement.</w:t>
      </w:r>
    </w:p>
    <w:p>
      <w:pPr>
        <w:spacing w:after="0" w:line="219" w:lineRule="exact"/>
        <w:rPr>
          <w:rFonts w:ascii="Times New Roman" w:cs="Times New Roman" w:eastAsia="Times New Roman" w:hAnsi="Times New Roman"/>
          <w:sz w:val="22"/>
          <w:szCs w:val="22"/>
          <w:color w:val="auto"/>
        </w:rPr>
      </w:pPr>
    </w:p>
    <w:p>
      <w:pPr>
        <w:ind w:left="200" w:right="239" w:firstLine="1305"/>
        <w:spacing w:after="0" w:line="275"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award of Performance Shares made to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this Agreement.</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59"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date the Performance Shares are awarded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pursuant to the Agreement and shall be the date specified in Paragraph 1 of the Award Notice.</w:t>
      </w:r>
    </w:p>
    <w:p>
      <w:pPr>
        <w:spacing w:after="0" w:line="166" w:lineRule="exact"/>
        <w:rPr>
          <w:rFonts w:ascii="Times New Roman" w:cs="Times New Roman" w:eastAsia="Times New Roman" w:hAnsi="Times New Roman"/>
          <w:sz w:val="22"/>
          <w:szCs w:val="22"/>
          <w:color w:val="auto"/>
        </w:rPr>
      </w:pPr>
    </w:p>
    <w:p>
      <w:pPr>
        <w:jc w:val="both"/>
        <w:ind w:left="200" w:right="239" w:firstLine="1305"/>
        <w:spacing w:after="0" w:line="259"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Notice of Award of Performance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to Participant in which there is set forth the basic terms of the Performance Shares subject to this Agreement.</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event Participant is, at the time the Corporation (or any Parent or Subsidiary)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purports to terminate Participant’s Employee status for Cause, a party to a Change in Control Benefits Agreement applicable to the Award, the term Cause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event Participant is a party to a Change in Control Benefits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to the Award, the term Change in Control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separate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number of Shares obtained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multiplying the Vested Percentage by the greater of (i) the number of Designated Shares, or (ii) the number of Performance-Qualified Shares issuable under the Award based on actual performance of the Performance Goal through the date of the Change in Control.</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65"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Early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retirement from Service,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prior approval of the Corporation (or the Parent or Subsidiary employing Participant), on or after the attainment of age fifty-five (55) and the completion of at least five (5) years of Service.</w:t>
      </w:r>
    </w:p>
    <w:p>
      <w:pPr>
        <w:spacing w:after="0" w:line="16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Extraordinary Level Attainment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27" w:name="page128"/>
    <w:bookmarkEnd w:id="127"/>
    <w:p>
      <w:pPr>
        <w:ind w:left="200" w:right="239"/>
        <w:spacing w:after="0" w:line="271" w:lineRule="auto"/>
        <w:rPr>
          <w:sz w:val="20"/>
          <w:szCs w:val="20"/>
          <w:color w:val="auto"/>
        </w:rPr>
      </w:pPr>
      <w:r>
        <w:rPr>
          <w:rFonts w:ascii="Times New Roman" w:cs="Times New Roman" w:eastAsia="Times New Roman" w:hAnsi="Times New Roman"/>
          <w:sz w:val="22"/>
          <w:szCs w:val="22"/>
          <w:color w:val="auto"/>
        </w:rPr>
        <w:t>achievement of the Performance Goal set forth in Schedule I of the Award Notice at the level designated as Extraordinary Level attainment for that goal.</w:t>
      </w:r>
    </w:p>
    <w:p>
      <w:pPr>
        <w:spacing w:after="0" w:line="154" w:lineRule="exact"/>
        <w:rPr>
          <w:sz w:val="20"/>
          <w:szCs w:val="20"/>
          <w:color w:val="auto"/>
        </w:rPr>
      </w:pPr>
    </w:p>
    <w:p>
      <w:pPr>
        <w:jc w:val="both"/>
        <w:ind w:left="200" w:right="219" w:firstLine="1305"/>
        <w:spacing w:after="0" w:line="251"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in the event Participant is at the time of his or her cessation of Employee status a party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Change in Control Benefits Agreement applicable to the Award evidenced by this Agreement, the term Good Reason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Normal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cessation of Service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retirement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t or after the attainment of age sixty-five (65).</w:t>
      </w:r>
    </w:p>
    <w:p>
      <w:pPr>
        <w:spacing w:after="0" w:line="14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person to whom the Award is made pursuant to</w:t>
      </w:r>
    </w:p>
    <w:p>
      <w:pPr>
        <w:spacing w:after="0" w:line="3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w:t>
      </w:r>
    </w:p>
    <w:p>
      <w:pPr>
        <w:spacing w:after="0" w:line="19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Performance Goal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performance goal specified on Schedule I</w:t>
      </w:r>
    </w:p>
    <w:p>
      <w:pPr>
        <w:spacing w:after="0" w:line="43"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Award Notice.</w:t>
      </w:r>
    </w:p>
    <w:p>
      <w:pPr>
        <w:spacing w:after="0" w:line="191" w:lineRule="exact"/>
        <w:rPr>
          <w:rFonts w:ascii="Times New Roman" w:cs="Times New Roman" w:eastAsia="Times New Roman" w:hAnsi="Times New Roman"/>
          <w:sz w:val="21"/>
          <w:szCs w:val="21"/>
          <w:color w:val="auto"/>
        </w:rPr>
      </w:pPr>
    </w:p>
    <w:p>
      <w:pPr>
        <w:ind w:left="200" w:right="219" w:firstLine="1305"/>
        <w:spacing w:after="0" w:line="275"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period specified on Schedule I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Notice over which the attainment of the Performance Goal is to be measured.</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Performance-Qualified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maximum number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which Participant can vest based on the level at which the Performance Goal for the Performance Period is attained and shall be calculated in accordance with the provisions of the Award Notice. In no event shall the number of such Performance-Qualified Shares exceed two hundred percent (200%) of the designated number of Performance Shares set forth in the Performance Shares section of the Award Notice. Each Performance-Qualified Share that vests pursuant to the terms of the Award shall entitle Participant to receive one Share.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number of phantom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awarded under this Agreement that shall be applied to the calculation of the maximum number of Performance-Qualified Shares (if any) based on the level at which the Performance Goal is in fact attained over the applicable Performance Period.</w:t>
      </w:r>
    </w:p>
    <w:p>
      <w:pPr>
        <w:spacing w:after="0" w:line="175"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2016 Incentive Compensation Plan,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from time to time.</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Qualifying Change in Control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date on which there occurs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in Control that also qualifies as: (i) a change in the ownership of the Corporation, as determined in accordance with Section 1.409A-3(i)(5)(v) of the Treasury Regulations, (ii) a change in the effective control of the Corporation, as determined in accordance with Section 1.409A-3(i)</w:t>
      </w:r>
    </w:p>
    <w:p>
      <w:pPr>
        <w:spacing w:after="0" w:line="3" w:lineRule="exact"/>
        <w:rPr>
          <w:rFonts w:ascii="Times New Roman" w:cs="Times New Roman" w:eastAsia="Times New Roman" w:hAnsi="Times New Roman"/>
          <w:sz w:val="21"/>
          <w:szCs w:val="21"/>
          <w:color w:val="auto"/>
        </w:rPr>
      </w:pPr>
    </w:p>
    <w:p>
      <w:pPr>
        <w:jc w:val="both"/>
        <w:ind w:left="200" w:right="219"/>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(5)(vi) of the Treasury Regulations, or (iii) a change in the ownership of a substantial portion of the assets of the Corporation, as determined in accordance with Section 1.409A-3(i)(5)(vii) of the Treasury Regulations.</w:t>
      </w:r>
    </w:p>
    <w:p>
      <w:pPr>
        <w:spacing w:after="0" w:line="182" w:lineRule="exact"/>
        <w:rPr>
          <w:rFonts w:ascii="Times New Roman" w:cs="Times New Roman" w:eastAsia="Times New Roman" w:hAnsi="Times New Roman"/>
          <w:sz w:val="21"/>
          <w:szCs w:val="21"/>
          <w:color w:val="auto"/>
        </w:rPr>
      </w:pPr>
    </w:p>
    <w:p>
      <w:pPr>
        <w:jc w:val="both"/>
        <w:ind w:left="200" w:right="219" w:firstLine="1305"/>
        <w:spacing w:after="0" w:line="259"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Participant’s cessation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status by reason of his or her death, retirement or termination of employment. The Participant shall be deemed to have terminated employment for such purpose at such time as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8" w:name="page129"/>
    <w:bookmarkEnd w:id="128"/>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191" w:lineRule="exact"/>
        <w:rPr>
          <w:sz w:val="20"/>
          <w:szCs w:val="20"/>
          <w:color w:val="auto"/>
        </w:rPr>
      </w:pPr>
    </w:p>
    <w:p>
      <w:pPr>
        <w:jc w:val="both"/>
        <w:ind w:left="200" w:right="219" w:firstLine="1305"/>
        <w:spacing w:after="0" w:line="253" w:lineRule="auto"/>
        <w:tabs>
          <w:tab w:leader="none" w:pos="21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performance of services for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Parent or Subsidiary) in the capacity of an Employee, a non-employee member of the board of directors or a consultant or independent advisor. In addition, the following provisions shall govern the determination of Participant’s period of Service:</w:t>
      </w:r>
    </w:p>
    <w:p>
      <w:pPr>
        <w:spacing w:after="0" w:line="179" w:lineRule="exact"/>
        <w:rPr>
          <w:sz w:val="20"/>
          <w:szCs w:val="20"/>
          <w:color w:val="auto"/>
        </w:rPr>
      </w:pPr>
    </w:p>
    <w:p>
      <w:pPr>
        <w:jc w:val="both"/>
        <w:ind w:left="860" w:right="879" w:firstLine="1293"/>
        <w:spacing w:after="0" w:line="252" w:lineRule="auto"/>
        <w:tabs>
          <w:tab w:leader="none" w:pos="280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233" w:lineRule="exact"/>
        <w:rPr>
          <w:rFonts w:ascii="Times New Roman" w:cs="Times New Roman" w:eastAsia="Times New Roman" w:hAnsi="Times New Roman"/>
          <w:sz w:val="22"/>
          <w:szCs w:val="22"/>
          <w:color w:val="auto"/>
        </w:rPr>
      </w:pPr>
    </w:p>
    <w:p>
      <w:pPr>
        <w:jc w:val="both"/>
        <w:ind w:left="860" w:right="859" w:firstLine="1293"/>
        <w:spacing w:after="0" w:line="251" w:lineRule="auto"/>
        <w:tabs>
          <w:tab w:leader="none" w:pos="280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235" w:lineRule="exact"/>
        <w:rPr>
          <w:rFonts w:ascii="Times New Roman" w:cs="Times New Roman" w:eastAsia="Times New Roman" w:hAnsi="Times New Roman"/>
          <w:sz w:val="22"/>
          <w:szCs w:val="22"/>
          <w:color w:val="auto"/>
        </w:rPr>
      </w:pPr>
    </w:p>
    <w:p>
      <w:pPr>
        <w:jc w:val="both"/>
        <w:ind w:left="860" w:right="879" w:firstLine="1293"/>
        <w:spacing w:after="0" w:line="268" w:lineRule="auto"/>
        <w:tabs>
          <w:tab w:leader="none" w:pos="2804"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230" w:lineRule="exact"/>
        <w:rPr>
          <w:rFonts w:ascii="Times New Roman" w:cs="Times New Roman" w:eastAsia="Times New Roman" w:hAnsi="Times New Roman"/>
          <w:sz w:val="21"/>
          <w:szCs w:val="21"/>
          <w:color w:val="auto"/>
        </w:rPr>
      </w:pPr>
    </w:p>
    <w:p>
      <w:pPr>
        <w:jc w:val="both"/>
        <w:ind w:left="860" w:right="859" w:firstLine="1941"/>
        <w:spacing w:after="0" w:line="262" w:lineRule="auto"/>
        <w:tabs>
          <w:tab w:leader="none" w:pos="3452"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the period of such leave (other than a disability leave) exceed six (6) months, then Participant shall be deemed to cease Service and to incur a Separation from Service upon the expiration of the initial six</w:t>
      </w:r>
    </w:p>
    <w:p>
      <w:pPr>
        <w:spacing w:after="0" w:line="2"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(6)-month period of that leave, unless Participant retains a right to re-employment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9" w:name="page130"/>
    <w:bookmarkEnd w:id="129"/>
    <w:p>
      <w:pPr>
        <w:ind w:left="860" w:right="879"/>
        <w:spacing w:after="0" w:line="271" w:lineRule="auto"/>
        <w:rPr>
          <w:sz w:val="20"/>
          <w:szCs w:val="20"/>
          <w:color w:val="auto"/>
        </w:rPr>
      </w:pPr>
      <w:r>
        <w:rPr>
          <w:rFonts w:ascii="Times New Roman" w:cs="Times New Roman" w:eastAsia="Times New Roman" w:hAnsi="Times New Roman"/>
          <w:sz w:val="22"/>
          <w:szCs w:val="22"/>
          <w:color w:val="auto"/>
        </w:rPr>
        <w:t>under applicable law or by contract with the Corporation (or any Parent or Subsidiary).</w:t>
      </w:r>
    </w:p>
    <w:p>
      <w:pPr>
        <w:spacing w:after="0" w:line="225" w:lineRule="exact"/>
        <w:rPr>
          <w:sz w:val="20"/>
          <w:szCs w:val="20"/>
          <w:color w:val="auto"/>
        </w:rPr>
      </w:pPr>
    </w:p>
    <w:p>
      <w:pPr>
        <w:ind w:left="860" w:right="859" w:firstLine="1941"/>
        <w:spacing w:after="0" w:line="246" w:lineRule="auto"/>
        <w:tabs>
          <w:tab w:leader="none" w:pos="3452"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239" w:lineRule="exact"/>
        <w:rPr>
          <w:rFonts w:ascii="Times New Roman" w:cs="Times New Roman" w:eastAsia="Times New Roman" w:hAnsi="Times New Roman"/>
          <w:sz w:val="22"/>
          <w:szCs w:val="22"/>
          <w:color w:val="auto"/>
        </w:rPr>
      </w:pPr>
    </w:p>
    <w:p>
      <w:pPr>
        <w:jc w:val="both"/>
        <w:ind w:left="860" w:right="879" w:firstLine="1941"/>
        <w:spacing w:after="0" w:line="252" w:lineRule="auto"/>
        <w:tabs>
          <w:tab w:leader="none" w:pos="3452"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246" w:lineRule="exact"/>
        <w:rPr>
          <w:rFonts w:ascii="Times New Roman" w:cs="Times New Roman" w:eastAsia="Times New Roman" w:hAnsi="Times New Roman"/>
          <w:sz w:val="22"/>
          <w:szCs w:val="22"/>
          <w:color w:val="auto"/>
        </w:rPr>
      </w:pPr>
    </w:p>
    <w:p>
      <w:pPr>
        <w:jc w:val="both"/>
        <w:ind w:left="860" w:right="879" w:firstLine="1293"/>
        <w:spacing w:after="0" w:line="252" w:lineRule="auto"/>
        <w:tabs>
          <w:tab w:leader="none" w:pos="280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24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 Vesting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three (3)-year anniversary of the</w:t>
      </w:r>
    </w:p>
    <w:p>
      <w:pPr>
        <w:spacing w:after="0" w:line="3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Date.</w:t>
      </w:r>
    </w:p>
    <w:p>
      <w:pPr>
        <w:spacing w:after="0" w:line="191"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shares of Common Stock which may vest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issuable under the Award pursuant to the terms of this Agreement and the Award Notice.</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59"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Target Level Attainment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 set forth in Schedule I to the Award Notice at the level designated as Target Level attainment for that goal.</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Vested Percentage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(i) fifty percent (50%) if the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is consummated during the first 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87" w:lineRule="exact"/>
        <w:rPr>
          <w:sz w:val="20"/>
          <w:szCs w:val="20"/>
          <w:color w:val="auto"/>
        </w:rPr>
      </w:pPr>
    </w:p>
    <w:p>
      <w:pPr>
        <w:ind w:left="200" w:right="2119" w:firstLine="1896"/>
        <w:spacing w:after="0" w:line="471" w:lineRule="auto"/>
        <w:rPr>
          <w:sz w:val="20"/>
          <w:szCs w:val="20"/>
          <w:color w:val="auto"/>
        </w:rPr>
      </w:pPr>
      <w:r>
        <w:rPr>
          <w:rFonts w:ascii="Times New Roman" w:cs="Times New Roman" w:eastAsia="Times New Roman" w:hAnsi="Times New Roman"/>
          <w:sz w:val="21"/>
          <w:szCs w:val="21"/>
          <w:b w:val="1"/>
          <w:bCs w:val="1"/>
          <w:color w:val="auto"/>
        </w:rPr>
        <w:t xml:space="preserve">ILLUSTRATION OF VESTING CALCULATIONS </w:t>
      </w:r>
      <w:r>
        <w:rPr>
          <w:rFonts w:ascii="Times New Roman" w:cs="Times New Roman" w:eastAsia="Times New Roman" w:hAnsi="Times New Roman"/>
          <w:sz w:val="21"/>
          <w:szCs w:val="21"/>
          <w:color w:val="auto"/>
        </w:rPr>
        <w:t>The following examples are for illustration purposes only:</w:t>
      </w:r>
    </w:p>
    <w:p>
      <w:pPr>
        <w:spacing w:after="0" w:line="1" w:lineRule="exact"/>
        <w:rPr>
          <w:sz w:val="20"/>
          <w:szCs w:val="20"/>
          <w:color w:val="auto"/>
        </w:rPr>
      </w:pPr>
    </w:p>
    <w:p>
      <w:pPr>
        <w:jc w:val="both"/>
        <w:ind w:left="200" w:right="219" w:firstLine="9"/>
        <w:spacing w:after="0" w:line="248" w:lineRule="auto"/>
        <w:tabs>
          <w:tab w:leader="none" w:pos="52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receives an Award for 100 Performance Shares at Target Level and Participant continues in Service until the expiration of the requisite three (3)-year Service vesting period. If the Performance Goal is attained at the Target Level, Participant shall vest in 100 Performance Shares upon the Service Vesting Date. If the Performance Goal is attained at the Extraordinary Level, Participant shall vest in an additional 100 Shares for a total of 200 Shares following the completion of the Performance Period.</w:t>
      </w:r>
    </w:p>
    <w:p>
      <w:pPr>
        <w:spacing w:after="0" w:line="186" w:lineRule="exact"/>
        <w:rPr>
          <w:rFonts w:ascii="Times New Roman" w:cs="Times New Roman" w:eastAsia="Times New Roman" w:hAnsi="Times New Roman"/>
          <w:sz w:val="22"/>
          <w:szCs w:val="22"/>
          <w:color w:val="auto"/>
        </w:rPr>
      </w:pPr>
    </w:p>
    <w:p>
      <w:pPr>
        <w:jc w:val="both"/>
        <w:ind w:left="200" w:right="219" w:firstLine="9"/>
        <w:spacing w:after="0" w:line="250" w:lineRule="auto"/>
        <w:tabs>
          <w:tab w:leader="none" w:pos="52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receives an Award for 100 Performance Shares at Target Level and Participant ceases Service due to Permanent Disability halfway through the Performance Period. If the Performance Goal is attained at the Target Level, Participant shall vest in 50 of the Shares. On the other hand, if the Performance Goal is attained at the Extraordinary Level, Participant shall vest in an additional 50 Shares for a total of 100 Performance Shares.</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63" w:lineRule="auto"/>
        <w:tabs>
          <w:tab w:leader="none" w:pos="524"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receives an Award for 100 Shares at Target Level and Participant continues in Service until the Service Vesting Date. If the Performance Goal is attained at a point halfway between the Threshold and Target Levels, Participant would vest in 63 of the Shares following the completion of the Performance Period upon the Service Vesting Date. On the other hand, if the Performance Goal is attained at a point halfway between the Target and Extraordinary Levels, Participant would vest in 150 of the Shares following the completion of the Performance Period.</w:t>
      </w:r>
    </w:p>
    <w:p>
      <w:pPr>
        <w:spacing w:after="0" w:line="167" w:lineRule="exact"/>
        <w:rPr>
          <w:rFonts w:ascii="Times New Roman" w:cs="Times New Roman" w:eastAsia="Times New Roman" w:hAnsi="Times New Roman"/>
          <w:sz w:val="21"/>
          <w:szCs w:val="21"/>
          <w:color w:val="auto"/>
        </w:rPr>
      </w:pPr>
    </w:p>
    <w:p>
      <w:pPr>
        <w:jc w:val="both"/>
        <w:ind w:left="200" w:right="219" w:firstLine="9"/>
        <w:spacing w:after="0" w:line="248" w:lineRule="auto"/>
        <w:tabs>
          <w:tab w:leader="none" w:pos="61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receives an Award for 100 Performance Shares at Target Level and Participant ceases Service due to Permanent Disability halfway through the Performance Period. If the Performance Goal is attained at a point halfway between the Threshold and Target Levels, Participant would vest in 32 of the Shares following the completion of the Performance Period. On the other hand, if the Performance Goal is attained at a point halfway between the Target and Extraordinary Levels, Participant would vest in 75 of the Shares following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31" w:name="page132"/>
    <w:bookmarkEnd w:id="131"/>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10.47</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Performance Share Award Package – Executives, TSR metric</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EXECUTIVE NOTICE OF AWARD OF PERFORMANCE SHARES</w:t>
      </w:r>
    </w:p>
    <w:p>
      <w:pPr>
        <w:spacing w:after="0" w:line="209" w:lineRule="exact"/>
        <w:rPr>
          <w:sz w:val="20"/>
          <w:szCs w:val="20"/>
          <w:color w:val="auto"/>
        </w:rPr>
      </w:pPr>
    </w:p>
    <w:p>
      <w:pPr>
        <w:jc w:val="both"/>
        <w:ind w:left="200" w:right="219"/>
        <w:spacing w:after="0" w:line="260" w:lineRule="auto"/>
        <w:rPr>
          <w:sz w:val="20"/>
          <w:szCs w:val="20"/>
          <w:color w:val="auto"/>
        </w:rPr>
      </w:pPr>
      <w:r>
        <w:rPr>
          <w:rFonts w:ascii="Times New Roman" w:cs="Times New Roman" w:eastAsia="Times New Roman" w:hAnsi="Times New Roman"/>
          <w:sz w:val="21"/>
          <w:szCs w:val="21"/>
          <w:color w:val="auto"/>
        </w:rPr>
        <w:t>The Corporation hereby awards to Participant, as of the Award Date indicated below, an award (the “Award”) of Performance Shares under the Corporation’s 2016 Incentive Compensation Plan (as amended from time to time,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AWARD SUMMARY</w:t>
            </w:r>
          </w:p>
        </w:tc>
      </w:tr>
      <w:tr>
        <w:trPr>
          <w:trHeight w:val="433"/>
        </w:trPr>
        <w:tc>
          <w:tcPr>
            <w:tcW w:w="14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Participant</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507"/>
        </w:trPr>
        <w:tc>
          <w:tcPr>
            <w:tcW w:w="14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Award Date:</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520"/>
        </w:trPr>
        <w:tc>
          <w:tcPr>
            <w:tcW w:w="1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w w:val="96"/>
              </w:rPr>
              <w:t>Performance</w:t>
            </w:r>
          </w:p>
        </w:tc>
        <w:tc>
          <w:tcPr>
            <w:tcW w:w="380" w:type="dxa"/>
            <w:vAlign w:val="bottom"/>
          </w:tcPr>
          <w:p>
            <w:pPr>
              <w:spacing w:after="0"/>
              <w:rPr>
                <w:sz w:val="24"/>
                <w:szCs w:val="24"/>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The number of shares of Common Stock issuable pursuant to the Award shall be</w:t>
            </w:r>
          </w:p>
        </w:tc>
      </w:tr>
      <w:tr>
        <w:trPr>
          <w:trHeight w:val="236"/>
        </w:trPr>
        <w:tc>
          <w:tcPr>
            <w:tcW w:w="1480" w:type="dxa"/>
            <w:vAlign w:val="bottom"/>
            <w:gridSpan w:val="7"/>
          </w:tcPr>
          <w:p>
            <w:pPr>
              <w:spacing w:after="0" w:line="237" w:lineRule="exact"/>
              <w:rPr>
                <w:sz w:val="20"/>
                <w:szCs w:val="20"/>
                <w:color w:val="auto"/>
              </w:rPr>
            </w:pPr>
            <w:r>
              <w:rPr>
                <w:rFonts w:ascii="Times New Roman" w:cs="Times New Roman" w:eastAsia="Times New Roman" w:hAnsi="Times New Roman"/>
                <w:sz w:val="22"/>
                <w:szCs w:val="22"/>
                <w:color w:val="auto"/>
              </w:rPr>
              <w:t>Shares:</w:t>
            </w:r>
          </w:p>
        </w:tc>
        <w:tc>
          <w:tcPr>
            <w:tcW w:w="710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determined in accordance with the Vesting Schedule below. For purposes of the</w:t>
            </w:r>
          </w:p>
        </w:tc>
      </w:tr>
      <w:tr>
        <w:trPr>
          <w:trHeight w:val="259"/>
        </w:trPr>
        <w:tc>
          <w:tcPr>
            <w:tcW w:w="6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percentage calculations set forth in the performance vesting section of such</w:t>
            </w:r>
          </w:p>
        </w:tc>
      </w:tr>
      <w:tr>
        <w:trPr>
          <w:trHeight w:val="260"/>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xml:space="preserve">schedule, the number of shares of Common Stock to be utilized is </w:t>
            </w:r>
            <w:r>
              <w:rPr>
                <w:rFonts w:ascii="Times New Roman" w:cs="Times New Roman" w:eastAsia="Times New Roman" w:hAnsi="Times New Roman"/>
                <w:sz w:val="22"/>
                <w:szCs w:val="22"/>
                <w:b w:val="1"/>
                <w:bCs w:val="1"/>
                <w:color w:val="auto"/>
              </w:rPr>
              <w:t>__</w:t>
            </w:r>
            <w:r>
              <w:rPr>
                <w:rFonts w:ascii="Times New Roman" w:cs="Times New Roman" w:eastAsia="Times New Roman" w:hAnsi="Times New Roman"/>
                <w:sz w:val="22"/>
                <w:szCs w:val="22"/>
                <w:color w:val="auto"/>
              </w:rPr>
              <w:t xml:space="preserve"> shares (the</w:t>
            </w:r>
          </w:p>
        </w:tc>
      </w:tr>
      <w:tr>
        <w:trPr>
          <w:trHeight w:val="257"/>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“Performance Shares”). The specific number of Performance Shares set forth in</w:t>
            </w:r>
          </w:p>
        </w:tc>
      </w:tr>
      <w:tr>
        <w:trPr>
          <w:trHeight w:val="28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this paragraph shall be referred to as the “Designated Shares”.</w:t>
            </w:r>
          </w:p>
        </w:tc>
      </w:tr>
      <w:tr>
        <w:trPr>
          <w:trHeight w:val="474"/>
        </w:trPr>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Vesting</w:t>
            </w:r>
          </w:p>
        </w:tc>
        <w:tc>
          <w:tcPr>
            <w:tcW w:w="840" w:type="dxa"/>
            <w:vAlign w:val="bottom"/>
            <w:gridSpan w:val="5"/>
          </w:tcPr>
          <w:p>
            <w:pPr>
              <w:spacing w:after="0"/>
              <w:rPr>
                <w:sz w:val="24"/>
                <w:szCs w:val="24"/>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number of shares of Common Stock which may actually vest and become</w:t>
            </w:r>
          </w:p>
        </w:tc>
      </w:tr>
      <w:tr>
        <w:trPr>
          <w:trHeight w:val="236"/>
        </w:trPr>
        <w:tc>
          <w:tcPr>
            <w:tcW w:w="1480" w:type="dxa"/>
            <w:vAlign w:val="bottom"/>
            <w:gridSpan w:val="7"/>
          </w:tcPr>
          <w:p>
            <w:pPr>
              <w:spacing w:after="0" w:line="237" w:lineRule="exact"/>
              <w:rPr>
                <w:sz w:val="20"/>
                <w:szCs w:val="20"/>
                <w:color w:val="auto"/>
              </w:rPr>
            </w:pPr>
            <w:r>
              <w:rPr>
                <w:rFonts w:ascii="Times New Roman" w:cs="Times New Roman" w:eastAsia="Times New Roman" w:hAnsi="Times New Roman"/>
                <w:sz w:val="22"/>
                <w:szCs w:val="22"/>
                <w:color w:val="auto"/>
              </w:rPr>
              <w:t>Schedule:</w:t>
            </w:r>
          </w:p>
        </w:tc>
        <w:tc>
          <w:tcPr>
            <w:tcW w:w="710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auto"/>
              </w:rPr>
              <w:t>issuable pursuant to the Award shall be determined pursuant to a two-step</w:t>
            </w:r>
          </w:p>
        </w:tc>
      </w:tr>
      <w:tr>
        <w:trPr>
          <w:trHeight w:val="263"/>
        </w:trPr>
        <w:tc>
          <w:tcPr>
            <w:tcW w:w="6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process: (i) first there shall be calculated the maximum number of shares of</w:t>
            </w:r>
          </w:p>
        </w:tc>
      </w:tr>
      <w:tr>
        <w:trPr>
          <w:trHeight w:val="257"/>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Common Stock in which Participant can vest under the performance vesting</w:t>
            </w:r>
          </w:p>
        </w:tc>
      </w:tr>
      <w:tr>
        <w:trPr>
          <w:trHeight w:val="256"/>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below based upon the actual level at which the Performance Goal</w:t>
            </w:r>
          </w:p>
        </w:tc>
      </w:tr>
      <w:tr>
        <w:trPr>
          <w:trHeight w:val="257"/>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specified on attached Schedule I is attained and (ii) then the number of shares</w:t>
            </w:r>
          </w:p>
        </w:tc>
      </w:tr>
      <w:tr>
        <w:trPr>
          <w:trHeight w:val="256"/>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calculated under clause (i) in which Participant may actually vest shall be</w:t>
            </w:r>
          </w:p>
        </w:tc>
      </w:tr>
      <w:tr>
        <w:trPr>
          <w:trHeight w:val="257"/>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determined on the basis of his or her satisfaction of the applicable Service vesting</w:t>
            </w:r>
          </w:p>
        </w:tc>
      </w:tr>
      <w:tr>
        <w:trPr>
          <w:trHeight w:val="28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requirements set forth in the form Performance Share Award Agreement.</w:t>
            </w:r>
          </w:p>
        </w:tc>
      </w:tr>
      <w:tr>
        <w:trPr>
          <w:trHeight w:val="447"/>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rPr>
              <w:t>Performance Vesting</w:t>
            </w:r>
            <w:r>
              <w:rPr>
                <w:rFonts w:ascii="Times New Roman" w:cs="Times New Roman" w:eastAsia="Times New Roman" w:hAnsi="Times New Roman"/>
                <w:sz w:val="22"/>
                <w:szCs w:val="22"/>
                <w:color w:val="auto"/>
              </w:rPr>
              <w:t>: Attached Schedule I specifies the Performance Goal and</w:t>
            </w:r>
          </w:p>
        </w:tc>
      </w:tr>
      <w:tr>
        <w:trPr>
          <w:trHeight w:val="28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Performance Period established for the Award.</w:t>
            </w:r>
          </w:p>
        </w:tc>
      </w:tr>
      <w:tr>
        <w:trPr>
          <w:trHeight w:val="420"/>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Performance Goal: There are three designated levels of attainment set forth in</w:t>
            </w: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63"/>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I for the Performance Goal: Threshold, Target and Extraordinary.</w:t>
            </w:r>
          </w:p>
        </w:tc>
      </w:tr>
      <w:tr>
        <w:trPr>
          <w:trHeight w:val="256"/>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Following the completion of the Performance Period, the Plan Administrator shall</w:t>
            </w:r>
          </w:p>
        </w:tc>
      </w:tr>
      <w:tr>
        <w:trPr>
          <w:trHeight w:val="282"/>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determine and certify the actual level of attainment for the Performance</w:t>
            </w:r>
          </w:p>
        </w:tc>
      </w:tr>
      <w:tr>
        <w:trPr>
          <w:trHeight w:val="724"/>
        </w:trPr>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132" w:name="page133"/>
    <w:bookmarkEnd w:id="132"/>
    <w:p>
      <w:pPr>
        <w:jc w:val="both"/>
        <w:ind w:left="1700" w:right="219"/>
        <w:spacing w:after="0" w:line="247" w:lineRule="auto"/>
        <w:rPr>
          <w:sz w:val="20"/>
          <w:szCs w:val="20"/>
          <w:color w:val="auto"/>
        </w:rPr>
      </w:pPr>
      <w:r>
        <w:rPr>
          <w:rFonts w:ascii="Times New Roman" w:cs="Times New Roman" w:eastAsia="Times New Roman" w:hAnsi="Times New Roman"/>
          <w:sz w:val="22"/>
          <w:szCs w:val="22"/>
          <w:color w:val="auto"/>
        </w:rPr>
        <w:t>Goal and shall then measure that level of attainment against the Threshold, Target and Extraordinary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initially be determined by applying the corresponding percentage below for that level of attainment to the number of Designated Shares set forth above:</w:t>
      </w:r>
    </w:p>
    <w:p>
      <w:pPr>
        <w:spacing w:after="0" w:line="195" w:lineRule="exact"/>
        <w:rPr>
          <w:sz w:val="20"/>
          <w:szCs w:val="20"/>
          <w:color w:val="auto"/>
        </w:rPr>
      </w:pPr>
    </w:p>
    <w:tbl>
      <w:tblPr>
        <w:tblLayout w:type="fixed"/>
        <w:tblInd w:w="1700" w:type="dxa"/>
        <w:tblCellMar>
          <w:top w:w="0" w:type="dxa"/>
          <w:left w:w="0" w:type="dxa"/>
          <w:bottom w:w="0" w:type="dxa"/>
          <w:right w:w="0" w:type="dxa"/>
        </w:tblCellMar>
      </w:tblPr>
      <w:tr>
        <w:trPr>
          <w:trHeight w:val="274"/>
        </w:trPr>
        <w:tc>
          <w:tcPr>
            <w:tcW w:w="3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Level of Attainment</w:t>
            </w:r>
          </w:p>
        </w:tc>
        <w:tc>
          <w:tcPr>
            <w:tcW w:w="33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w w:val="99"/>
              </w:rPr>
              <w:t>Percentage of Performance Shares</w:t>
            </w:r>
          </w:p>
        </w:tc>
      </w:tr>
      <w:tr>
        <w:trPr>
          <w:trHeight w:val="250"/>
        </w:trPr>
        <w:tc>
          <w:tcPr>
            <w:tcW w:w="3540" w:type="dxa"/>
            <w:vAlign w:val="bottom"/>
            <w:tcBorders>
              <w:top w:val="single" w:sz="8" w:color="auto"/>
            </w:tcBorders>
          </w:tcPr>
          <w:p>
            <w:pPr>
              <w:spacing w:after="0" w:line="249" w:lineRule="exact"/>
              <w:rPr>
                <w:sz w:val="20"/>
                <w:szCs w:val="20"/>
                <w:color w:val="auto"/>
              </w:rPr>
            </w:pPr>
            <w:r>
              <w:rPr>
                <w:rFonts w:ascii="Times New Roman" w:cs="Times New Roman" w:eastAsia="Times New Roman" w:hAnsi="Times New Roman"/>
                <w:sz w:val="22"/>
                <w:szCs w:val="22"/>
                <w:color w:val="auto"/>
              </w:rPr>
              <w:t>Below the Threshold Level:</w:t>
            </w:r>
          </w:p>
        </w:tc>
        <w:tc>
          <w:tcPr>
            <w:tcW w:w="240" w:type="dxa"/>
            <w:vAlign w:val="bottom"/>
          </w:tcPr>
          <w:p>
            <w:pPr>
              <w:spacing w:after="0"/>
              <w:rPr>
                <w:sz w:val="21"/>
                <w:szCs w:val="21"/>
                <w:color w:val="auto"/>
              </w:rPr>
            </w:pPr>
          </w:p>
        </w:tc>
        <w:tc>
          <w:tcPr>
            <w:tcW w:w="3320" w:type="dxa"/>
            <w:vAlign w:val="bottom"/>
            <w:tcBorders>
              <w:top w:val="single" w:sz="8" w:color="auto"/>
            </w:tcBorders>
          </w:tcPr>
          <w:p>
            <w:pPr>
              <w:jc w:val="center"/>
              <w:spacing w:after="0" w:line="249" w:lineRule="exact"/>
              <w:rPr>
                <w:sz w:val="20"/>
                <w:szCs w:val="20"/>
                <w:color w:val="auto"/>
              </w:rPr>
            </w:pPr>
            <w:r>
              <w:rPr>
                <w:rFonts w:ascii="Times New Roman" w:cs="Times New Roman" w:eastAsia="Times New Roman" w:hAnsi="Times New Roman"/>
                <w:sz w:val="22"/>
                <w:szCs w:val="22"/>
                <w:color w:val="auto"/>
                <w:w w:val="95"/>
              </w:rPr>
              <w:t>0%</w:t>
            </w:r>
          </w:p>
        </w:tc>
      </w:tr>
      <w:tr>
        <w:trPr>
          <w:trHeight w:val="270"/>
        </w:trPr>
        <w:tc>
          <w:tcPr>
            <w:tcW w:w="3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 the Threshold Level:</w:t>
            </w:r>
          </w:p>
        </w:tc>
        <w:tc>
          <w:tcPr>
            <w:tcW w:w="3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r>
      <w:tr>
        <w:trPr>
          <w:trHeight w:val="270"/>
        </w:trPr>
        <w:tc>
          <w:tcPr>
            <w:tcW w:w="3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 the Target Level:</w:t>
            </w:r>
          </w:p>
        </w:tc>
        <w:tc>
          <w:tcPr>
            <w:tcW w:w="3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82"/>
        </w:trPr>
        <w:tc>
          <w:tcPr>
            <w:tcW w:w="3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 the Extraordinary Level:</w:t>
            </w:r>
          </w:p>
        </w:tc>
        <w:tc>
          <w:tcPr>
            <w:tcW w:w="3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250%</w:t>
            </w:r>
          </w:p>
        </w:tc>
      </w:tr>
    </w:tbl>
    <w:p>
      <w:pPr>
        <w:spacing w:after="0" w:line="244" w:lineRule="exact"/>
        <w:rPr>
          <w:sz w:val="20"/>
          <w:szCs w:val="20"/>
          <w:color w:val="auto"/>
        </w:rPr>
      </w:pPr>
    </w:p>
    <w:p>
      <w:pPr>
        <w:jc w:val="both"/>
        <w:ind w:left="1700" w:right="219"/>
        <w:spacing w:after="0" w:line="256" w:lineRule="auto"/>
        <w:rPr>
          <w:sz w:val="20"/>
          <w:szCs w:val="20"/>
          <w:color w:val="auto"/>
        </w:rPr>
      </w:pPr>
      <w:r>
        <w:rPr>
          <w:rFonts w:ascii="Times New Roman" w:cs="Times New Roman" w:eastAsia="Times New Roman" w:hAnsi="Times New Roman"/>
          <w:sz w:val="22"/>
          <w:szCs w:val="22"/>
          <w:color w:val="auto"/>
        </w:rPr>
        <w:t>To the extent the actual level of attainment of the Performance Goal is at a point between the Threshold and Target Levels, the maximum number of shares of Common Stock in which Participant can vest shall be pro-rated between the two points on a straight line basis.</w:t>
      </w:r>
    </w:p>
    <w:p>
      <w:pPr>
        <w:spacing w:after="0" w:line="176" w:lineRule="exact"/>
        <w:rPr>
          <w:sz w:val="20"/>
          <w:szCs w:val="20"/>
          <w:color w:val="auto"/>
        </w:rPr>
      </w:pPr>
    </w:p>
    <w:p>
      <w:pPr>
        <w:jc w:val="both"/>
        <w:ind w:left="1700" w:right="219"/>
        <w:spacing w:after="0" w:line="252" w:lineRule="auto"/>
        <w:rPr>
          <w:sz w:val="20"/>
          <w:szCs w:val="20"/>
          <w:color w:val="auto"/>
        </w:rPr>
      </w:pPr>
      <w:r>
        <w:rPr>
          <w:rFonts w:ascii="Times New Roman" w:cs="Times New Roman" w:eastAsia="Times New Roman" w:hAnsi="Times New Roman"/>
          <w:sz w:val="22"/>
          <w:szCs w:val="22"/>
          <w:color w:val="auto"/>
        </w:rPr>
        <w:t>To the extent the actual level of attainment of a Performance Goal is at a point between the Target and Extraordinary Levels, the maximum number of shares of Common Stock in which Participant can vest shall be pro-rated between the two points on a straight line basis.</w:t>
      </w:r>
    </w:p>
    <w:p>
      <w:pPr>
        <w:spacing w:after="0" w:line="179" w:lineRule="exact"/>
        <w:rPr>
          <w:sz w:val="20"/>
          <w:szCs w:val="20"/>
          <w:color w:val="auto"/>
        </w:rPr>
      </w:pPr>
    </w:p>
    <w:p>
      <w:pPr>
        <w:jc w:val="both"/>
        <w:ind w:left="1700" w:right="219"/>
        <w:spacing w:after="0" w:line="250" w:lineRule="auto"/>
        <w:rPr>
          <w:sz w:val="20"/>
          <w:szCs w:val="20"/>
          <w:color w:val="auto"/>
        </w:rPr>
      </w:pPr>
      <w:r>
        <w:rPr>
          <w:rFonts w:ascii="Times New Roman" w:cs="Times New Roman" w:eastAsia="Times New Roman" w:hAnsi="Times New Roman"/>
          <w:sz w:val="22"/>
          <w:szCs w:val="22"/>
          <w:u w:val="single" w:color="auto"/>
          <w:color w:val="auto"/>
        </w:rPr>
        <w:t>Performance-Qualified Shares</w:t>
      </w:r>
      <w:r>
        <w:rPr>
          <w:rFonts w:ascii="Times New Roman" w:cs="Times New Roman" w:eastAsia="Times New Roman" w:hAnsi="Times New Roman"/>
          <w:sz w:val="22"/>
          <w:szCs w:val="22"/>
          <w:color w:val="auto"/>
        </w:rPr>
        <w:t>: The maximum number of shares of Common Stock in which Participant can vest on the basis of the foregoing performance measures shall be hereinafter designated the “Performance-Qualified Shares” and shall in no event exceed in the aggregate 250% of the number of Designated Shares set forth in the Number of Shares Subject to Award section above.</w:t>
      </w:r>
    </w:p>
    <w:p>
      <w:pPr>
        <w:spacing w:after="0" w:line="175" w:lineRule="exact"/>
        <w:rPr>
          <w:sz w:val="20"/>
          <w:szCs w:val="20"/>
          <w:color w:val="auto"/>
        </w:rPr>
      </w:pPr>
    </w:p>
    <w:p>
      <w:pPr>
        <w:jc w:val="both"/>
        <w:ind w:left="1700" w:right="219"/>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Service Vesting. </w:t>
      </w:r>
      <w:r>
        <w:rPr>
          <w:rFonts w:ascii="Times New Roman" w:cs="Times New Roman" w:eastAsia="Times New Roman" w:hAnsi="Times New Roman"/>
          <w:sz w:val="22"/>
          <w:szCs w:val="22"/>
          <w:color w:val="auto"/>
        </w:rPr>
        <w:t>The number of Performance-Qualified Shares in which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Participant actually vests shall be determined on the basis of his or her satisfaction of the Service-vesting requirements set forth in Paragraph 3 of the form Performance Share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“Award Agreement”).</w:t>
      </w:r>
    </w:p>
    <w:p>
      <w:pPr>
        <w:spacing w:after="0" w:line="182" w:lineRule="exact"/>
        <w:rPr>
          <w:sz w:val="20"/>
          <w:szCs w:val="20"/>
          <w:color w:val="auto"/>
        </w:rPr>
      </w:pPr>
    </w:p>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xml:space="preserve"> Street, Oakland, California 94607. Participant agrees to electronic delivery of any and all communications relating to the Award, the Award Agreement or the Plan, including but not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3" w:name="page134"/>
    <w:bookmarkEnd w:id="133"/>
    <w:p>
      <w:pPr>
        <w:ind w:left="200" w:right="239"/>
        <w:spacing w:after="0" w:line="271" w:lineRule="auto"/>
        <w:rPr>
          <w:sz w:val="20"/>
          <w:szCs w:val="20"/>
          <w:color w:val="auto"/>
        </w:rPr>
      </w:pPr>
      <w:r>
        <w:rPr>
          <w:rFonts w:ascii="Times New Roman" w:cs="Times New Roman" w:eastAsia="Times New Roman" w:hAnsi="Times New Roman"/>
          <w:sz w:val="22"/>
          <w:szCs w:val="22"/>
          <w:color w:val="auto"/>
        </w:rPr>
        <w:t>limited to documentation of the Award, the official prospectus for the Plan, and any and all other documents and materials relating to the Award, the Award Agreement or the Plan.</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Coverage under Recoupment Policy</w:t>
      </w:r>
      <w:r>
        <w:rPr>
          <w:rFonts w:ascii="Times New Roman" w:cs="Times New Roman" w:eastAsia="Times New Roman" w:hAnsi="Times New Roman"/>
          <w:sz w:val="22"/>
          <w:szCs w:val="22"/>
          <w:color w:val="auto"/>
        </w:rPr>
        <w:t>. Participant hereby agrees that:</w:t>
      </w:r>
    </w:p>
    <w:p>
      <w:pPr>
        <w:spacing w:after="0" w:line="220" w:lineRule="exact"/>
        <w:rPr>
          <w:sz w:val="20"/>
          <w:szCs w:val="20"/>
          <w:color w:val="auto"/>
        </w:rPr>
      </w:pPr>
    </w:p>
    <w:p>
      <w:pPr>
        <w:jc w:val="both"/>
        <w:ind w:left="200" w:right="219" w:firstLine="1305"/>
        <w:spacing w:after="0" w:line="257"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subject to the Matson, Inc. Policy Regarding Recoupment of Certain Compensation, as it may be amended from time to time, the terms of which are hereby incorporated herein by reference; and</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incentive compensation that is paid or granted to, or received by, Participant under the Award shall be subject to recovery and recoupment pursuant to the terms of such policy.</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 copy of the recoupment policy is available upon request made to the Corporate Secretary.</w:t>
      </w:r>
    </w:p>
    <w:p>
      <w:pPr>
        <w:spacing w:after="0" w:line="220"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2"/>
          <w:szCs w:val="22"/>
          <w:u w:val="single" w:color="auto"/>
          <w:color w:val="auto"/>
        </w:rPr>
        <w:t>Continuing Consent</w:t>
      </w:r>
      <w:r>
        <w:rPr>
          <w:rFonts w:ascii="Times New Roman" w:cs="Times New Roman" w:eastAsia="Times New Roman" w:hAnsi="Times New Roman"/>
          <w:sz w:val="22"/>
          <w:szCs w:val="22"/>
          <w:color w:val="auto"/>
        </w:rPr>
        <w:t>.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Award Agreement, and Participant hereby understands and agrees to those terms and conditions for each such subsequent Performance Shares award that may be made to him or her under the Plan and hereby agrees to be bound by those terms and conditions for any such Performance Share awards, without any further consent or action required on his or her part at the time or times when those awards may be made. However, Participant may, at any time he or she holds an outstanding Performance Share award under the Plan, request a written copy of the Award Agreement from the Corporation by contacting the Corporation’s Human Resources Department at the Corporation’s offices at 555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2"/>
          <w:szCs w:val="22"/>
          <w:color w:val="auto"/>
        </w:rPr>
        <w:t xml:space="preserve"> Street, Oakland, California 94607.</w:t>
      </w:r>
    </w:p>
    <w:p>
      <w:pPr>
        <w:spacing w:after="0" w:line="45"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4" w:name="page135"/>
    <w:bookmarkEnd w:id="134"/>
    <w:p>
      <w:pPr>
        <w:ind w:left="200" w:right="219"/>
        <w:spacing w:after="0" w:line="271" w:lineRule="auto"/>
        <w:rPr>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capitalized terms in this Notice shall have the meaning assigned to them in this Notice or in the Award Agreement.</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-13970</wp:posOffset>
            </wp:positionV>
            <wp:extent cx="6515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7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30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10795</wp:posOffset>
            </wp:positionV>
            <wp:extent cx="24428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6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19685</wp:posOffset>
            </wp:positionV>
            <wp:extent cx="24428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-157480</wp:posOffset>
            </wp:positionV>
            <wp:extent cx="24428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5" w:name="page136"/>
    <w:bookmarkEnd w:id="135"/>
    <w:p>
      <w:pPr>
        <w:ind w:left="384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PERFORMANCE PERIOD, PERFORMANCE GOAL</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LEVELS OF ATTAINMENT</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PERFORMANCE PERIOD</w:t>
      </w:r>
    </w:p>
    <w:p>
      <w:pPr>
        <w:spacing w:after="0" w:line="226" w:lineRule="exact"/>
        <w:rPr>
          <w:sz w:val="20"/>
          <w:szCs w:val="20"/>
          <w:color w:val="auto"/>
        </w:rPr>
      </w:pPr>
    </w:p>
    <w:p>
      <w:pPr>
        <w:jc w:val="both"/>
        <w:ind w:left="200" w:right="239" w:firstLine="1296"/>
        <w:spacing w:after="0" w:line="271" w:lineRule="auto"/>
        <w:rPr>
          <w:sz w:val="20"/>
          <w:szCs w:val="20"/>
          <w:color w:val="auto"/>
        </w:rPr>
      </w:pPr>
      <w:r>
        <w:rPr>
          <w:rFonts w:ascii="Times New Roman" w:cs="Times New Roman" w:eastAsia="Times New Roman" w:hAnsi="Times New Roman"/>
          <w:sz w:val="22"/>
          <w:szCs w:val="22"/>
          <w:color w:val="auto"/>
        </w:rPr>
        <w:t>The Performance Period shall be the three (3)-year period beginning January 1, 20xx and ending December 31, 20xx.</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PERFORMANCE GOAL – TSR</w:t>
      </w:r>
    </w:p>
    <w:p>
      <w:pPr>
        <w:spacing w:after="0" w:line="226" w:lineRule="exact"/>
        <w:rPr>
          <w:sz w:val="20"/>
          <w:szCs w:val="20"/>
          <w:color w:val="auto"/>
        </w:rPr>
      </w:pPr>
    </w:p>
    <w:p>
      <w:pPr>
        <w:jc w:val="both"/>
        <w:ind w:left="200" w:right="219" w:firstLine="1296"/>
        <w:spacing w:after="0" w:line="268" w:lineRule="auto"/>
        <w:rPr>
          <w:sz w:val="20"/>
          <w:szCs w:val="20"/>
          <w:color w:val="auto"/>
        </w:rPr>
      </w:pPr>
      <w:r>
        <w:rPr>
          <w:rFonts w:ascii="Times New Roman" w:cs="Times New Roman" w:eastAsia="Times New Roman" w:hAnsi="Times New Roman"/>
          <w:sz w:val="21"/>
          <w:szCs w:val="21"/>
          <w:color w:val="auto"/>
        </w:rPr>
        <w:t>The number of shares which are to vest shall be based on the level of attainment for the percentile level at which the total shareholder return (“TSR”) to the Corporation's shareholders over the Performance Period stands relative to the TSR realized for that period by the companies comprising the S&amp;P Transportation Select Industry Index and S&amp;P MidCap 400 Index as follows:</w:t>
      </w:r>
    </w:p>
    <w:p>
      <w:pPr>
        <w:spacing w:after="0" w:line="225" w:lineRule="exact"/>
        <w:rPr>
          <w:sz w:val="20"/>
          <w:szCs w:val="20"/>
          <w:color w:val="auto"/>
        </w:rPr>
      </w:pPr>
    </w:p>
    <w:tbl>
      <w:tblPr>
        <w:tblLayout w:type="fixed"/>
        <w:tblInd w:w="230" w:type="dxa"/>
        <w:tblCellMar>
          <w:top w:w="0" w:type="dxa"/>
          <w:left w:w="0" w:type="dxa"/>
          <w:bottom w:w="0" w:type="dxa"/>
          <w:right w:w="0" w:type="dxa"/>
        </w:tblCellMar>
      </w:tblPr>
      <w:tr>
        <w:trPr>
          <w:trHeight w:val="270"/>
        </w:trPr>
        <w:tc>
          <w:tcPr>
            <w:tcW w:w="4300" w:type="dxa"/>
            <w:vAlign w:val="bottom"/>
            <w:tcBorders>
              <w:top w:val="single" w:sz="8" w:color="auto"/>
              <w:left w:val="single" w:sz="8" w:color="auto"/>
              <w:bottom w:val="single" w:sz="8" w:color="auto"/>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Relative TSR Performance</w:t>
            </w:r>
          </w:p>
        </w:tc>
        <w:tc>
          <w:tcPr>
            <w:tcW w:w="4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Level of Attainment</w:t>
            </w:r>
          </w:p>
        </w:tc>
      </w:tr>
      <w:tr>
        <w:trPr>
          <w:trHeight w:val="209"/>
        </w:trPr>
        <w:tc>
          <w:tcPr>
            <w:tcW w:w="1440" w:type="dxa"/>
            <w:vAlign w:val="bottom"/>
            <w:tcBorders>
              <w:left w:val="single" w:sz="8" w:color="auto"/>
            </w:tcBorders>
          </w:tcPr>
          <w:p>
            <w:pPr>
              <w:spacing w:after="0"/>
              <w:rPr>
                <w:sz w:val="18"/>
                <w:szCs w:val="18"/>
                <w:color w:val="auto"/>
              </w:rPr>
            </w:pPr>
          </w:p>
        </w:tc>
        <w:tc>
          <w:tcPr>
            <w:tcW w:w="2860" w:type="dxa"/>
            <w:vAlign w:val="bottom"/>
            <w:tcBorders>
              <w:right w:val="single" w:sz="8" w:color="auto"/>
            </w:tcBorders>
            <w:gridSpan w:val="3"/>
          </w:tcPr>
          <w:p>
            <w:pPr>
              <w:jc w:val="center"/>
              <w:ind w:right="1460"/>
              <w:spacing w:after="0" w:line="209" w:lineRule="exact"/>
              <w:rPr>
                <w:sz w:val="20"/>
                <w:szCs w:val="20"/>
                <w:color w:val="auto"/>
              </w:rPr>
            </w:pPr>
            <w:r>
              <w:rPr>
                <w:rFonts w:ascii="Times New Roman" w:cs="Times New Roman" w:eastAsia="Times New Roman" w:hAnsi="Times New Roman"/>
                <w:sz w:val="22"/>
                <w:szCs w:val="22"/>
                <w:color w:val="auto"/>
                <w:w w:val="97"/>
              </w:rPr>
              <w:t>&gt;75th percentile</w:t>
            </w:r>
          </w:p>
        </w:tc>
        <w:tc>
          <w:tcPr>
            <w:tcW w:w="42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Extraordinary Level</w:t>
            </w:r>
          </w:p>
        </w:tc>
      </w:tr>
      <w:tr>
        <w:trPr>
          <w:trHeight w:val="20"/>
        </w:trPr>
        <w:tc>
          <w:tcPr>
            <w:tcW w:w="14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4280" w:type="dxa"/>
            <w:vAlign w:val="bottom"/>
            <w:tcBorders>
              <w:right w:val="single" w:sz="8" w:color="auto"/>
            </w:tcBorders>
          </w:tcPr>
          <w:p>
            <w:pPr>
              <w:spacing w:after="0" w:line="20" w:lineRule="exact"/>
              <w:rPr>
                <w:sz w:val="1"/>
                <w:szCs w:val="1"/>
                <w:color w:val="auto"/>
              </w:rPr>
            </w:pPr>
          </w:p>
        </w:tc>
      </w:tr>
      <w:tr>
        <w:trPr>
          <w:trHeight w:val="263"/>
        </w:trPr>
        <w:tc>
          <w:tcPr>
            <w:tcW w:w="1440" w:type="dxa"/>
            <w:vAlign w:val="bottom"/>
            <w:tcBorders>
              <w:left w:val="single" w:sz="8" w:color="auto"/>
            </w:tcBorders>
          </w:tcPr>
          <w:p>
            <w:pPr>
              <w:spacing w:after="0"/>
              <w:rPr>
                <w:sz w:val="22"/>
                <w:szCs w:val="22"/>
                <w:color w:val="auto"/>
              </w:rPr>
            </w:pPr>
          </w:p>
        </w:tc>
        <w:tc>
          <w:tcPr>
            <w:tcW w:w="2860" w:type="dxa"/>
            <w:vAlign w:val="bottom"/>
            <w:tcBorders>
              <w:right w:val="single" w:sz="8" w:color="auto"/>
            </w:tcBorders>
            <w:gridSpan w:val="3"/>
          </w:tcPr>
          <w:p>
            <w:pPr>
              <w:jc w:val="center"/>
              <w:ind w:right="1460"/>
              <w:spacing w:after="0"/>
              <w:rPr>
                <w:sz w:val="20"/>
                <w:szCs w:val="20"/>
                <w:color w:val="auto"/>
              </w:rPr>
            </w:pPr>
            <w:r>
              <w:rPr>
                <w:rFonts w:ascii="Times New Roman" w:cs="Times New Roman" w:eastAsia="Times New Roman" w:hAnsi="Times New Roman"/>
                <w:sz w:val="22"/>
                <w:szCs w:val="22"/>
                <w:color w:val="auto"/>
                <w:w w:val="97"/>
              </w:rPr>
              <w:t>50th percentile</w:t>
            </w:r>
          </w:p>
        </w:tc>
        <w:tc>
          <w:tcPr>
            <w:tcW w:w="4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Target Level</w:t>
            </w:r>
          </w:p>
        </w:tc>
      </w:tr>
      <w:tr>
        <w:trPr>
          <w:trHeight w:val="257"/>
        </w:trPr>
        <w:tc>
          <w:tcPr>
            <w:tcW w:w="1440" w:type="dxa"/>
            <w:vAlign w:val="bottom"/>
            <w:tcBorders>
              <w:left w:val="single" w:sz="8" w:color="auto"/>
            </w:tcBorders>
          </w:tcPr>
          <w:p>
            <w:pPr>
              <w:spacing w:after="0"/>
              <w:rPr>
                <w:sz w:val="22"/>
                <w:szCs w:val="22"/>
                <w:color w:val="auto"/>
              </w:rPr>
            </w:pPr>
          </w:p>
        </w:tc>
        <w:tc>
          <w:tcPr>
            <w:tcW w:w="2860" w:type="dxa"/>
            <w:vAlign w:val="bottom"/>
            <w:tcBorders>
              <w:right w:val="single" w:sz="8" w:color="auto"/>
            </w:tcBorders>
            <w:gridSpan w:val="3"/>
          </w:tcPr>
          <w:p>
            <w:pPr>
              <w:jc w:val="center"/>
              <w:ind w:right="1460"/>
              <w:spacing w:after="0"/>
              <w:rPr>
                <w:sz w:val="20"/>
                <w:szCs w:val="20"/>
                <w:color w:val="auto"/>
              </w:rPr>
            </w:pPr>
            <w:r>
              <w:rPr>
                <w:rFonts w:ascii="Times New Roman" w:cs="Times New Roman" w:eastAsia="Times New Roman" w:hAnsi="Times New Roman"/>
                <w:sz w:val="22"/>
                <w:szCs w:val="22"/>
                <w:color w:val="auto"/>
                <w:w w:val="97"/>
              </w:rPr>
              <w:t>25th percentile</w:t>
            </w:r>
          </w:p>
        </w:tc>
        <w:tc>
          <w:tcPr>
            <w:tcW w:w="4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 Level</w:t>
            </w:r>
          </w:p>
        </w:tc>
      </w:tr>
      <w:tr>
        <w:trPr>
          <w:trHeight w:val="230"/>
        </w:trPr>
        <w:tc>
          <w:tcPr>
            <w:tcW w:w="1440" w:type="dxa"/>
            <w:vAlign w:val="bottom"/>
            <w:tcBorders>
              <w:left w:val="single" w:sz="8" w:color="auto"/>
            </w:tcBorders>
          </w:tcPr>
          <w:p>
            <w:pPr>
              <w:spacing w:after="0"/>
              <w:rPr>
                <w:sz w:val="19"/>
                <w:szCs w:val="19"/>
                <w:color w:val="auto"/>
              </w:rPr>
            </w:pPr>
          </w:p>
        </w:tc>
        <w:tc>
          <w:tcPr>
            <w:tcW w:w="2860" w:type="dxa"/>
            <w:vAlign w:val="bottom"/>
            <w:tcBorders>
              <w:right w:val="single" w:sz="8" w:color="auto"/>
            </w:tcBorders>
            <w:gridSpan w:val="3"/>
          </w:tcPr>
          <w:p>
            <w:pPr>
              <w:jc w:val="center"/>
              <w:ind w:right="1460"/>
              <w:spacing w:after="0" w:line="230" w:lineRule="exact"/>
              <w:rPr>
                <w:sz w:val="20"/>
                <w:szCs w:val="20"/>
                <w:color w:val="auto"/>
              </w:rPr>
            </w:pPr>
            <w:r>
              <w:rPr>
                <w:rFonts w:ascii="Times New Roman" w:cs="Times New Roman" w:eastAsia="Times New Roman" w:hAnsi="Times New Roman"/>
                <w:sz w:val="22"/>
                <w:szCs w:val="22"/>
                <w:color w:val="auto"/>
                <w:w w:val="97"/>
              </w:rPr>
              <w:t>&lt;25th percentile</w:t>
            </w:r>
          </w:p>
        </w:tc>
        <w:tc>
          <w:tcPr>
            <w:tcW w:w="428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22"/>
                <w:szCs w:val="22"/>
                <w:color w:val="auto"/>
                <w:w w:val="98"/>
              </w:rPr>
              <w:t>Below the Threshold Level</w:t>
            </w:r>
          </w:p>
        </w:tc>
      </w:tr>
      <w:tr>
        <w:trPr>
          <w:trHeight w:val="20"/>
        </w:trPr>
        <w:tc>
          <w:tcPr>
            <w:tcW w:w="14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4280" w:type="dxa"/>
            <w:vAlign w:val="bottom"/>
            <w:tcBorders>
              <w:bottom w:val="single" w:sz="8" w:color="auto"/>
              <w:right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The level of attainment and resulting Percentage of Performance Shares, as set forth in the Notice of Awards, shall be determined separately for each index. The resulting Percentage of Performance Shares for each index shall be weighted 50%.</w:t>
      </w:r>
    </w:p>
    <w:p>
      <w:pPr>
        <w:spacing w:after="0" w:line="65"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For such purpose, the TSR for the Corporation’s stockholders shall be determined pursuant to the following formula:</w:t>
      </w:r>
    </w:p>
    <w:p>
      <w:pPr>
        <w:spacing w:after="0" w:line="239" w:lineRule="exact"/>
        <w:rPr>
          <w:sz w:val="20"/>
          <w:szCs w:val="20"/>
          <w:color w:val="auto"/>
        </w:rPr>
      </w:pPr>
    </w:p>
    <w:p>
      <w:pPr>
        <w:jc w:val="center"/>
        <w:ind w:left="2300" w:right="300"/>
        <w:spacing w:after="0" w:line="271" w:lineRule="auto"/>
        <w:rPr>
          <w:sz w:val="20"/>
          <w:szCs w:val="20"/>
          <w:color w:val="auto"/>
        </w:rPr>
      </w:pPr>
      <w:r>
        <w:rPr>
          <w:rFonts w:ascii="Times New Roman" w:cs="Times New Roman" w:eastAsia="Times New Roman" w:hAnsi="Times New Roman"/>
          <w:sz w:val="22"/>
          <w:szCs w:val="22"/>
          <w:color w:val="auto"/>
        </w:rPr>
        <w:t>TSR = (</w:t>
      </w:r>
      <w:r>
        <w:rPr>
          <w:rFonts w:ascii="Times New Roman" w:cs="Times New Roman" w:eastAsia="Times New Roman" w:hAnsi="Times New Roman"/>
          <w:sz w:val="22"/>
          <w:szCs w:val="22"/>
          <w:u w:val="single" w:color="auto"/>
          <w:color w:val="auto"/>
        </w:rPr>
        <w:t>Ending Stock Price* - Beginning Stock Price**) + Reinvested Dividends***</w:t>
      </w:r>
      <w:r>
        <w:rPr>
          <w:rFonts w:ascii="Times New Roman" w:cs="Times New Roman" w:eastAsia="Times New Roman" w:hAnsi="Times New Roman"/>
          <w:sz w:val="22"/>
          <w:szCs w:val="22"/>
          <w:color w:val="auto"/>
        </w:rPr>
        <w:t xml:space="preserve"> Beginning Stock Price**</w:t>
      </w:r>
    </w:p>
    <w:p>
      <w:pPr>
        <w:spacing w:after="0" w:line="198" w:lineRule="exact"/>
        <w:rPr>
          <w:sz w:val="20"/>
          <w:szCs w:val="20"/>
          <w:color w:val="auto"/>
        </w:rPr>
      </w:pPr>
    </w:p>
    <w:p>
      <w:pPr>
        <w:ind w:left="200" w:right="219" w:firstLine="657"/>
        <w:spacing w:after="0" w:line="271" w:lineRule="auto"/>
        <w:tabs>
          <w:tab w:leader="none" w:pos="111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Ending Stock Price is the average daily closing price per share of the Common Stock calculated for the last thirty (30) days within the Performance Period.</w:t>
      </w:r>
    </w:p>
    <w:p>
      <w:pPr>
        <w:spacing w:after="0" w:line="212" w:lineRule="exact"/>
        <w:rPr>
          <w:sz w:val="20"/>
          <w:szCs w:val="20"/>
          <w:color w:val="auto"/>
        </w:rPr>
      </w:pPr>
    </w:p>
    <w:p>
      <w:pPr>
        <w:jc w:val="both"/>
        <w:ind w:left="200" w:right="219" w:firstLine="657"/>
        <w:spacing w:after="0" w:line="257" w:lineRule="auto"/>
        <w:tabs>
          <w:tab w:leader="none" w:pos="124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Stock Price is the average daily closing price per share of the Common Stock calculated for the thirty (30)-day period immediately preceding the commencement date of the Performance Period.</w:t>
      </w:r>
    </w:p>
    <w:p>
      <w:pPr>
        <w:spacing w:after="0" w:line="240" w:lineRule="exact"/>
        <w:rPr>
          <w:rFonts w:ascii="Times New Roman" w:cs="Times New Roman" w:eastAsia="Times New Roman" w:hAnsi="Times New Roman"/>
          <w:sz w:val="22"/>
          <w:szCs w:val="22"/>
          <w:color w:val="auto"/>
        </w:rPr>
      </w:pPr>
    </w:p>
    <w:p>
      <w:pPr>
        <w:jc w:val="both"/>
        <w:ind w:left="200" w:right="219" w:firstLine="657"/>
        <w:spacing w:after="0" w:line="250" w:lineRule="auto"/>
        <w:tabs>
          <w:tab w:leader="none" w:pos="124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Reinvested Dividends shall be calculated by multiplying (i) the aggregate number of shares (including fractional shares) of Common Stock that could have been purchased during the Performance Period had each cash dividend paid on a single share of Common Stock during that period been immediately reinvested in additional shares (or fractional shares) of Common Stock at the closing price per share of the Common Stock on the applicable dividend payment date by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6" w:name="page137"/>
    <w:bookmarkEnd w:id="136"/>
    <w:p>
      <w:pPr>
        <w:ind w:left="200" w:right="219" w:firstLine="9"/>
        <w:spacing w:after="0" w:line="271" w:lineRule="auto"/>
        <w:tabs>
          <w:tab w:leader="none" w:pos="53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daily closing price per share of Common Stock calculated for the last thirty (30) days within the Performance Period.</w:t>
      </w:r>
    </w:p>
    <w:p>
      <w:pPr>
        <w:spacing w:after="0" w:line="158"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Each of the foregoing amounts shall be equitably adjusted for stock splits, stock dividends, recapitalizations and other similar events affecting the shares in question without the issuer’s receipt of consideration.</w:t>
      </w:r>
    </w:p>
    <w:p>
      <w:pPr>
        <w:spacing w:after="0" w:line="173"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For each company in the S&amp;P Transportation Select Industry Index and S&amp;P MidCap 400 Index, the TSR with respect to its common stock shall be calculated in the same manner as for the Common Stock.</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SHARE AWARD AGREEMENT</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78" w:lineRule="exact"/>
        <w:rPr>
          <w:sz w:val="20"/>
          <w:szCs w:val="20"/>
          <w:color w:val="auto"/>
        </w:rPr>
      </w:pPr>
    </w:p>
    <w:p>
      <w:pPr>
        <w:jc w:val="both"/>
        <w:ind w:left="200" w:right="219" w:firstLine="1305"/>
        <w:spacing w:after="0" w:line="248" w:lineRule="auto"/>
        <w:tabs>
          <w:tab w:leader="none" w:pos="21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79"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capitalized terms in this Agreement shall have the meaning assigned to them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or if not defined in that appendix, as defined in the Plan.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it is hereby agreed as follows:</w:t>
      </w:r>
    </w:p>
    <w:p>
      <w:pPr>
        <w:spacing w:after="0" w:line="220" w:lineRule="exact"/>
        <w:rPr>
          <w:sz w:val="20"/>
          <w:szCs w:val="20"/>
          <w:color w:val="auto"/>
        </w:rPr>
      </w:pPr>
    </w:p>
    <w:p>
      <w:pPr>
        <w:jc w:val="both"/>
        <w:ind w:left="200" w:right="219" w:firstLine="1305"/>
        <w:spacing w:after="0" w:line="254" w:lineRule="auto"/>
        <w:tabs>
          <w:tab w:leader="none" w:pos="21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Performance Shares</w:t>
      </w:r>
      <w:r>
        <w:rPr>
          <w:rFonts w:ascii="Times New Roman" w:cs="Times New Roman" w:eastAsia="Times New Roman" w:hAnsi="Times New Roman"/>
          <w:sz w:val="22"/>
          <w:szCs w:val="22"/>
          <w:color w:val="auto"/>
        </w:rPr>
        <w:t>. The Corporation hereby awards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as of the 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Transferability</w:t>
      </w:r>
      <w:r>
        <w:rPr>
          <w:rFonts w:ascii="Times New Roman" w:cs="Times New Roman" w:eastAsia="Times New Roman" w:hAnsi="Times New Roman"/>
          <w:sz w:val="22"/>
          <w:szCs w:val="22"/>
          <w:color w:val="auto"/>
        </w:rPr>
        <w:t>. Prior to the actual issuance of the Shares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 hereunder, Participant may not transfer any interest in the Performance Shares subject to the Award or the underlying Shares or pledge or otherwise hedge the sale of those Performance Shares or underlying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8" w:name="page139"/>
    <w:bookmarkEnd w:id="138"/>
    <w:p>
      <w:pPr>
        <w:jc w:val="both"/>
        <w:ind w:left="200" w:right="219" w:firstLine="1305"/>
        <w:spacing w:after="0" w:line="247" w:lineRule="auto"/>
        <w:tabs>
          <w:tab w:leader="none" w:pos="21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Requirements</w:t>
      </w:r>
      <w:r>
        <w:rPr>
          <w:rFonts w:ascii="Times New Roman" w:cs="Times New Roman" w:eastAsia="Times New Roman" w:hAnsi="Times New Roman"/>
          <w:sz w:val="22"/>
          <w:szCs w:val="22"/>
          <w:color w:val="auto"/>
        </w:rPr>
        <w:t>. The actual number of Shares that may vest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issuable pursuant to the Performance Shares shall be determined pursuant to a two-step process: (i) first there shall be calculated the maximum number of Shares in which Participant can 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62" w:lineRule="auto"/>
        <w:tabs>
          <w:tab w:leader="none" w:pos="2792"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Performance Vesting</w:t>
      </w:r>
      <w:r>
        <w:rPr>
          <w:rFonts w:ascii="Times New Roman" w:cs="Times New Roman" w:eastAsia="Times New Roman" w:hAnsi="Times New Roman"/>
          <w:sz w:val="21"/>
          <w:szCs w:val="21"/>
          <w:color w:val="auto"/>
        </w:rPr>
        <w:t>: Following the completion of the Performance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Period, the 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 </w:t>
      </w:r>
      <w:r>
        <w:rPr>
          <w:rFonts w:ascii="Times New Roman" w:cs="Times New Roman" w:eastAsia="Times New Roman" w:hAnsi="Times New Roman"/>
          <w:sz w:val="21"/>
          <w:szCs w:val="21"/>
          <w:u w:val="single" w:color="auto"/>
          <w:color w:val="auto"/>
        </w:rPr>
        <w:t>Appendix B</w:t>
      </w:r>
      <w:r>
        <w:rPr>
          <w:rFonts w:ascii="Times New Roman" w:cs="Times New Roman" w:eastAsia="Times New Roman" w:hAnsi="Times New Roman"/>
          <w:sz w:val="21"/>
          <w:szCs w:val="21"/>
          <w:color w:val="auto"/>
        </w:rPr>
        <w:t xml:space="preserve"> attached to this Agreement sets forth examples illustrating the calculation of the number of Shares in which the Participant may vest based upon hypothetical levels of Performance Goal attainment and service vesting requirements.</w:t>
      </w:r>
    </w:p>
    <w:p>
      <w:pPr>
        <w:spacing w:after="0" w:line="166" w:lineRule="exact"/>
        <w:rPr>
          <w:rFonts w:ascii="Times New Roman" w:cs="Times New Roman" w:eastAsia="Times New Roman" w:hAnsi="Times New Roman"/>
          <w:sz w:val="21"/>
          <w:szCs w:val="21"/>
          <w:color w:val="auto"/>
        </w:rPr>
      </w:pPr>
    </w:p>
    <w:p>
      <w:pPr>
        <w:jc w:val="both"/>
        <w:ind w:left="200" w:right="219" w:firstLine="1953"/>
        <w:spacing w:after="0" w:line="266" w:lineRule="auto"/>
        <w:tabs>
          <w:tab w:leader="none" w:pos="279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Service Vesting</w:t>
      </w:r>
      <w:r>
        <w:rPr>
          <w:rFonts w:ascii="Times New Roman" w:cs="Times New Roman" w:eastAsia="Times New Roman" w:hAnsi="Times New Roman"/>
          <w:sz w:val="22"/>
          <w:szCs w:val="22"/>
          <w:color w:val="auto"/>
        </w:rPr>
        <w:t>: The Performance-Qualified Shares so determined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represent the maximum number of Shares in which Participant can vest hereunder. The actual number of Shares in which Participant shall vest shall be determined as follows:</w:t>
      </w:r>
    </w:p>
    <w:p>
      <w:pPr>
        <w:spacing w:after="0" w:line="163" w:lineRule="exact"/>
        <w:rPr>
          <w:rFonts w:ascii="Times New Roman" w:cs="Times New Roman" w:eastAsia="Times New Roman" w:hAnsi="Times New Roman"/>
          <w:sz w:val="22"/>
          <w:szCs w:val="22"/>
          <w:color w:val="auto"/>
        </w:rPr>
      </w:pPr>
    </w:p>
    <w:p>
      <w:pPr>
        <w:jc w:val="both"/>
        <w:ind w:left="860" w:right="879" w:firstLine="1941"/>
        <w:spacing w:after="0" w:line="247" w:lineRule="auto"/>
        <w:tabs>
          <w:tab w:leader="none" w:pos="3452"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 continues in Service through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w:t>
      </w:r>
      <w:r>
        <w:rPr>
          <w:rFonts w:ascii="Times New Roman" w:cs="Times New Roman" w:eastAsia="Times New Roman" w:hAnsi="Times New Roman"/>
          <w:sz w:val="22"/>
          <w:szCs w:val="22"/>
          <w:u w:val="single" w:color="auto"/>
          <w:color w:val="auto"/>
        </w:rPr>
        <w:t>provide</w:t>
      </w:r>
      <w:r>
        <w:rPr>
          <w:rFonts w:ascii="Times New Roman" w:cs="Times New Roman" w:eastAsia="Times New Roman" w:hAnsi="Times New Roman"/>
          <w:sz w:val="22"/>
          <w:szCs w:val="22"/>
          <w:color w:val="auto"/>
        </w:rPr>
        <w:t>d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79" w:lineRule="exact"/>
        <w:rPr>
          <w:rFonts w:ascii="Times New Roman" w:cs="Times New Roman" w:eastAsia="Times New Roman" w:hAnsi="Times New Roman"/>
          <w:sz w:val="22"/>
          <w:szCs w:val="22"/>
          <w:color w:val="auto"/>
        </w:rPr>
      </w:pPr>
    </w:p>
    <w:p>
      <w:pPr>
        <w:jc w:val="both"/>
        <w:ind w:left="860" w:right="859" w:firstLine="1941"/>
        <w:spacing w:after="0" w:line="258" w:lineRule="auto"/>
        <w:tabs>
          <w:tab w:leader="none" w:pos="3452" w:val="left"/>
        </w:tabs>
        <w:numPr>
          <w:ilvl w:val="2"/>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Participant ceases Service </w:t>
      </w:r>
      <w:r>
        <w:rPr>
          <w:rFonts w:ascii="Times New Roman" w:cs="Times New Roman" w:eastAsia="Times New Roman" w:hAnsi="Times New Roman"/>
          <w:sz w:val="21"/>
          <w:szCs w:val="21"/>
          <w:b w:val="1"/>
          <w:bCs w:val="1"/>
          <w:i w:val="1"/>
          <w:iCs w:val="1"/>
          <w:color w:val="auto"/>
        </w:rPr>
        <w:t>prior to</w:t>
      </w:r>
      <w:r>
        <w:rPr>
          <w:rFonts w:ascii="Times New Roman" w:cs="Times New Roman" w:eastAsia="Times New Roman" w:hAnsi="Times New Roman"/>
          <w:sz w:val="21"/>
          <w:szCs w:val="21"/>
          <w:color w:val="auto"/>
        </w:rPr>
        <w:t xml:space="preserve"> the Service Vesting Date by reason of Early Retirement, Normal Retirement, death or Permanent Disability, then Participant shall, upon the determination by the Plan Administrator of the maximum number of Performance-Qualified Shares, vest in a portion of the Performance-Qualified Shares determined by a two-step process: (i) prior to the Service Vesting Date, the Designated Shares will be prorated by multiplying (x) the number of Designated Shares by (y) a fraction, the numerator of which is the number of whole months of actual Service completed by Participant in such Performance Period, and the denominator of which is thirty-six (36) months, the product to be rounded up to the next whole share and (ii) then the number of shares calculated under clause (i) in which Participant may actually vest shall be the maximum number of shares of Common Stock in which Participant can vest under the Performance Vesting section based upon the actual level at which the Performance Goal specified on attached Schedule I is attained. The Shares underlying the Performance-Qualified Shares in which Participant vests in accordance with this subparagraph (ii) shall generally be issued to Participant (or</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jc w:val="both"/>
        <w:ind w:left="860" w:right="859"/>
        <w:spacing w:after="0" w:line="248" w:lineRule="auto"/>
        <w:rPr>
          <w:sz w:val="20"/>
          <w:szCs w:val="20"/>
          <w:color w:val="auto"/>
        </w:rPr>
      </w:pPr>
      <w:r>
        <w:rPr>
          <w:rFonts w:ascii="Times New Roman" w:cs="Times New Roman" w:eastAsia="Times New Roman" w:hAnsi="Times New Roman"/>
          <w:sz w:val="22"/>
          <w:szCs w:val="22"/>
          <w:color w:val="auto"/>
        </w:rPr>
        <w:t xml:space="preserve">in the event of the death of Participant, then to Participant’s heirs or beneficiaries) during the period beginning with the Service Vesting Date and ending on March 15th of that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Service Vesting Date is after the end of the Performance Period, then the Shares shall be issued as soon as administratively practicable after the Service Vesting Date, but in no event later than sixty (60) days after the Service Vesting Date.</w:t>
      </w:r>
    </w:p>
    <w:p>
      <w:pPr>
        <w:spacing w:after="0" w:line="187" w:lineRule="exact"/>
        <w:rPr>
          <w:sz w:val="20"/>
          <w:szCs w:val="20"/>
          <w:color w:val="auto"/>
        </w:rPr>
      </w:pPr>
    </w:p>
    <w:p>
      <w:pPr>
        <w:jc w:val="both"/>
        <w:ind w:left="860" w:right="859" w:firstLine="1941"/>
        <w:spacing w:after="0" w:line="252" w:lineRule="auto"/>
        <w:tabs>
          <w:tab w:leader="none" w:pos="3452"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Participant’s Service ceases for any other reason prior to the Service Vesting Date, then Participant shall not vest in any of the Performance-Qualified Shares and all of Participant's right, title and interest to the Shares subject to this Award shall cease.</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Rights</w:t>
      </w:r>
      <w:r>
        <w:rPr>
          <w:rFonts w:ascii="Times New Roman" w:cs="Times New Roman" w:eastAsia="Times New Roman" w:hAnsi="Times New Roman"/>
          <w:sz w:val="22"/>
          <w:szCs w:val="22"/>
          <w:color w:val="auto"/>
        </w:rPr>
        <w:t>. The holder of this Award shall not have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58" w:lineRule="auto"/>
        <w:tabs>
          <w:tab w:leader="none" w:pos="21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Notwithstanding Paragraph 3 above,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shall apply to 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71"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80" w:lineRule="exact"/>
        <w:rPr>
          <w:rFonts w:ascii="Times New Roman" w:cs="Times New Roman" w:eastAsia="Times New Roman" w:hAnsi="Times New Roman"/>
          <w:sz w:val="22"/>
          <w:szCs w:val="22"/>
          <w:color w:val="auto"/>
        </w:rPr>
      </w:pPr>
    </w:p>
    <w:p>
      <w:pPr>
        <w:jc w:val="both"/>
        <w:ind w:left="860" w:right="859" w:firstLine="1941"/>
        <w:spacing w:after="0" w:line="248" w:lineRule="auto"/>
        <w:tabs>
          <w:tab w:leader="none" w:pos="3452"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87" w:lineRule="exact"/>
        <w:rPr>
          <w:sz w:val="20"/>
          <w:szCs w:val="20"/>
          <w:color w:val="auto"/>
        </w:rPr>
      </w:pPr>
    </w:p>
    <w:p>
      <w:pPr>
        <w:jc w:val="both"/>
        <w:ind w:left="860" w:right="859" w:firstLine="1941"/>
        <w:spacing w:after="0" w:line="245" w:lineRule="auto"/>
        <w:tabs>
          <w:tab w:leader="none" w:pos="345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0" w:name="page141"/>
    <w:bookmarkEnd w:id="140"/>
    <w:p>
      <w:pPr>
        <w:ind w:left="860" w:right="879"/>
        <w:spacing w:after="0" w:line="271" w:lineRule="auto"/>
        <w:rPr>
          <w:sz w:val="20"/>
          <w:szCs w:val="20"/>
          <w:color w:val="auto"/>
        </w:rPr>
      </w:pPr>
      <w:r>
        <w:rPr>
          <w:rFonts w:ascii="Times New Roman" w:cs="Times New Roman" w:eastAsia="Times New Roman" w:hAnsi="Times New Roman"/>
          <w:sz w:val="22"/>
          <w:szCs w:val="22"/>
          <w:color w:val="auto"/>
        </w:rPr>
        <w:t>Change in Control, (ii) the date of Participant’s Separation from Service due to such cessation of Service.</w:t>
      </w:r>
    </w:p>
    <w:p>
      <w:pPr>
        <w:spacing w:after="0" w:line="158" w:lineRule="exact"/>
        <w:rPr>
          <w:sz w:val="20"/>
          <w:szCs w:val="20"/>
          <w:color w:val="auto"/>
        </w:rPr>
      </w:pPr>
    </w:p>
    <w:p>
      <w:pPr>
        <w:jc w:val="both"/>
        <w:ind w:left="860" w:right="879" w:firstLine="1941"/>
        <w:spacing w:after="0" w:line="246" w:lineRule="auto"/>
        <w:tabs>
          <w:tab w:leader="none" w:pos="3452"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2"/>
          <w:szCs w:val="22"/>
          <w:b w:val="1"/>
          <w:bCs w:val="1"/>
          <w:i w:val="1"/>
          <w:iCs w:val="1"/>
          <w:color w:val="auto"/>
        </w:rPr>
        <w:t>The Wall Street Journal</w:t>
      </w:r>
      <w:r>
        <w:rPr>
          <w:rFonts w:ascii="Times New Roman" w:cs="Times New Roman" w:eastAsia="Times New Roman" w:hAnsi="Times New Roman"/>
          <w:sz w:val="22"/>
          <w:szCs w:val="22"/>
          <w:color w:val="auto"/>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187" w:lineRule="exact"/>
        <w:rPr>
          <w:rFonts w:ascii="Times New Roman" w:cs="Times New Roman" w:eastAsia="Times New Roman" w:hAnsi="Times New Roman"/>
          <w:sz w:val="22"/>
          <w:szCs w:val="22"/>
          <w:color w:val="auto"/>
        </w:rPr>
      </w:pPr>
    </w:p>
    <w:p>
      <w:pPr>
        <w:jc w:val="both"/>
        <w:ind w:left="860" w:right="859" w:firstLine="1941"/>
        <w:spacing w:after="0" w:line="265" w:lineRule="auto"/>
        <w:tabs>
          <w:tab w:leader="none" w:pos="3452"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65" w:lineRule="exact"/>
        <w:rPr>
          <w:rFonts w:ascii="Times New Roman" w:cs="Times New Roman" w:eastAsia="Times New Roman" w:hAnsi="Times New Roman"/>
          <w:sz w:val="21"/>
          <w:szCs w:val="21"/>
          <w:color w:val="auto"/>
        </w:rPr>
      </w:pPr>
    </w:p>
    <w:p>
      <w:pPr>
        <w:jc w:val="both"/>
        <w:ind w:left="200" w:right="219" w:firstLine="1953"/>
        <w:spacing w:after="0" w:line="245" w:lineRule="auto"/>
        <w:tabs>
          <w:tab w:leader="none" w:pos="279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93" w:lineRule="exact"/>
        <w:rPr>
          <w:rFonts w:ascii="Times New Roman" w:cs="Times New Roman" w:eastAsia="Times New Roman" w:hAnsi="Times New Roman"/>
          <w:sz w:val="22"/>
          <w:szCs w:val="22"/>
          <w:color w:val="auto"/>
        </w:rPr>
      </w:pPr>
    </w:p>
    <w:p>
      <w:pPr>
        <w:jc w:val="both"/>
        <w:ind w:left="200" w:right="219" w:firstLine="1953"/>
        <w:spacing w:after="0" w:line="247" w:lineRule="auto"/>
        <w:tabs>
          <w:tab w:leader="none" w:pos="279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1" w:name="page142"/>
    <w:bookmarkEnd w:id="141"/>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occurs within twenty-four (24) months following the Change in Control. Such vested portion of the award shall be issued or distributed, as applicable, on the date of Participant’s Separation from Service, provided such Separation from Service occurs within twenty-four (24) 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spacing w:after="0" w:line="182" w:lineRule="exact"/>
        <w:rPr>
          <w:sz w:val="20"/>
          <w:szCs w:val="20"/>
          <w:color w:val="auto"/>
        </w:rPr>
      </w:pPr>
    </w:p>
    <w:p>
      <w:pPr>
        <w:jc w:val="both"/>
        <w:ind w:left="200" w:right="219" w:firstLine="1953"/>
        <w:spacing w:after="0" w:line="266" w:lineRule="auto"/>
        <w:tabs>
          <w:tab w:leader="none" w:pos="2792"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is not (1) assumed by the successor entity, (2) otherwise continued in effect or (3) replaced with a substitute equivalent award in accordance with Paragraph</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5(a), then the following provisions shall apply:</w:t>
      </w:r>
    </w:p>
    <w:p>
      <w:pPr>
        <w:spacing w:after="0" w:line="195" w:lineRule="exact"/>
        <w:rPr>
          <w:rFonts w:ascii="Times New Roman" w:cs="Times New Roman" w:eastAsia="Times New Roman" w:hAnsi="Times New Roman"/>
          <w:sz w:val="21"/>
          <w:szCs w:val="21"/>
          <w:color w:val="auto"/>
        </w:rPr>
      </w:pPr>
    </w:p>
    <w:p>
      <w:pPr>
        <w:jc w:val="both"/>
        <w:ind w:left="860" w:right="879" w:firstLine="1863"/>
        <w:spacing w:after="0" w:line="246" w:lineRule="auto"/>
        <w:tabs>
          <w:tab w:leader="none" w:pos="3452"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Times New Roman" w:cs="Times New Roman" w:eastAsia="Times New Roman" w:hAnsi="Times New Roman"/>
          <w:sz w:val="22"/>
          <w:szCs w:val="22"/>
          <w:b w:val="1"/>
          <w:bCs w:val="1"/>
          <w:i w:val="1"/>
          <w:iCs w:val="1"/>
          <w:color w:val="auto"/>
        </w:rPr>
        <w:t>earliest</w:t>
      </w:r>
      <w:r>
        <w:rPr>
          <w:rFonts w:ascii="Times New Roman" w:cs="Times New Roman" w:eastAsia="Times New Roman" w:hAnsi="Times New Roman"/>
          <w:sz w:val="22"/>
          <w:szCs w:val="22"/>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Section 409A of the Code (“Section 409A”).</w:t>
      </w:r>
    </w:p>
    <w:p>
      <w:pPr>
        <w:spacing w:after="0" w:line="187" w:lineRule="exact"/>
        <w:rPr>
          <w:rFonts w:ascii="Times New Roman" w:cs="Times New Roman" w:eastAsia="Times New Roman" w:hAnsi="Times New Roman"/>
          <w:sz w:val="22"/>
          <w:szCs w:val="22"/>
          <w:color w:val="auto"/>
        </w:rPr>
      </w:pPr>
    </w:p>
    <w:p>
      <w:pPr>
        <w:jc w:val="both"/>
        <w:ind w:left="860" w:right="859" w:firstLine="1863"/>
        <w:spacing w:after="0" w:line="245" w:lineRule="auto"/>
        <w:tabs>
          <w:tab w:leader="none" w:pos="3452"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2"/>
          <w:szCs w:val="22"/>
          <w:b w:val="1"/>
          <w:bCs w:val="1"/>
          <w:i w:val="1"/>
          <w:iCs w:val="1"/>
          <w:color w:val="auto"/>
        </w:rPr>
        <w:t>The Wall Street Journal</w:t>
      </w:r>
      <w:r>
        <w:rPr>
          <w:rFonts w:ascii="Times New Roman" w:cs="Times New Roman" w:eastAsia="Times New Roman" w:hAnsi="Times New Roman"/>
          <w:sz w:val="22"/>
          <w:szCs w:val="22"/>
          <w:color w:val="auto"/>
        </w:rPr>
        <w:t>. The cash retention account, together with all accrued interest thereon through the actual 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2" w:name="page143"/>
    <w:bookmarkEnd w:id="142"/>
    <w:p>
      <w:pPr>
        <w:jc w:val="both"/>
        <w:ind w:left="860" w:right="879" w:firstLine="1863"/>
        <w:spacing w:after="0" w:line="245" w:lineRule="auto"/>
        <w:tabs>
          <w:tab w:leader="none" w:pos="345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Times New Roman" w:cs="Times New Roman" w:eastAsia="Times New Roman" w:hAnsi="Times New Roman"/>
          <w:sz w:val="22"/>
          <w:szCs w:val="22"/>
          <w:b w:val="1"/>
          <w:bCs w:val="1"/>
          <w:i w:val="1"/>
          <w:iCs w:val="1"/>
          <w:color w:val="auto"/>
        </w:rPr>
        <w:t>earlier</w:t>
      </w:r>
      <w:r>
        <w:rPr>
          <w:rFonts w:ascii="Times New Roman" w:cs="Times New Roman" w:eastAsia="Times New Roman" w:hAnsi="Times New Roman"/>
          <w:sz w:val="22"/>
          <w:szCs w:val="22"/>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Section 409A.</w:t>
      </w:r>
    </w:p>
    <w:p>
      <w:pPr>
        <w:spacing w:after="0" w:line="189" w:lineRule="exact"/>
        <w:rPr>
          <w:rFonts w:ascii="Times New Roman" w:cs="Times New Roman" w:eastAsia="Times New Roman" w:hAnsi="Times New Roman"/>
          <w:sz w:val="22"/>
          <w:szCs w:val="22"/>
          <w:color w:val="auto"/>
        </w:rPr>
      </w:pPr>
    </w:p>
    <w:p>
      <w:pPr>
        <w:jc w:val="both"/>
        <w:ind w:left="860" w:right="859" w:firstLine="1863"/>
        <w:spacing w:after="0" w:line="263" w:lineRule="auto"/>
        <w:tabs>
          <w:tab w:leader="none" w:pos="345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amount of consideration so calculated, Participant shall have no further right or entitlement to any additional Shares or consideration under this Award.</w:t>
      </w:r>
    </w:p>
    <w:p>
      <w:pPr>
        <w:spacing w:after="0" w:line="163"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color w:val="auto"/>
        </w:rPr>
        <w:t>. 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58" w:lineRule="auto"/>
        <w:tabs>
          <w:tab w:leader="none" w:pos="214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Adjustment in Shares</w:t>
      </w:r>
      <w:r>
        <w:rPr>
          <w:rFonts w:ascii="Times New Roman" w:cs="Times New Roman" w:eastAsia="Times New Roman" w:hAnsi="Times New Roman"/>
          <w:sz w:val="21"/>
          <w:szCs w:val="21"/>
          <w:color w:val="auto"/>
        </w:rPr>
        <w:t>. Should any change be made to the Common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3" w:name="page144"/>
    <w:bookmarkEnd w:id="143"/>
    <w:p>
      <w:pPr>
        <w:ind w:left="200" w:right="239"/>
        <w:spacing w:after="0" w:line="271" w:lineRule="auto"/>
        <w:rPr>
          <w:sz w:val="20"/>
          <w:szCs w:val="20"/>
          <w:color w:val="auto"/>
        </w:rPr>
      </w:pPr>
      <w:r>
        <w:rPr>
          <w:rFonts w:ascii="Times New Roman" w:cs="Times New Roman" w:eastAsia="Times New Roman" w:hAnsi="Times New Roman"/>
          <w:sz w:val="22"/>
          <w:szCs w:val="22"/>
          <w:color w:val="auto"/>
        </w:rPr>
        <w:t>the event of any Change in Control transaction, the adjustment provisions of Paragraph 5(b) shall be controlling.</w:t>
      </w:r>
    </w:p>
    <w:p>
      <w:pPr>
        <w:spacing w:after="0" w:line="154" w:lineRule="exact"/>
        <w:rPr>
          <w:sz w:val="20"/>
          <w:szCs w:val="20"/>
          <w:color w:val="auto"/>
        </w:rPr>
      </w:pPr>
    </w:p>
    <w:p>
      <w:pPr>
        <w:ind w:left="2160" w:hanging="655"/>
        <w:spacing w:after="0"/>
        <w:tabs>
          <w:tab w:leader="none" w:pos="21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of Vested Shares and Applicable Withholding Taxes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79" w:lineRule="exact"/>
        <w:rPr>
          <w:rFonts w:ascii="Times New Roman" w:cs="Times New Roman" w:eastAsia="Times New Roman" w:hAnsi="Times New Roman"/>
          <w:sz w:val="22"/>
          <w:szCs w:val="22"/>
          <w:color w:val="auto"/>
        </w:rPr>
      </w:pPr>
    </w:p>
    <w:p>
      <w:pPr>
        <w:jc w:val="both"/>
        <w:ind w:left="200" w:right="219" w:firstLine="1953"/>
        <w:spacing w:after="0" w:line="266" w:lineRule="auto"/>
        <w:tabs>
          <w:tab w:leader="none" w:pos="2792"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shall govern the US Withholding Taxes on the Shares (or any replacement or substitute securities, property or other amounts under Paragraphs</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or 7 above) which vest in accordance with the provisions of this Agreement:</w:t>
      </w:r>
    </w:p>
    <w:p>
      <w:pPr>
        <w:spacing w:after="0" w:line="196" w:lineRule="exact"/>
        <w:rPr>
          <w:sz w:val="20"/>
          <w:szCs w:val="20"/>
          <w:color w:val="auto"/>
        </w:rPr>
      </w:pPr>
    </w:p>
    <w:p>
      <w:pPr>
        <w:jc w:val="both"/>
        <w:ind w:left="860" w:right="219" w:firstLine="1293"/>
        <w:spacing w:after="0" w:line="247" w:lineRule="auto"/>
        <w:tabs>
          <w:tab w:leader="none" w:pos="280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spacing w:after="0" w:line="179" w:lineRule="exact"/>
        <w:rPr>
          <w:rFonts w:ascii="Times New Roman" w:cs="Times New Roman" w:eastAsia="Times New Roman" w:hAnsi="Times New Roman"/>
          <w:sz w:val="22"/>
          <w:szCs w:val="22"/>
          <w:color w:val="auto"/>
        </w:rPr>
      </w:pPr>
    </w:p>
    <w:p>
      <w:pPr>
        <w:jc w:val="both"/>
        <w:ind w:left="860" w:right="219" w:firstLine="1293"/>
        <w:spacing w:after="0" w:line="261" w:lineRule="auto"/>
        <w:tabs>
          <w:tab w:leader="none" w:pos="280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Automatic Share Withholding</w:t>
      </w:r>
      <w:r>
        <w:rPr>
          <w:rFonts w:ascii="Times New Roman" w:cs="Times New Roman" w:eastAsia="Times New Roman" w:hAnsi="Times New Roman"/>
          <w:sz w:val="21"/>
          <w:szCs w:val="21"/>
          <w:color w:val="auto"/>
        </w:rPr>
        <w:t>. On the applicable issuance date,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spacing w:after="0" w:line="167" w:lineRule="exact"/>
        <w:rPr>
          <w:rFonts w:ascii="Times New Roman" w:cs="Times New Roman" w:eastAsia="Times New Roman" w:hAnsi="Times New Roman"/>
          <w:sz w:val="21"/>
          <w:szCs w:val="21"/>
          <w:color w:val="auto"/>
        </w:rPr>
      </w:pPr>
    </w:p>
    <w:p>
      <w:pPr>
        <w:jc w:val="both"/>
        <w:ind w:left="860" w:right="219" w:firstLine="1293"/>
        <w:spacing w:after="0" w:line="269" w:lineRule="auto"/>
        <w:tabs>
          <w:tab w:leader="none" w:pos="280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Amount of Withholding</w:t>
      </w:r>
      <w:r>
        <w:rPr>
          <w:rFonts w:ascii="Times New Roman" w:cs="Times New Roman" w:eastAsia="Times New Roman" w:hAnsi="Times New Roman"/>
          <w:sz w:val="21"/>
          <w:szCs w:val="21"/>
          <w:color w:val="auto"/>
        </w:rPr>
        <w:t>. The amount which the Corporation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required to so withhold shall not exceed in Fair Market Value the amount necessary to satisfy the Corporation’s required tax withholding obligations using the minimum statutory withholding rates for federal and state tax purposes, including payroll taxes, that are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4" w:name="page145"/>
    <w:bookmarkEnd w:id="144"/>
    <w:p>
      <w:pPr>
        <w:jc w:val="both"/>
        <w:ind w:left="860" w:right="219"/>
        <w:spacing w:after="0" w:line="257" w:lineRule="auto"/>
        <w:rPr>
          <w:sz w:val="20"/>
          <w:szCs w:val="20"/>
          <w:color w:val="auto"/>
        </w:rPr>
      </w:pPr>
      <w:r>
        <w:rPr>
          <w:rFonts w:ascii="Times New Roman" w:cs="Times New Roman" w:eastAsia="Times New Roman" w:hAnsi="Times New Roman"/>
          <w:sz w:val="21"/>
          <w:szCs w:val="21"/>
          <w:color w:val="auto"/>
        </w:rPr>
        <w:t>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spacing w:after="0" w:line="196" w:lineRule="exact"/>
        <w:rPr>
          <w:sz w:val="20"/>
          <w:szCs w:val="20"/>
          <w:color w:val="auto"/>
        </w:rPr>
      </w:pPr>
    </w:p>
    <w:p>
      <w:pPr>
        <w:ind w:left="200" w:right="219" w:firstLine="1953"/>
        <w:spacing w:after="0" w:line="245" w:lineRule="auto"/>
        <w:tabs>
          <w:tab w:leader="none" w:pos="2792"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Section 3121(v) of the Code.</w:t>
      </w:r>
    </w:p>
    <w:p>
      <w:pPr>
        <w:spacing w:after="0" w:line="193" w:lineRule="exact"/>
        <w:rPr>
          <w:rFonts w:ascii="Times New Roman" w:cs="Times New Roman" w:eastAsia="Times New Roman" w:hAnsi="Times New Roman"/>
          <w:sz w:val="22"/>
          <w:szCs w:val="22"/>
          <w:color w:val="auto"/>
        </w:rPr>
      </w:pPr>
    </w:p>
    <w:p>
      <w:pPr>
        <w:jc w:val="both"/>
        <w:ind w:left="200" w:right="219" w:firstLine="1953"/>
        <w:spacing w:after="0" w:line="248" w:lineRule="auto"/>
        <w:tabs>
          <w:tab w:leader="none" w:pos="2792"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2" w:lineRule="exact"/>
        <w:rPr>
          <w:rFonts w:ascii="Times New Roman" w:cs="Times New Roman" w:eastAsia="Times New Roman" w:hAnsi="Times New Roman"/>
          <w:sz w:val="22"/>
          <w:szCs w:val="22"/>
          <w:color w:val="auto"/>
        </w:rPr>
      </w:pPr>
    </w:p>
    <w:p>
      <w:pPr>
        <w:jc w:val="both"/>
        <w:ind w:left="200" w:right="239" w:firstLine="1305"/>
        <w:spacing w:after="0" w:line="259" w:lineRule="auto"/>
        <w:tabs>
          <w:tab w:leader="none" w:pos="21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Notwithstanding any provision to the contrary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extent this Award may be deemed to create a deferred compensation arrangement under Section 409A, then the following limitation and provisions shall apply:</w:t>
      </w:r>
    </w:p>
    <w:p>
      <w:pPr>
        <w:spacing w:after="0" w:line="170"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Shares or other amounts which become issuable or distributable under this Agreement upon Participant’s Separation from Service shall actually be issued or distributed to Participant prior to the </w:t>
      </w:r>
      <w:r>
        <w:rPr>
          <w:rFonts w:ascii="Times New Roman" w:cs="Times New Roman" w:eastAsia="Times New Roman" w:hAnsi="Times New Roman"/>
          <w:sz w:val="22"/>
          <w:szCs w:val="22"/>
          <w:b w:val="1"/>
          <w:bCs w:val="1"/>
          <w:i w:val="1"/>
          <w:iCs w:val="1"/>
          <w:color w:val="auto"/>
        </w:rPr>
        <w:t>earlier</w:t>
      </w:r>
      <w:r>
        <w:rPr>
          <w:rFonts w:ascii="Times New Roman" w:cs="Times New Roman" w:eastAsia="Times New Roman" w:hAnsi="Times New Roman"/>
          <w:sz w:val="22"/>
          <w:szCs w:val="22"/>
          <w:color w:val="auto"/>
        </w:rPr>
        <w:t xml:space="preserve"> of (i) the first (1st) day of the seventh (7th) month following the date of such Separation from Service or (ii) the date of Participant’s death, if</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5" w:name="page146"/>
    <w:bookmarkEnd w:id="145"/>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 Section 409A arrangements of the Corporation, and such delayed commencement is otherwise required in order to avoid a prohibited distribution under Section 409A(a)(2) of the Code.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91" w:lineRule="exact"/>
        <w:rPr>
          <w:sz w:val="20"/>
          <w:szCs w:val="20"/>
          <w:color w:val="auto"/>
        </w:rPr>
      </w:pPr>
    </w:p>
    <w:p>
      <w:pPr>
        <w:jc w:val="both"/>
        <w:ind w:left="200" w:right="219" w:firstLine="1953"/>
        <w:spacing w:after="0" w:line="257" w:lineRule="auto"/>
        <w:tabs>
          <w:tab w:leader="none" w:pos="2792"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68" w:lineRule="exact"/>
        <w:rPr>
          <w:rFonts w:ascii="Times New Roman" w:cs="Times New Roman" w:eastAsia="Times New Roman" w:hAnsi="Times New Roman"/>
          <w:sz w:val="22"/>
          <w:szCs w:val="22"/>
          <w:color w:val="auto"/>
        </w:rPr>
      </w:pPr>
    </w:p>
    <w:p>
      <w:pPr>
        <w:jc w:val="both"/>
        <w:ind w:left="200" w:right="219" w:firstLine="1305"/>
        <w:spacing w:after="0" w:line="254" w:lineRule="auto"/>
        <w:tabs>
          <w:tab w:leader="none" w:pos="214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Laws and Regulations</w:t>
      </w:r>
      <w:r>
        <w:rPr>
          <w:rFonts w:ascii="Times New Roman" w:cs="Times New Roman" w:eastAsia="Times New Roman" w:hAnsi="Times New Roman"/>
          <w:sz w:val="22"/>
          <w:szCs w:val="22"/>
          <w:color w:val="auto"/>
        </w:rPr>
        <w:t>. The issuance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required to be given or delivered to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Except to the extent otherwise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75"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79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50" w:lineRule="auto"/>
        <w:tabs>
          <w:tab w:leader="none" w:pos="2859"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6" w:name="page147"/>
    <w:bookmarkEnd w:id="146"/>
    <w:p>
      <w:pPr>
        <w:jc w:val="both"/>
        <w:ind w:left="200" w:right="219" w:firstLine="1953"/>
        <w:spacing w:after="0" w:line="275" w:lineRule="auto"/>
        <w:tabs>
          <w:tab w:leader="none" w:pos="2792"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51" w:lineRule="exact"/>
        <w:rPr>
          <w:rFonts w:ascii="Times New Roman" w:cs="Times New Roman" w:eastAsia="Times New Roman" w:hAnsi="Times New Roman"/>
          <w:sz w:val="21"/>
          <w:szCs w:val="21"/>
          <w:color w:val="auto"/>
        </w:rPr>
      </w:pPr>
    </w:p>
    <w:p>
      <w:pPr>
        <w:jc w:val="both"/>
        <w:ind w:left="200" w:right="219" w:firstLine="1305"/>
        <w:spacing w:after="0" w:line="259" w:lineRule="auto"/>
        <w:tabs>
          <w:tab w:leader="none" w:pos="214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interpretation, performance and enforcement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laws of the State of Hawaii without regard to that State’s conflict-of-laws rules.</w:t>
      </w:r>
    </w:p>
    <w:p>
      <w:pPr>
        <w:spacing w:after="0" w:line="16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p>
    <w:p>
      <w:pPr>
        <w:spacing w:after="0" w:line="223" w:lineRule="exact"/>
        <w:rPr>
          <w:rFonts w:ascii="Times New Roman" w:cs="Times New Roman" w:eastAsia="Times New Roman" w:hAnsi="Times New Roman"/>
          <w:sz w:val="22"/>
          <w:szCs w:val="22"/>
          <w:color w:val="auto"/>
        </w:rPr>
      </w:pPr>
    </w:p>
    <w:p>
      <w:pPr>
        <w:ind w:left="200" w:right="219" w:firstLine="1953"/>
        <w:spacing w:after="0" w:line="244" w:lineRule="auto"/>
        <w:tabs>
          <w:tab w:leader="none" w:pos="2792"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59" w:lineRule="auto"/>
        <w:tabs>
          <w:tab w:leader="none" w:pos="2792"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Each party fully understands and agrees that they are giving up certain rights otherwise afforded to them by civil court actions, including but not limited to the right to a jury trial.</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69" w:lineRule="auto"/>
        <w:tabs>
          <w:tab w:leader="none" w:pos="214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Coverage under Recoupment Policy</w:t>
      </w:r>
      <w:r>
        <w:rPr>
          <w:rFonts w:ascii="Times New Roman" w:cs="Times New Roman" w:eastAsia="Times New Roman" w:hAnsi="Times New Roman"/>
          <w:sz w:val="21"/>
          <w:szCs w:val="21"/>
          <w:color w:val="auto"/>
        </w:rPr>
        <w:t>. If Participant is on the Award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at any time thereafter becomes, an executive officer of the Corporation subject to Section 16 of the 1934 Act, then Participant shall be subject to the Matson, Inc. Policy Regarding Recoupment of Certain Compensation (as amended from time to time, the “Recoupment Policy”), the terms of</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7" w:name="page148"/>
    <w:bookmarkEnd w:id="147"/>
    <w:p>
      <w:pPr>
        <w:ind w:left="200" w:right="219"/>
        <w:spacing w:after="0" w:line="271" w:lineRule="auto"/>
        <w:rPr>
          <w:sz w:val="20"/>
          <w:szCs w:val="20"/>
          <w:color w:val="auto"/>
        </w:rPr>
      </w:pPr>
      <w:r>
        <w:rPr>
          <w:rFonts w:ascii="Times New Roman" w:cs="Times New Roman" w:eastAsia="Times New Roman" w:hAnsi="Times New Roman"/>
          <w:sz w:val="22"/>
          <w:szCs w:val="22"/>
          <w:color w:val="auto"/>
        </w:rPr>
        <w:t>which are hereby incorporated herein by reference. A copy of the Recoupment Policy is available upon request made to the Corporate Secretary.</w:t>
      </w:r>
    </w:p>
    <w:p>
      <w:pPr>
        <w:spacing w:after="0" w:line="154" w:lineRule="exact"/>
        <w:rPr>
          <w:sz w:val="20"/>
          <w:szCs w:val="20"/>
          <w:color w:val="auto"/>
        </w:rPr>
      </w:pPr>
    </w:p>
    <w:p>
      <w:pPr>
        <w:ind w:left="2080" w:hanging="575"/>
        <w:spacing w:after="0"/>
        <w:tabs>
          <w:tab w:leader="none" w:pos="20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79"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76" w:lineRule="exact"/>
        <w:rPr>
          <w:rFonts w:ascii="Times New Roman" w:cs="Times New Roman" w:eastAsia="Times New Roman" w:hAnsi="Times New Roman"/>
          <w:sz w:val="21"/>
          <w:szCs w:val="21"/>
          <w:color w:val="auto"/>
        </w:rPr>
      </w:pPr>
    </w:p>
    <w:p>
      <w:pPr>
        <w:jc w:val="both"/>
        <w:ind w:left="200" w:right="219" w:firstLine="1305"/>
        <w:spacing w:after="0" w:line="253" w:lineRule="auto"/>
        <w:tabs>
          <w:tab w:leader="none" w:pos="214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not be altered, modified, or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by 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77" w:lineRule="auto"/>
        <w:tabs>
          <w:tab w:leader="none" w:pos="2144"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Other Agreements Superseded</w:t>
      </w:r>
      <w:r>
        <w:rPr>
          <w:rFonts w:ascii="Times New Roman" w:cs="Times New Roman" w:eastAsia="Times New Roman" w:hAnsi="Times New Roman"/>
          <w:sz w:val="21"/>
          <w:szCs w:val="21"/>
          <w:color w:val="auto"/>
        </w:rPr>
        <w:t>. The Award Notice,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constitute the entire understanding between Participant and the Corporation regarding the Award. Any prior agreements, commitments or negotiations concerning the Award are superseded.</w:t>
      </w:r>
    </w:p>
    <w:p>
      <w:pPr>
        <w:spacing w:after="0" w:line="149" w:lineRule="exact"/>
        <w:rPr>
          <w:rFonts w:ascii="Times New Roman" w:cs="Times New Roman" w:eastAsia="Times New Roman" w:hAnsi="Times New Roman"/>
          <w:sz w:val="21"/>
          <w:szCs w:val="21"/>
          <w:color w:val="auto"/>
        </w:rPr>
      </w:pPr>
    </w:p>
    <w:p>
      <w:pPr>
        <w:jc w:val="both"/>
        <w:ind w:left="200" w:right="219" w:firstLine="1305"/>
        <w:spacing w:after="0" w:line="253" w:lineRule="auto"/>
        <w:tabs>
          <w:tab w:leader="none" w:pos="214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Plan Document</w:t>
      </w:r>
      <w:r>
        <w:rPr>
          <w:rFonts w:ascii="Times New Roman" w:cs="Times New Roman" w:eastAsia="Times New Roman" w:hAnsi="Times New Roman"/>
          <w:sz w:val="22"/>
          <w:szCs w:val="22"/>
          <w:color w:val="auto"/>
        </w:rPr>
        <w:t>. The Award is subject to all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8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following definitions shall be in effect under the Agreement:</w:t>
      </w:r>
    </w:p>
    <w:p>
      <w:pPr>
        <w:spacing w:after="0" w:line="216" w:lineRule="exact"/>
        <w:rPr>
          <w:sz w:val="20"/>
          <w:szCs w:val="20"/>
          <w:color w:val="auto"/>
        </w:rPr>
      </w:pPr>
    </w:p>
    <w:p>
      <w:pPr>
        <w:ind w:left="2160" w:hanging="655"/>
        <w:spacing w:after="0"/>
        <w:tabs>
          <w:tab w:leader="none" w:pos="21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this Performance Share Award Agreement.</w:t>
      </w:r>
    </w:p>
    <w:p>
      <w:pPr>
        <w:spacing w:after="0" w:line="219" w:lineRule="exact"/>
        <w:rPr>
          <w:rFonts w:ascii="Times New Roman" w:cs="Times New Roman" w:eastAsia="Times New Roman" w:hAnsi="Times New Roman"/>
          <w:sz w:val="22"/>
          <w:szCs w:val="22"/>
          <w:color w:val="auto"/>
        </w:rPr>
      </w:pPr>
    </w:p>
    <w:p>
      <w:pPr>
        <w:ind w:left="200" w:right="239" w:firstLine="1305"/>
        <w:spacing w:after="0" w:line="275"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award of Performance Shares made to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this Agreement.</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59"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date the Performance Shares are awarded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pursuant to the Agreement and shall be the date specified in Paragraph 1 of the Award Notice.</w:t>
      </w:r>
    </w:p>
    <w:p>
      <w:pPr>
        <w:spacing w:after="0" w:line="166" w:lineRule="exact"/>
        <w:rPr>
          <w:rFonts w:ascii="Times New Roman" w:cs="Times New Roman" w:eastAsia="Times New Roman" w:hAnsi="Times New Roman"/>
          <w:sz w:val="22"/>
          <w:szCs w:val="22"/>
          <w:color w:val="auto"/>
        </w:rPr>
      </w:pPr>
    </w:p>
    <w:p>
      <w:pPr>
        <w:jc w:val="both"/>
        <w:ind w:left="200" w:right="239" w:firstLine="1305"/>
        <w:spacing w:after="0" w:line="259"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Notice of Award of Performance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to Participant in which there is set forth the basic terms of the Performance Shares subject to this Agreement.</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Participant is a party to a Change in Control Benefits Agreement applicable to the Award, the term Change in Control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separate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number of Shares obtained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multiplying the Vested Percentage by the greater of (i) the number of Designated Shares, or (ii) the number of Performance-Qualified Shares issuable under the Award based on actual performance of the Performance Goal through the date of the Change in Control.</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65"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Early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retirement from Service,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prior approval of the Corporation (or the Parent or Subsidiary employing Participant), on or after the attainment of age fifty-five (55) and the completion of at least five (5)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9" w:name="page150"/>
    <w:bookmarkEnd w:id="149"/>
    <w:p>
      <w:pPr>
        <w:jc w:val="both"/>
        <w:ind w:left="200" w:right="239" w:firstLine="1305"/>
        <w:spacing w:after="0" w:line="259"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Extraordinary Level Attainment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the Performance Goal set forth in Schedule I of the Award Notice at the level designated as Extraordinary Level attainment for that goal.</w:t>
      </w:r>
    </w:p>
    <w:p>
      <w:pPr>
        <w:spacing w:after="0" w:line="166"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however, in the event 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Normal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cessation of Service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at or after the attainment of age sixty-five (65).</w:t>
      </w:r>
    </w:p>
    <w:p>
      <w:pPr>
        <w:spacing w:after="0" w:line="14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person to whom the Award is made pursuant to</w:t>
      </w:r>
    </w:p>
    <w:p>
      <w:pPr>
        <w:spacing w:after="0" w:line="3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w:t>
      </w:r>
    </w:p>
    <w:p>
      <w:pPr>
        <w:spacing w:after="0" w:line="19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Performance Goal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performance goal specified on Schedule I</w:t>
      </w:r>
    </w:p>
    <w:p>
      <w:pPr>
        <w:spacing w:after="0" w:line="43"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Award Notice.</w:t>
      </w:r>
    </w:p>
    <w:p>
      <w:pPr>
        <w:spacing w:after="0" w:line="191" w:lineRule="exact"/>
        <w:rPr>
          <w:rFonts w:ascii="Times New Roman" w:cs="Times New Roman" w:eastAsia="Times New Roman" w:hAnsi="Times New Roman"/>
          <w:sz w:val="21"/>
          <w:szCs w:val="21"/>
          <w:color w:val="auto"/>
        </w:rPr>
      </w:pPr>
    </w:p>
    <w:p>
      <w:pPr>
        <w:ind w:left="200" w:right="219" w:firstLine="1305"/>
        <w:spacing w:after="0" w:line="275"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period specified on Schedule I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Notice over which the attainment of the Performance Goal is to be measured.</w:t>
      </w:r>
    </w:p>
    <w:p>
      <w:pPr>
        <w:spacing w:after="0" w:line="162"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Performance-Qualified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maximum number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which Participant can vest based on the level at which the Performance Goal for the Performance Period is attained and shall be calculated in accordance with the provisions of the Award Notice. In no event shall the number of such Performance-Qualified Shares exceed two hundred and fifty percent (250%) of the designated number of Performance Shares set forth in the Performance Shares section of the Award Notice. Each Performance-Qualified Share that vests pursuant to the terms of the Award shall entitle Participant to receive one Share.</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number of phantom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awarded under this Agreement that shall be applied to the calculation of the maximum number of Performance-Qualified Shares (if any) based on the level at which the Performance Goal is in fact attained over the applicable Performance Period.</w:t>
      </w:r>
    </w:p>
    <w:p>
      <w:pPr>
        <w:spacing w:after="0" w:line="175"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2016 Incentive Compensation Plan,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from time to time.</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Qualifying Change in Control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date on which there occurs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in Control that also qualifies as: (i) a change in the ownership of the Corporation, as determined in accordance with Section 1.409A-3(i)(5)(v) of the Treasury Regulations, (ii) a change in the effective control of the Corporation, as determined in accordance with Section 1.409A-3(i)</w:t>
      </w:r>
    </w:p>
    <w:p>
      <w:pPr>
        <w:spacing w:after="0" w:line="3" w:lineRule="exact"/>
        <w:rPr>
          <w:rFonts w:ascii="Times New Roman" w:cs="Times New Roman" w:eastAsia="Times New Roman" w:hAnsi="Times New Roman"/>
          <w:sz w:val="21"/>
          <w:szCs w:val="21"/>
          <w:color w:val="auto"/>
        </w:rPr>
      </w:pPr>
    </w:p>
    <w:p>
      <w:pPr>
        <w:jc w:val="both"/>
        <w:ind w:left="200" w:right="219"/>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(5)(vi) of the Treasury Regulations, or (iii) a change in the ownership of a substantial portion of the assets of the Corporation, as determined in accordance with Section 1.409A-3(i)(5)(vii) of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0" w:name="page151"/>
    <w:bookmarkEnd w:id="150"/>
    <w:p>
      <w:pPr>
        <w:jc w:val="both"/>
        <w:ind w:left="200" w:right="219" w:firstLine="1305"/>
        <w:spacing w:after="0" w:line="245" w:lineRule="auto"/>
        <w:tabs>
          <w:tab w:leader="none" w:pos="214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Participant’s cessation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189"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performance of services for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Parent or Subsidiary) in the capacity of an Employee, a non-employee member of the board of directors or a consultant or independent advisor. In addition, the following provisions shall govern the determination of Participant’s period of Service:</w:t>
      </w:r>
    </w:p>
    <w:p>
      <w:pPr>
        <w:spacing w:after="0" w:line="179" w:lineRule="exact"/>
        <w:rPr>
          <w:sz w:val="20"/>
          <w:szCs w:val="20"/>
          <w:color w:val="auto"/>
        </w:rPr>
      </w:pPr>
    </w:p>
    <w:p>
      <w:pPr>
        <w:jc w:val="both"/>
        <w:ind w:left="860" w:right="879" w:firstLine="1293"/>
        <w:spacing w:after="0" w:line="252" w:lineRule="auto"/>
        <w:tabs>
          <w:tab w:leader="none" w:pos="280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79" w:lineRule="exact"/>
        <w:rPr>
          <w:rFonts w:ascii="Times New Roman" w:cs="Times New Roman" w:eastAsia="Times New Roman" w:hAnsi="Times New Roman"/>
          <w:sz w:val="22"/>
          <w:szCs w:val="22"/>
          <w:color w:val="auto"/>
        </w:rPr>
      </w:pPr>
    </w:p>
    <w:p>
      <w:pPr>
        <w:jc w:val="both"/>
        <w:ind w:left="860" w:right="859" w:firstLine="1293"/>
        <w:spacing w:after="0" w:line="248" w:lineRule="auto"/>
        <w:tabs>
          <w:tab w:leader="none" w:pos="280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186" w:lineRule="exact"/>
        <w:rPr>
          <w:rFonts w:ascii="Times New Roman" w:cs="Times New Roman" w:eastAsia="Times New Roman" w:hAnsi="Times New Roman"/>
          <w:sz w:val="22"/>
          <w:szCs w:val="22"/>
          <w:color w:val="auto"/>
        </w:rPr>
      </w:pPr>
    </w:p>
    <w:p>
      <w:pPr>
        <w:jc w:val="both"/>
        <w:ind w:left="860" w:right="879" w:firstLine="1293"/>
        <w:spacing w:after="0" w:line="268" w:lineRule="auto"/>
        <w:tabs>
          <w:tab w:leader="none" w:pos="2804"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1" w:name="page152"/>
    <w:bookmarkEnd w:id="151"/>
    <w:p>
      <w:pPr>
        <w:jc w:val="both"/>
        <w:ind w:left="860" w:right="859" w:firstLine="1941"/>
        <w:spacing w:after="0" w:line="262" w:lineRule="auto"/>
        <w:tabs>
          <w:tab w:leader="none" w:pos="3452"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the period of such leave (other than a disability leave) exceed six (6) months, then Participant shall be deemed to cease Service and to incur a Separation from Service upon the expiration of the initial six</w:t>
      </w:r>
    </w:p>
    <w:p>
      <w:pPr>
        <w:spacing w:after="0" w:line="2" w:lineRule="exact"/>
        <w:rPr>
          <w:rFonts w:ascii="Times New Roman" w:cs="Times New Roman" w:eastAsia="Times New Roman" w:hAnsi="Times New Roman"/>
          <w:sz w:val="21"/>
          <w:szCs w:val="21"/>
          <w:color w:val="auto"/>
        </w:rPr>
      </w:pPr>
    </w:p>
    <w:p>
      <w:pPr>
        <w:jc w:val="both"/>
        <w:ind w:left="860" w:right="859"/>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(6)-month period of that leave, unless Participant retains a right to re-employment under applicable law or by contract with the Corporation (or any Parent or Subsidiary).</w:t>
      </w:r>
    </w:p>
    <w:p>
      <w:pPr>
        <w:spacing w:after="0" w:line="254" w:lineRule="exact"/>
        <w:rPr>
          <w:rFonts w:ascii="Times New Roman" w:cs="Times New Roman" w:eastAsia="Times New Roman" w:hAnsi="Times New Roman"/>
          <w:sz w:val="21"/>
          <w:szCs w:val="21"/>
          <w:color w:val="auto"/>
        </w:rPr>
      </w:pPr>
    </w:p>
    <w:p>
      <w:pPr>
        <w:ind w:left="860" w:right="859" w:firstLine="1941"/>
        <w:spacing w:after="0" w:line="246" w:lineRule="auto"/>
        <w:tabs>
          <w:tab w:leader="none" w:pos="3452"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239" w:lineRule="exact"/>
        <w:rPr>
          <w:rFonts w:ascii="Times New Roman" w:cs="Times New Roman" w:eastAsia="Times New Roman" w:hAnsi="Times New Roman"/>
          <w:sz w:val="22"/>
          <w:szCs w:val="22"/>
          <w:color w:val="auto"/>
        </w:rPr>
      </w:pPr>
    </w:p>
    <w:p>
      <w:pPr>
        <w:jc w:val="both"/>
        <w:ind w:left="860" w:right="879" w:firstLine="1941"/>
        <w:spacing w:after="0" w:line="256" w:lineRule="auto"/>
        <w:tabs>
          <w:tab w:leader="none" w:pos="3452"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378" w:lineRule="exact"/>
        <w:rPr>
          <w:rFonts w:ascii="Times New Roman" w:cs="Times New Roman" w:eastAsia="Times New Roman" w:hAnsi="Times New Roman"/>
          <w:sz w:val="22"/>
          <w:szCs w:val="22"/>
          <w:color w:val="auto"/>
        </w:rPr>
      </w:pPr>
    </w:p>
    <w:p>
      <w:pPr>
        <w:jc w:val="both"/>
        <w:ind w:left="860" w:right="879" w:firstLine="1293"/>
        <w:spacing w:after="0" w:line="252" w:lineRule="auto"/>
        <w:tabs>
          <w:tab w:leader="none" w:pos="2804"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22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 Vesting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three (3)-year anniversary of the</w:t>
      </w:r>
    </w:p>
    <w:p>
      <w:pPr>
        <w:spacing w:after="0" w:line="3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Date.</w:t>
      </w:r>
    </w:p>
    <w:p>
      <w:pPr>
        <w:spacing w:after="0" w:line="191"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shares of Common Stock which may vest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 issuable under the Award pursuant to the terms of this Agreement and the Award Notice.</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65" w:lineRule="auto"/>
        <w:tabs>
          <w:tab w:leader="none" w:pos="21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Target Level Attainment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 set forth in Schedule I to the Award Notice at the level designated as Target Level attainment for that goal.</w:t>
      </w:r>
    </w:p>
    <w:p>
      <w:pPr>
        <w:spacing w:after="0" w:line="161"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Vested Percentage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(i) fifty percent (50%) if the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is consummated during the first 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2" w:name="page153"/>
    <w:bookmarkEnd w:id="152"/>
    <w:p>
      <w:pPr>
        <w:ind w:left="3840"/>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2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ILLUSTRATION OF VESTING CALCULATIONS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following examples are for illustration purposes only:</w:t>
      </w:r>
    </w:p>
    <w:p>
      <w:pPr>
        <w:spacing w:after="0" w:line="220" w:lineRule="exact"/>
        <w:rPr>
          <w:sz w:val="20"/>
          <w:szCs w:val="20"/>
          <w:color w:val="auto"/>
        </w:rPr>
      </w:pPr>
    </w:p>
    <w:p>
      <w:pPr>
        <w:jc w:val="both"/>
        <w:ind w:left="200" w:right="219" w:firstLine="9"/>
        <w:spacing w:after="0" w:line="248" w:lineRule="auto"/>
        <w:tabs>
          <w:tab w:leader="none" w:pos="52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receives an Award for 100 Shares at Target Level and Participant continues in Service until the expiration of the requisite three (3)-year Service vesting period. If the Performance Goal is attained at the Target Level, Participant shall vest in 100 Shares upon the Service Vesting Date. If the Performance Goal is attained at the Extraordinary Level, Participant shall vest in an additional 150 Shares for a total of 250 Shares following the completion of the Performance Period.</w:t>
      </w:r>
    </w:p>
    <w:p>
      <w:pPr>
        <w:spacing w:after="0" w:line="186" w:lineRule="exact"/>
        <w:rPr>
          <w:rFonts w:ascii="Times New Roman" w:cs="Times New Roman" w:eastAsia="Times New Roman" w:hAnsi="Times New Roman"/>
          <w:sz w:val="22"/>
          <w:szCs w:val="22"/>
          <w:color w:val="auto"/>
        </w:rPr>
      </w:pPr>
    </w:p>
    <w:p>
      <w:pPr>
        <w:jc w:val="both"/>
        <w:ind w:left="200" w:right="219" w:firstLine="9"/>
        <w:spacing w:after="0" w:line="250" w:lineRule="auto"/>
        <w:tabs>
          <w:tab w:leader="none" w:pos="52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receives an Award for 100 Shares at Target Level and Participant ceases Service due to Permanent Disability halfway through the Performance Period. If the Performance Goal is attained at the Target Level, Participant shall vest in 50 of the Shares. On the other hand, if the Performance Goal is attained at the Extraordinary Level, Participant shall vest in an additional 75 Shares for a total of 125 Shares.</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65" w:lineRule="auto"/>
        <w:tabs>
          <w:tab w:leader="none" w:pos="524"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receives an Award for 100 Shares at Target Level and Participant continues in Service until the Service Vesting Date. If the Performance Goal is attained at a point halfway between the Threshold and Target Levels, Participant would vest in 63 of the Shares following the completion of the Performance Period upon the Service Vesting Date. On the other hand, if the Performance Goal is attained at a point halfway between the Target and Extraordinary Levels, Participant would vest in 175 of the Shares following the completion of the Performance Period.</w:t>
      </w:r>
    </w:p>
    <w:p>
      <w:pPr>
        <w:spacing w:after="0" w:line="168" w:lineRule="exact"/>
        <w:rPr>
          <w:rFonts w:ascii="Times New Roman" w:cs="Times New Roman" w:eastAsia="Times New Roman" w:hAnsi="Times New Roman"/>
          <w:sz w:val="21"/>
          <w:szCs w:val="21"/>
          <w:color w:val="auto"/>
        </w:rPr>
      </w:pPr>
    </w:p>
    <w:p>
      <w:pPr>
        <w:jc w:val="both"/>
        <w:ind w:left="200" w:right="219" w:firstLine="9"/>
        <w:spacing w:after="0" w:line="248" w:lineRule="auto"/>
        <w:tabs>
          <w:tab w:leader="none" w:pos="59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receives an Award for 100 Shares at Target Level and Participant ceases Service due to Permanent Disability halfway through the Performance Period. If the Performance Goal is attained at a point halfway between the Threshold and Target Levels, Participant would vest in 32 of the Shares following the completion of the Performance Period. On the other hand, if the Performance Goal is attained at a point halfway between the Target and Extraordinary Levels, Participant would vest in 88 of the Shares following the completion of the Performance Period.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3" w:name="page154"/>
    <w:bookmarkEnd w:id="153"/>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10.48</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EXECUTIVE NOTICE OF AWARD OF TIME-BASED RESTRICTED STOCK UNITS</w:t>
      </w:r>
    </w:p>
    <w:p>
      <w:pPr>
        <w:spacing w:after="0" w:line="142" w:lineRule="exact"/>
        <w:rPr>
          <w:sz w:val="20"/>
          <w:szCs w:val="20"/>
          <w:color w:val="auto"/>
        </w:rPr>
      </w:pPr>
    </w:p>
    <w:p>
      <w:pPr>
        <w:jc w:val="both"/>
        <w:ind w:left="200" w:right="219"/>
        <w:spacing w:after="0" w:line="260" w:lineRule="auto"/>
        <w:rPr>
          <w:sz w:val="20"/>
          <w:szCs w:val="20"/>
          <w:color w:val="auto"/>
        </w:rPr>
      </w:pPr>
      <w:r>
        <w:rPr>
          <w:rFonts w:ascii="Times New Roman" w:cs="Times New Roman" w:eastAsia="Times New Roman" w:hAnsi="Times New Roman"/>
          <w:sz w:val="21"/>
          <w:szCs w:val="21"/>
          <w:color w:val="auto"/>
        </w:rPr>
        <w:t>The Corporation hereby awards to Participant, as of the Award Date indicated below, an award (the “Award”) of restricted stock units under the Corporation’s 2016 Incentive Compensation Plan (as amended from time to time, the “Plan”). Each restricted stock unit represents the right to receive one share of Common Stock on the applicable issuance date following the vesting of that unit. The number of shares of Common Stock subject to the awarded restricted stock units (the “RSUs”) and the applicable vesting schedule for those RSUs and the underlying shares of Common Stock are set forth below. The remaining terms and conditions governing the Award, including the issuance date or dates for the shares of Common Stock that vest under the Award, shall be as set forth in the form Time-Based Restricted Stock Unit Award Agreement for service-vesting Awards.</w:t>
      </w:r>
    </w:p>
    <w:p>
      <w:pPr>
        <w:spacing w:after="0" w:line="99" w:lineRule="exact"/>
        <w:rPr>
          <w:sz w:val="20"/>
          <w:szCs w:val="20"/>
          <w:color w:val="auto"/>
        </w:rPr>
      </w:pPr>
    </w:p>
    <w:tbl>
      <w:tblPr>
        <w:tblLayout w:type="fixed"/>
        <w:tblInd w:w="200" w:type="dxa"/>
        <w:tblCellMar>
          <w:top w:w="0" w:type="dxa"/>
          <w:left w:w="0" w:type="dxa"/>
          <w:bottom w:w="0" w:type="dxa"/>
          <w:right w:w="0" w:type="dxa"/>
        </w:tblCellMar>
      </w:tblPr>
      <w:tr>
        <w:trPr>
          <w:trHeight w:val="286"/>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40" w:type="dxa"/>
            <w:vAlign w:val="bottom"/>
            <w:gridSpan w:val="2"/>
          </w:tcPr>
          <w:p>
            <w:pPr>
              <w:ind w:left="340"/>
              <w:spacing w:after="0"/>
              <w:rPr>
                <w:sz w:val="20"/>
                <w:szCs w:val="20"/>
                <w:color w:val="auto"/>
              </w:rPr>
            </w:pPr>
            <w:r>
              <w:rPr>
                <w:rFonts w:ascii="Times New Roman" w:cs="Times New Roman" w:eastAsia="Times New Roman" w:hAnsi="Times New Roman"/>
                <w:sz w:val="22"/>
                <w:szCs w:val="22"/>
                <w:b w:val="1"/>
                <w:bCs w:val="1"/>
                <w:color w:val="auto"/>
              </w:rPr>
              <w:t>AWARD SUMMARY</w:t>
            </w:r>
          </w:p>
        </w:tc>
      </w:tr>
      <w:tr>
        <w:trPr>
          <w:trHeight w:val="379"/>
        </w:trPr>
        <w:tc>
          <w:tcPr>
            <w:tcW w:w="21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Participant</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0"/>
        </w:trPr>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446"/>
        </w:trPr>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5"/>
              </w:rPr>
              <w:t>Award Date:</w:t>
            </w:r>
          </w:p>
        </w:tc>
        <w:tc>
          <w:tcPr>
            <w:tcW w:w="1000" w:type="dxa"/>
            <w:vAlign w:val="bottom"/>
            <w:gridSpan w:val="4"/>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r>
      <w:tr>
        <w:trPr>
          <w:trHeight w:val="419"/>
        </w:trPr>
        <w:tc>
          <w:tcPr>
            <w:tcW w:w="21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7"/>
        </w:trPr>
        <w:tc>
          <w:tcPr>
            <w:tcW w:w="94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Subject to</w:t>
            </w:r>
          </w:p>
        </w:tc>
        <w:tc>
          <w:tcPr>
            <w:tcW w:w="640" w:type="dxa"/>
            <w:vAlign w:val="bottom"/>
            <w:tcBorders>
              <w:top w:val="single" w:sz="8" w:color="auto"/>
            </w:tcBorders>
            <w:gridSpan w:val="5"/>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237"/>
        </w:trPr>
        <w:tc>
          <w:tcPr>
            <w:tcW w:w="1440" w:type="dxa"/>
            <w:vAlign w:val="bottom"/>
            <w:tcBorders>
              <w:bottom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w w:val="98"/>
              </w:rPr>
              <w:t>Restricted Stock</w:t>
            </w:r>
          </w:p>
        </w:tc>
        <w:tc>
          <w:tcPr>
            <w:tcW w:w="660" w:type="dxa"/>
            <w:vAlign w:val="bottom"/>
            <w:gridSpan w:val="3"/>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237"/>
        </w:trPr>
        <w:tc>
          <w:tcPr>
            <w:tcW w:w="1080" w:type="dxa"/>
            <w:vAlign w:val="bottom"/>
            <w:tcBorders>
              <w:bottom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w w:val="95"/>
              </w:rPr>
              <w:t>Unit Award:</w:t>
            </w:r>
          </w:p>
        </w:tc>
        <w:tc>
          <w:tcPr>
            <w:tcW w:w="1020" w:type="dxa"/>
            <w:vAlign w:val="bottom"/>
            <w:gridSpan w:val="5"/>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40" w:type="dxa"/>
            <w:vAlign w:val="bottom"/>
            <w:gridSpan w:val="2"/>
          </w:tcPr>
          <w:p>
            <w:pPr>
              <w:ind w:left="60"/>
              <w:spacing w:after="0" w:line="237" w:lineRule="exact"/>
              <w:rPr>
                <w:sz w:val="20"/>
                <w:szCs w:val="20"/>
                <w:color w:val="auto"/>
              </w:rPr>
            </w:pPr>
            <w:r>
              <w:rPr>
                <w:rFonts w:ascii="Times New Roman" w:cs="Times New Roman" w:eastAsia="Times New Roman" w:hAnsi="Times New Roman"/>
                <w:sz w:val="22"/>
                <w:szCs w:val="22"/>
                <w:color w:val="auto"/>
              </w:rPr>
              <w:t>shares of Common Stock (the “Shares”)</w:t>
            </w:r>
          </w:p>
        </w:tc>
      </w:tr>
      <w:tr>
        <w:trPr>
          <w:trHeight w:val="425"/>
        </w:trPr>
        <w:tc>
          <w:tcPr>
            <w:tcW w:w="21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Vesting Schedule:</w:t>
            </w:r>
          </w:p>
        </w:tc>
        <w:tc>
          <w:tcPr>
            <w:tcW w:w="6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Shares underlying the Award shall vest in a series of three (3)</w:t>
            </w:r>
          </w:p>
        </w:tc>
      </w:tr>
      <w:tr>
        <w:trPr>
          <w:trHeight w:val="263"/>
        </w:trPr>
        <w:tc>
          <w:tcPr>
            <w:tcW w:w="9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successive equal annual installments upon Participant’s completion of each</w:t>
            </w:r>
          </w:p>
        </w:tc>
      </w:tr>
      <w:tr>
        <w:trPr>
          <w:trHeight w:val="256"/>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successive year of Service over the three (3)-year period measured from</w:t>
            </w:r>
          </w:p>
        </w:tc>
      </w:tr>
      <w:tr>
        <w:trPr>
          <w:trHeight w:val="257"/>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the Award Date. Each such installment vesting date is hereby designated a</w:t>
            </w:r>
          </w:p>
        </w:tc>
      </w:tr>
      <w:tr>
        <w:trPr>
          <w:trHeight w:val="256"/>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“Vesting and Issuance Date.” However, one or more Shares may be subject</w:t>
            </w:r>
          </w:p>
        </w:tc>
      </w:tr>
      <w:tr>
        <w:trPr>
          <w:trHeight w:val="270"/>
        </w:trPr>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to accelerated vesting in accordance with the provisions of Paragraph 3 or</w:t>
            </w:r>
          </w:p>
        </w:tc>
      </w:tr>
      <w:tr>
        <w:trPr>
          <w:trHeight w:val="257"/>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Paragraph 5 of the form Time-Based Restricted Stock Unit Award</w:t>
            </w:r>
          </w:p>
        </w:tc>
      </w:tr>
      <w:tr>
        <w:trPr>
          <w:trHeight w:val="282"/>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Agreement attached hereto as Exhibit A (the “Award Agreement”) .</w:t>
            </w:r>
          </w:p>
        </w:tc>
      </w:tr>
    </w:tbl>
    <w:p>
      <w:pPr>
        <w:spacing w:after="0" w:line="190"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12th Street, Oakland, California 94607.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Coverage under Recoupment Policy</w:t>
      </w:r>
      <w:r>
        <w:rPr>
          <w:rFonts w:ascii="Times New Roman" w:cs="Times New Roman" w:eastAsia="Times New Roman" w:hAnsi="Times New Roman"/>
          <w:sz w:val="22"/>
          <w:szCs w:val="22"/>
          <w:color w:val="auto"/>
        </w:rPr>
        <w:t>. Participant hereby agrees that: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4" w:name="page155"/>
    <w:bookmarkEnd w:id="154"/>
    <w:p>
      <w:pPr>
        <w:jc w:val="both"/>
        <w:ind w:left="200" w:right="219" w:firstLine="1305"/>
        <w:spacing w:after="0" w:line="257" w:lineRule="auto"/>
        <w:tabs>
          <w:tab w:leader="none" w:pos="21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may be subject to the Matson, Inc. Policy Regarding Recoupment of Certain Compensation, as applicable, and as it may be amended from time to time, the terms of which are hereby incorporated herein by reference; and</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incentive compensation that is paid or granted to, or received by, Participant under the Award shall be subject to recovery and recoupment pursuant to the terms of such policy.</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 copy of the recoupment policy is available upon request made to the Corporate Secretary.</w:t>
      </w:r>
    </w:p>
    <w:p>
      <w:pPr>
        <w:spacing w:after="0" w:line="220"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2"/>
          <w:szCs w:val="22"/>
          <w:u w:val="single" w:color="auto"/>
          <w:color w:val="auto"/>
        </w:rPr>
        <w:t>Continuing Consent</w:t>
      </w:r>
      <w:r>
        <w:rPr>
          <w:rFonts w:ascii="Times New Roman" w:cs="Times New Roman" w:eastAsia="Times New Roman" w:hAnsi="Times New Roman"/>
          <w:sz w:val="22"/>
          <w:szCs w:val="22"/>
          <w:color w:val="auto"/>
        </w:rPr>
        <w:t>. Participant further acknowledges and agrees that, except to the extent the Plan Administrator notifies Participant in writing to the contrary, each subsequent award of service-vesting restricted stock units made to him or her under the Plan shall be subject to the same terms and conditions set forth in the Award Agreement, and Participant hereby understands and agrees to those terms and conditions for each such subsequent service-vesting restricted stock unit award that may be made to him or her under the Plan and hereby agrees to be bound by those terms and conditions for any such restricted stock unit awards, without any further consent or action required on his or her part at the time or times when those awards may be made. However, Participant may, at any time he or she holds an outstanding service-vesting restricted stock unit award under the Plan, request a written copy of the Award Agreement from the Corporation by contacting the Corporation’s Human Resources Department at the Corporation’s offices at 555 12th Street, Oakland, California 94607.</w:t>
      </w:r>
    </w:p>
    <w:p>
      <w:pPr>
        <w:spacing w:after="0" w:line="183"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187"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capitalized terms in this Notice shall have the meaning assigned to them in this Notice or in the Award Agreement.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-13970</wp:posOffset>
            </wp:positionV>
            <wp:extent cx="6172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2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10795</wp:posOffset>
            </wp:positionV>
            <wp:extent cx="22713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6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10795</wp:posOffset>
            </wp:positionV>
            <wp:extent cx="22713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-157480</wp:posOffset>
            </wp:positionV>
            <wp:extent cx="22713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55" w:name="page156"/>
    <w:bookmarkEnd w:id="155"/>
    <w:p>
      <w:pPr>
        <w:ind w:left="394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22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b w:val="1"/>
          <w:bCs w:val="1"/>
          <w:u w:val="single" w:color="auto"/>
          <w:color w:val="auto"/>
        </w:rPr>
        <w:t>TIME-BASED RESTRICTED STOCK UNIT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AWARD AGREEMENT</w:t>
      </w:r>
    </w:p>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78" w:lineRule="exact"/>
        <w:rPr>
          <w:sz w:val="20"/>
          <w:szCs w:val="20"/>
          <w:color w:val="auto"/>
        </w:rPr>
      </w:pPr>
    </w:p>
    <w:p>
      <w:pPr>
        <w:ind w:left="200" w:right="219" w:firstLine="1305"/>
        <w:spacing w:after="0" w:line="248" w:lineRule="auto"/>
        <w:tabs>
          <w:tab w:leader="none" w:pos="21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56" w:lineRule="auto"/>
        <w:tabs>
          <w:tab w:leader="none" w:pos="21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76"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capitalized terms in this Agreement shall have the meaning assigned to them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or if not defined in that appendix, as defined in the Plan.</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it is hereby agreed as follows:</w:t>
      </w:r>
    </w:p>
    <w:p>
      <w:pPr>
        <w:spacing w:after="0" w:line="220" w:lineRule="exact"/>
        <w:rPr>
          <w:sz w:val="20"/>
          <w:szCs w:val="20"/>
          <w:color w:val="auto"/>
        </w:rPr>
      </w:pPr>
    </w:p>
    <w:p>
      <w:pPr>
        <w:jc w:val="both"/>
        <w:ind w:left="200" w:right="219" w:firstLine="1305"/>
        <w:spacing w:after="0" w:line="253" w:lineRule="auto"/>
        <w:tabs>
          <w:tab w:leader="none" w:pos="214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color w:val="auto"/>
        </w:rPr>
        <w:t>. The Corporation hereby awards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as of the Award Date, restricted stock units under the Plan. The number of RSUs and the applicable service vesting requirements for those RSUs are set forth in the Award Notice. The remaining terms and conditions governing the Award shall be as set forth in this Agreement.</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Transferability</w:t>
      </w:r>
      <w:r>
        <w:rPr>
          <w:rFonts w:ascii="Times New Roman" w:cs="Times New Roman" w:eastAsia="Times New Roman" w:hAnsi="Times New Roman"/>
          <w:sz w:val="22"/>
          <w:szCs w:val="22"/>
          <w:color w:val="auto"/>
        </w:rPr>
        <w:t>. Prior to the actual issuance of the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Participant 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or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6" w:name="page157"/>
    <w:bookmarkEnd w:id="156"/>
    <w:p>
      <w:pPr>
        <w:ind w:left="2160" w:hanging="655"/>
        <w:spacing w:after="0"/>
        <w:tabs>
          <w:tab w:leader="none" w:pos="21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Cessation of Service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68" w:lineRule="auto"/>
        <w:tabs>
          <w:tab w:leader="none" w:pos="2792"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otherwise provided in this Paragraph 3 or Paragraph 5 below, should Participant cease Service for any reason prior to vesting in one or more RSUs, then any unvested RSUs shall be automatically cancelled. Participant shall thereupon cease to have any right or entitlement to receive any Shares under those cancelled RSUs.</w:t>
      </w:r>
    </w:p>
    <w:p>
      <w:pPr>
        <w:spacing w:after="0" w:line="163" w:lineRule="exact"/>
        <w:rPr>
          <w:rFonts w:ascii="Times New Roman" w:cs="Times New Roman" w:eastAsia="Times New Roman" w:hAnsi="Times New Roman"/>
          <w:sz w:val="21"/>
          <w:szCs w:val="21"/>
          <w:color w:val="auto"/>
        </w:rPr>
      </w:pPr>
    </w:p>
    <w:p>
      <w:pPr>
        <w:jc w:val="both"/>
        <w:ind w:left="200" w:right="219" w:firstLine="1953"/>
        <w:spacing w:after="0" w:line="252" w:lineRule="auto"/>
        <w:tabs>
          <w:tab w:leader="none" w:pos="27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Participant’s Service terminate by reason of his or her death or Permanent Disability prior to vesting in one or more RSUs, then the RSUs shall vest in full upon Participant’s termination of Service. The Shares subject to those vested RSUs shall be issued in accordance with the applicable provisions of Paragraph 7.</w:t>
      </w:r>
    </w:p>
    <w:p>
      <w:pPr>
        <w:spacing w:after="0" w:line="179" w:lineRule="exact"/>
        <w:rPr>
          <w:rFonts w:ascii="Times New Roman" w:cs="Times New Roman" w:eastAsia="Times New Roman" w:hAnsi="Times New Roman"/>
          <w:sz w:val="22"/>
          <w:szCs w:val="22"/>
          <w:color w:val="auto"/>
        </w:rPr>
      </w:pPr>
    </w:p>
    <w:p>
      <w:pPr>
        <w:jc w:val="both"/>
        <w:ind w:left="200" w:right="219" w:firstLine="1953"/>
        <w:spacing w:after="0" w:line="247" w:lineRule="auto"/>
        <w:tabs>
          <w:tab w:leader="none" w:pos="27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Participant’s Service terminate by reason of his or her Early Retirement or Normal Retirement prior to vesting in all the RSUs subject to this Award in accordance with the annual installment vesting schedule set forth in the Award Notice, then Participant shall immediately vest in that number of additional RSUs (if any) in which Participant would have otherwise been vested at the time of such termination had the RSUs subject to this Award vested in a series of successive equal monthly installments over the duration of the vesting schedule set forth in the Award Notice. The RSUs which are deemed to vest on the basis of such monthly installment vesting schedule shall, together with any other RSUs which are at the time vested but unissued, be settled in Shares in accordance with the applicable provisions of Paragraph 7. The balance of the Award shall be automatically cancelled and cease to be outstanding upon such termination of Service.</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Rights and Dividend Equivalents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79" w:lineRule="exact"/>
        <w:rPr>
          <w:rFonts w:ascii="Times New Roman" w:cs="Times New Roman" w:eastAsia="Times New Roman" w:hAnsi="Times New Roman"/>
          <w:sz w:val="22"/>
          <w:szCs w:val="22"/>
          <w:color w:val="auto"/>
        </w:rPr>
      </w:pPr>
    </w:p>
    <w:p>
      <w:pPr>
        <w:jc w:val="both"/>
        <w:ind w:left="200" w:right="219" w:firstLine="1953"/>
        <w:spacing w:after="0" w:line="245" w:lineRule="auto"/>
        <w:tabs>
          <w:tab w:leader="none" w:pos="27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or after the date the dividend or other distribution is paid to holders of Common Stock, but in no case later than the last business day of that calendar quarter. However, each such distribution shall be subject to the Corporation’s collection of the Withholding Taxes applicable to that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7" w:name="page158"/>
    <w:bookmarkEnd w:id="157"/>
    <w:p>
      <w:pPr>
        <w:ind w:left="2160" w:hanging="655"/>
        <w:spacing w:after="0"/>
        <w:tabs>
          <w:tab w:leader="none" w:pos="21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45" w:lineRule="auto"/>
        <w:tabs>
          <w:tab w:leader="none" w:pos="279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and shall initially be credited with the Fair Market Value (determined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2"/>
          <w:szCs w:val="22"/>
          <w:b w:val="1"/>
          <w:bCs w:val="1"/>
          <w:i w:val="1"/>
          <w:iCs w:val="1"/>
          <w:color w:val="auto"/>
        </w:rPr>
        <w:t>The Wall Street Journal</w:t>
      </w:r>
      <w:r>
        <w:rPr>
          <w:rFonts w:ascii="Times New Roman" w:cs="Times New Roman" w:eastAsia="Times New Roman" w:hAnsi="Times New Roman"/>
          <w:sz w:val="22"/>
          <w:szCs w:val="22"/>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RSUs subject to this Award or the underlying Shares shall occur at the time of the Change in Control, and the Service-vesting provisions set forth in the Award Notice shall continue in full force and effect.</w:t>
      </w:r>
    </w:p>
    <w:p>
      <w:pPr>
        <w:spacing w:after="0" w:line="194" w:lineRule="exact"/>
        <w:rPr>
          <w:rFonts w:ascii="Times New Roman" w:cs="Times New Roman" w:eastAsia="Times New Roman" w:hAnsi="Times New Roman"/>
          <w:sz w:val="22"/>
          <w:szCs w:val="22"/>
          <w:color w:val="auto"/>
        </w:rPr>
      </w:pPr>
    </w:p>
    <w:p>
      <w:pPr>
        <w:jc w:val="both"/>
        <w:ind w:left="200" w:right="219" w:firstLine="1953"/>
        <w:spacing w:after="0" w:line="245" w:lineRule="auto"/>
        <w:tabs>
          <w:tab w:leader="none" w:pos="279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this Award is assumed, otherwise continued in effect, or replaced in connection with such Change in Control, the RSUs subject to the Award shall be adjusted immediately after the consummation of that Change in Control so as to apply to the number and class of securities into which the Shares subject to those RSUs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RSUs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93" w:lineRule="exact"/>
        <w:rPr>
          <w:rFonts w:ascii="Times New Roman" w:cs="Times New Roman" w:eastAsia="Times New Roman" w:hAnsi="Times New Roman"/>
          <w:sz w:val="22"/>
          <w:szCs w:val="22"/>
          <w:color w:val="auto"/>
        </w:rPr>
      </w:pPr>
    </w:p>
    <w:p>
      <w:pPr>
        <w:jc w:val="both"/>
        <w:ind w:left="200" w:right="219" w:firstLine="1953"/>
        <w:spacing w:after="0" w:line="260" w:lineRule="auto"/>
        <w:tabs>
          <w:tab w:leader="none" w:pos="2792"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Participant’s Separation from Service due to an Involuntary Termination occurring within twenty-four (24) months after a Change in Control in which this Award is assumed or continued in effect, all of the RSUs at the time subject to this Award shall vest, or any substitute equivalent award, and the Shares underlying those RSUs shall be issued to Participant in accordance with the applicable provisions of Paragraph 7. Should the RSUs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Times New Roman" w:cs="Times New Roman" w:eastAsia="Times New Roman" w:hAnsi="Times New Roman"/>
          <w:sz w:val="21"/>
          <w:szCs w:val="21"/>
          <w:b w:val="1"/>
          <w:bCs w:val="1"/>
          <w:i w:val="1"/>
          <w:iCs w:val="1"/>
          <w:color w:val="auto"/>
        </w:rPr>
        <w:t>provided, however,</w:t>
      </w:r>
      <w:r>
        <w:rPr>
          <w:rFonts w:ascii="Times New Roman" w:cs="Times New Roman" w:eastAsia="Times New Roman" w:hAnsi="Times New Roman"/>
          <w:sz w:val="21"/>
          <w:szCs w:val="21"/>
          <w:color w:val="auto"/>
        </w:rPr>
        <w:t xml:space="preserve"> that Participant shall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8" w:name="page159"/>
    <w:bookmarkEnd w:id="158"/>
    <w:p>
      <w:pPr>
        <w:ind w:left="200" w:right="219"/>
        <w:spacing w:after="0" w:line="271" w:lineRule="auto"/>
        <w:rPr>
          <w:sz w:val="20"/>
          <w:szCs w:val="20"/>
          <w:color w:val="auto"/>
        </w:rPr>
      </w:pPr>
      <w:r>
        <w:rPr>
          <w:rFonts w:ascii="Times New Roman" w:cs="Times New Roman" w:eastAsia="Times New Roman" w:hAnsi="Times New Roman"/>
          <w:sz w:val="22"/>
          <w:szCs w:val="22"/>
          <w:color w:val="auto"/>
        </w:rPr>
        <w:t>vest and be entitled to such distribution only if such Involuntary Termination occurs within twenty-four (24) months following the Change in Control.</w:t>
      </w:r>
    </w:p>
    <w:p>
      <w:pPr>
        <w:spacing w:after="0" w:line="158" w:lineRule="exact"/>
        <w:rPr>
          <w:sz w:val="20"/>
          <w:szCs w:val="20"/>
          <w:color w:val="auto"/>
        </w:rPr>
      </w:pPr>
    </w:p>
    <w:p>
      <w:pPr>
        <w:jc w:val="both"/>
        <w:ind w:left="200" w:right="219" w:firstLine="1953"/>
        <w:spacing w:after="0" w:line="250" w:lineRule="auto"/>
        <w:tabs>
          <w:tab w:leader="none" w:pos="2792"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RSUs subject to this Award at the time of the Change in Control are not assumed or otherwise continued in effect or replaced with substitute equivalent award in accordance with Paragraph 5(a), then those RSUs shall vest immediately prior to the closing of the Change in Control, and Participant shall become entitled to a vested distribution in accordance with the applicable provisions of Paragraph 7.</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75" w:lineRule="auto"/>
        <w:tabs>
          <w:tab w:leader="none" w:pos="2792"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51" w:lineRule="exact"/>
        <w:rPr>
          <w:rFonts w:ascii="Times New Roman" w:cs="Times New Roman" w:eastAsia="Times New Roman" w:hAnsi="Times New Roman"/>
          <w:sz w:val="21"/>
          <w:szCs w:val="21"/>
          <w:color w:val="auto"/>
        </w:rPr>
      </w:pPr>
    </w:p>
    <w:p>
      <w:pPr>
        <w:jc w:val="both"/>
        <w:ind w:left="200" w:right="219" w:firstLine="1305"/>
        <w:spacing w:after="0" w:line="246" w:lineRule="auto"/>
        <w:tabs>
          <w:tab w:leader="none" w:pos="214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 in Shares</w:t>
      </w:r>
      <w:r>
        <w:rPr>
          <w:rFonts w:ascii="Times New Roman" w:cs="Times New Roman" w:eastAsia="Times New Roman" w:hAnsi="Times New Roman"/>
          <w:sz w:val="22"/>
          <w:szCs w:val="22"/>
          <w:color w:val="auto"/>
        </w:rPr>
        <w:t>. Should any change be made to the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187" w:lineRule="exact"/>
        <w:rPr>
          <w:rFonts w:ascii="Times New Roman" w:cs="Times New Roman" w:eastAsia="Times New Roman" w:hAnsi="Times New Roman"/>
          <w:sz w:val="22"/>
          <w:szCs w:val="22"/>
          <w:color w:val="auto"/>
        </w:rPr>
      </w:pPr>
    </w:p>
    <w:p>
      <w:pPr>
        <w:ind w:left="200" w:right="239" w:firstLine="1305"/>
        <w:spacing w:after="0" w:line="275" w:lineRule="auto"/>
        <w:tabs>
          <w:tab w:leader="none" w:pos="214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or Distribution of Shares or Other Vested Amounts and Applicable Withholding Taxes</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left="200" w:right="219" w:firstLine="1953"/>
        <w:spacing w:after="0" w:line="257" w:lineRule="auto"/>
        <w:tabs>
          <w:tab w:leader="none" w:pos="2792"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shall govern the issuance of the Shares (or any replacement or substitute amounts under Paragraph 5) which vest in accordance with the provisions of this Agreement:</w:t>
      </w:r>
    </w:p>
    <w:p>
      <w:pPr>
        <w:spacing w:after="0" w:line="172" w:lineRule="exact"/>
        <w:rPr>
          <w:rFonts w:ascii="Times New Roman" w:cs="Times New Roman" w:eastAsia="Times New Roman" w:hAnsi="Times New Roman"/>
          <w:sz w:val="22"/>
          <w:szCs w:val="22"/>
          <w:color w:val="auto"/>
        </w:rPr>
      </w:pPr>
    </w:p>
    <w:p>
      <w:pPr>
        <w:jc w:val="both"/>
        <w:ind w:left="860" w:right="879" w:firstLine="1941"/>
        <w:spacing w:after="0" w:line="250" w:lineRule="auto"/>
        <w:tabs>
          <w:tab w:leader="none" w:pos="3452"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Vesting and Issuance Date specified in the Award Notice, the Shares underlying the RSUs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80"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underlying RSUs which vest on an accelerated</w:t>
      </w:r>
    </w:p>
    <w:p>
      <w:pPr>
        <w:spacing w:after="0" w:line="28" w:lineRule="exact"/>
        <w:rPr>
          <w:sz w:val="20"/>
          <w:szCs w:val="20"/>
          <w:color w:val="auto"/>
        </w:rPr>
      </w:pPr>
    </w:p>
    <w:p>
      <w:pPr>
        <w:jc w:val="both"/>
        <w:ind w:left="860" w:right="879"/>
        <w:spacing w:after="0" w:line="245" w:lineRule="auto"/>
        <w:rPr>
          <w:sz w:val="20"/>
          <w:szCs w:val="20"/>
          <w:color w:val="auto"/>
        </w:rPr>
      </w:pPr>
      <w:r>
        <w:rPr>
          <w:rFonts w:ascii="Times New Roman" w:cs="Times New Roman" w:eastAsia="Times New Roman" w:hAnsi="Times New Roman"/>
          <w:sz w:val="22"/>
          <w:szCs w:val="22"/>
          <w:color w:val="auto"/>
        </w:rPr>
        <w:t>basis upon the Participant’s cessation of Service under Paragraph 3(b) or 3(c) or upon his or her Involuntary Termination under Paragraph 5(c) shall be issued on the date of Participant’s Separation from Service due to such cessation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59" w:name="page160"/>
    <w:bookmarkEnd w:id="159"/>
    <w:p>
      <w:pPr>
        <w:jc w:val="both"/>
        <w:ind w:left="860" w:right="879"/>
        <w:spacing w:after="0" w:line="263" w:lineRule="auto"/>
        <w:rPr>
          <w:sz w:val="20"/>
          <w:szCs w:val="20"/>
          <w:color w:val="auto"/>
        </w:rPr>
      </w:pPr>
      <w:r>
        <w:rPr>
          <w:rFonts w:ascii="Times New Roman" w:cs="Times New Roman" w:eastAsia="Times New Roman" w:hAnsi="Times New Roman"/>
          <w:sz w:val="21"/>
          <w:szCs w:val="21"/>
          <w:color w:val="auto"/>
        </w:rPr>
        <w:t>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spacing w:after="0" w:line="167" w:lineRule="exact"/>
        <w:rPr>
          <w:sz w:val="20"/>
          <w:szCs w:val="20"/>
          <w:color w:val="auto"/>
        </w:rPr>
      </w:pPr>
    </w:p>
    <w:p>
      <w:pPr>
        <w:jc w:val="both"/>
        <w:ind w:left="860" w:right="879" w:firstLine="1941"/>
        <w:spacing w:after="0" w:line="247" w:lineRule="auto"/>
        <w:tabs>
          <w:tab w:leader="none" w:pos="345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Shares underlying RSUs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Times New Roman" w:cs="Times New Roman" w:eastAsia="Times New Roman" w:hAnsi="Times New Roman"/>
          <w:sz w:val="22"/>
          <w:szCs w:val="22"/>
          <w:b w:val="1"/>
          <w:bCs w:val="1"/>
          <w:i w:val="1"/>
          <w:iCs w:val="1"/>
          <w:color w:val="auto"/>
        </w:rPr>
        <w:t>earliest</w:t>
      </w:r>
      <w:r>
        <w:rPr>
          <w:rFonts w:ascii="Times New Roman" w:cs="Times New Roman" w:eastAsia="Times New Roman" w:hAnsi="Times New Roman"/>
          <w:sz w:val="22"/>
          <w:szCs w:val="22"/>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Section 409A of the Code (“Section 409A”).</w:t>
      </w:r>
    </w:p>
    <w:p>
      <w:pPr>
        <w:spacing w:after="0" w:line="187" w:lineRule="exact"/>
        <w:rPr>
          <w:rFonts w:ascii="Times New Roman" w:cs="Times New Roman" w:eastAsia="Times New Roman" w:hAnsi="Times New Roman"/>
          <w:sz w:val="22"/>
          <w:szCs w:val="22"/>
          <w:color w:val="auto"/>
        </w:rPr>
      </w:pPr>
    </w:p>
    <w:p>
      <w:pPr>
        <w:jc w:val="both"/>
        <w:ind w:left="860" w:right="859" w:firstLine="1941"/>
        <w:spacing w:after="0" w:line="245" w:lineRule="auto"/>
        <w:tabs>
          <w:tab w:leader="none" w:pos="345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2"/>
          <w:szCs w:val="22"/>
          <w:b w:val="1"/>
          <w:bCs w:val="1"/>
          <w:i w:val="1"/>
          <w:iCs w:val="1"/>
          <w:color w:val="auto"/>
        </w:rPr>
        <w:t>The Wall Street Journal</w:t>
      </w:r>
      <w:r>
        <w:rPr>
          <w:rFonts w:ascii="Times New Roman" w:cs="Times New Roman" w:eastAsia="Times New Roman" w:hAnsi="Times New Roman"/>
          <w:sz w:val="22"/>
          <w:szCs w:val="22"/>
          <w:color w:val="auto"/>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spacing w:after="0" w:line="188" w:lineRule="exact"/>
        <w:rPr>
          <w:rFonts w:ascii="Times New Roman" w:cs="Times New Roman" w:eastAsia="Times New Roman" w:hAnsi="Times New Roman"/>
          <w:sz w:val="22"/>
          <w:szCs w:val="22"/>
          <w:color w:val="auto"/>
        </w:rPr>
      </w:pPr>
    </w:p>
    <w:p>
      <w:pPr>
        <w:jc w:val="both"/>
        <w:ind w:left="860" w:right="879" w:firstLine="1941"/>
        <w:spacing w:after="0" w:line="250" w:lineRule="auto"/>
        <w:tabs>
          <w:tab w:leader="none" w:pos="345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80" w:lineRule="exact"/>
        <w:rPr>
          <w:rFonts w:ascii="Times New Roman" w:cs="Times New Roman" w:eastAsia="Times New Roman" w:hAnsi="Times New Roman"/>
          <w:sz w:val="22"/>
          <w:szCs w:val="22"/>
          <w:color w:val="auto"/>
        </w:rPr>
      </w:pPr>
    </w:p>
    <w:p>
      <w:pPr>
        <w:ind w:left="3440" w:hanging="639"/>
        <w:spacing w:after="0"/>
        <w:tabs>
          <w:tab w:leader="none" w:pos="34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issuance or distribution to be made pursuant to</w:t>
      </w:r>
    </w:p>
    <w:p>
      <w:pPr>
        <w:spacing w:after="0" w:line="28" w:lineRule="exact"/>
        <w:rPr>
          <w:sz w:val="20"/>
          <w:szCs w:val="20"/>
          <w:color w:val="auto"/>
        </w:rPr>
      </w:pPr>
    </w:p>
    <w:p>
      <w:pPr>
        <w:ind w:left="860" w:right="879" w:firstLine="59"/>
        <w:spacing w:after="0" w:line="271" w:lineRule="auto"/>
        <w:rPr>
          <w:sz w:val="20"/>
          <w:szCs w:val="20"/>
          <w:color w:val="auto"/>
        </w:rPr>
      </w:pPr>
      <w:r>
        <w:rPr>
          <w:rFonts w:ascii="Times New Roman" w:cs="Times New Roman" w:eastAsia="Times New Roman" w:hAnsi="Times New Roman"/>
          <w:sz w:val="21"/>
          <w:szCs w:val="21"/>
          <w:color w:val="auto"/>
        </w:rPr>
        <w:t>this Paragraph 7(a) shall be subject to the Corporation’s collection of all applicable Withholding Taxes, in accordance with the provisions of Paragraphs 7(b) and 7(c).</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0" w:name="page161"/>
    <w:bookmarkEnd w:id="160"/>
    <w:p>
      <w:pPr>
        <w:jc w:val="both"/>
        <w:ind w:left="860" w:right="879" w:firstLine="1941"/>
        <w:spacing w:after="0" w:line="265" w:lineRule="auto"/>
        <w:tabs>
          <w:tab w:leader="none" w:pos="3452"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65" w:lineRule="exact"/>
        <w:rPr>
          <w:rFonts w:ascii="Times New Roman" w:cs="Times New Roman" w:eastAsia="Times New Roman" w:hAnsi="Times New Roman"/>
          <w:sz w:val="21"/>
          <w:szCs w:val="21"/>
          <w:color w:val="auto"/>
        </w:rPr>
      </w:pPr>
    </w:p>
    <w:p>
      <w:pPr>
        <w:jc w:val="both"/>
        <w:ind w:left="200" w:right="219" w:firstLine="1953"/>
        <w:spacing w:after="0" w:line="252" w:lineRule="auto"/>
        <w:tabs>
          <w:tab w:leader="none" w:pos="279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79" w:lineRule="exact"/>
        <w:rPr>
          <w:rFonts w:ascii="Times New Roman" w:cs="Times New Roman" w:eastAsia="Times New Roman" w:hAnsi="Times New Roman"/>
          <w:sz w:val="22"/>
          <w:szCs w:val="22"/>
          <w:color w:val="auto"/>
        </w:rPr>
      </w:pPr>
    </w:p>
    <w:p>
      <w:pPr>
        <w:jc w:val="both"/>
        <w:ind w:left="200" w:right="219" w:firstLine="1953"/>
        <w:spacing w:after="0" w:line="266" w:lineRule="auto"/>
        <w:tabs>
          <w:tab w:leader="none" w:pos="2792"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provisions shall govern the US Withholding Taxes on the Shares (or any replacement or substitute securities, property or other amounts under Paragraphs</w:t>
      </w:r>
    </w:p>
    <w:p>
      <w:pPr>
        <w:spacing w:after="0" w:line="1"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or 6 above) which vest in accordance with the provisions of this Agreement:</w:t>
      </w:r>
    </w:p>
    <w:p>
      <w:pPr>
        <w:spacing w:after="0" w:line="195" w:lineRule="exact"/>
        <w:rPr>
          <w:rFonts w:ascii="Times New Roman" w:cs="Times New Roman" w:eastAsia="Times New Roman" w:hAnsi="Times New Roman"/>
          <w:sz w:val="21"/>
          <w:szCs w:val="21"/>
          <w:color w:val="auto"/>
        </w:rPr>
      </w:pPr>
    </w:p>
    <w:p>
      <w:pPr>
        <w:jc w:val="both"/>
        <w:ind w:left="860" w:right="859" w:firstLine="1941"/>
        <w:spacing w:after="0" w:line="246" w:lineRule="auto"/>
        <w:tabs>
          <w:tab w:leader="none" w:pos="3452"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7(c)(ii).</w:t>
      </w:r>
    </w:p>
    <w:p>
      <w:pPr>
        <w:spacing w:after="0" w:line="189" w:lineRule="exact"/>
        <w:rPr>
          <w:rFonts w:ascii="Times New Roman" w:cs="Times New Roman" w:eastAsia="Times New Roman" w:hAnsi="Times New Roman"/>
          <w:sz w:val="22"/>
          <w:szCs w:val="22"/>
          <w:color w:val="auto"/>
        </w:rPr>
      </w:pPr>
    </w:p>
    <w:p>
      <w:pPr>
        <w:jc w:val="both"/>
        <w:ind w:left="860" w:right="859" w:firstLine="1941"/>
        <w:spacing w:after="0" w:line="247" w:lineRule="auto"/>
        <w:tabs>
          <w:tab w:leader="none" w:pos="3452"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Automatic Share Withholding</w:t>
      </w:r>
      <w:r>
        <w:rPr>
          <w:rFonts w:ascii="Times New Roman" w:cs="Times New Roman" w:eastAsia="Times New Roman" w:hAnsi="Times New Roman"/>
          <w:sz w:val="22"/>
          <w:szCs w:val="22"/>
          <w:color w:val="auto"/>
        </w:rPr>
        <w:t>. On each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issuance date, the 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7(c)(iii) below (the “Applicable Withholding Rate”).</w:t>
      </w:r>
    </w:p>
    <w:p>
      <w:pPr>
        <w:spacing w:after="0" w:line="181" w:lineRule="exact"/>
        <w:rPr>
          <w:rFonts w:ascii="Times New Roman" w:cs="Times New Roman" w:eastAsia="Times New Roman" w:hAnsi="Times New Roman"/>
          <w:sz w:val="22"/>
          <w:szCs w:val="22"/>
          <w:color w:val="auto"/>
        </w:rPr>
      </w:pPr>
    </w:p>
    <w:p>
      <w:pPr>
        <w:jc w:val="both"/>
        <w:ind w:left="860" w:right="859" w:firstLine="1941"/>
        <w:spacing w:after="0" w:line="247" w:lineRule="auto"/>
        <w:tabs>
          <w:tab w:leader="none" w:pos="3452"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Amount of Withholding</w:t>
      </w:r>
      <w:r>
        <w:rPr>
          <w:rFonts w:ascii="Times New Roman" w:cs="Times New Roman" w:eastAsia="Times New Roman" w:hAnsi="Times New Roman"/>
          <w:sz w:val="22"/>
          <w:szCs w:val="22"/>
          <w:color w:val="auto"/>
        </w:rPr>
        <w:t>. The amount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 Rate”).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1" w:name="page162"/>
    <w:bookmarkEnd w:id="161"/>
    <w:p>
      <w:pPr>
        <w:jc w:val="both"/>
        <w:ind w:left="860" w:right="859"/>
        <w:spacing w:after="0" w:line="258" w:lineRule="auto"/>
        <w:rPr>
          <w:sz w:val="20"/>
          <w:szCs w:val="20"/>
          <w:color w:val="auto"/>
        </w:rPr>
      </w:pPr>
      <w:r>
        <w:rPr>
          <w:rFonts w:ascii="Times New Roman" w:cs="Times New Roman" w:eastAsia="Times New Roman" w:hAnsi="Times New Roman"/>
          <w:sz w:val="21"/>
          <w:szCs w:val="21"/>
          <w:color w:val="auto"/>
        </w:rPr>
        <w:t>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7(c)(ii) and 7(c)(iii), in the event Participant is determined to be subject to Section 16 of the 1934 Act at the time of settlement, the Alternate Withholding Rate must be approved by the Corporation’s Compensation Committee.</w:t>
      </w:r>
    </w:p>
    <w:p>
      <w:pPr>
        <w:spacing w:after="0" w:line="173" w:lineRule="exact"/>
        <w:rPr>
          <w:sz w:val="20"/>
          <w:szCs w:val="20"/>
          <w:color w:val="auto"/>
        </w:rPr>
      </w:pPr>
    </w:p>
    <w:p>
      <w:pPr>
        <w:ind w:left="200" w:right="219" w:firstLine="1953"/>
        <w:spacing w:after="0" w:line="246" w:lineRule="auto"/>
        <w:tabs>
          <w:tab w:leader="none" w:pos="2792"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Section 3121(v) of the Code.</w:t>
      </w:r>
    </w:p>
    <w:p>
      <w:pPr>
        <w:spacing w:after="0" w:line="193" w:lineRule="exact"/>
        <w:rPr>
          <w:rFonts w:ascii="Times New Roman" w:cs="Times New Roman" w:eastAsia="Times New Roman" w:hAnsi="Times New Roman"/>
          <w:sz w:val="22"/>
          <w:szCs w:val="22"/>
          <w:color w:val="auto"/>
        </w:rPr>
      </w:pPr>
    </w:p>
    <w:p>
      <w:pPr>
        <w:jc w:val="both"/>
        <w:ind w:left="200" w:right="219" w:firstLine="1953"/>
        <w:spacing w:after="0" w:line="248" w:lineRule="auto"/>
        <w:tabs>
          <w:tab w:leader="none" w:pos="2792"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82" w:lineRule="exact"/>
        <w:rPr>
          <w:rFonts w:ascii="Times New Roman" w:cs="Times New Roman" w:eastAsia="Times New Roman" w:hAnsi="Times New Roman"/>
          <w:sz w:val="22"/>
          <w:szCs w:val="22"/>
          <w:color w:val="auto"/>
        </w:rPr>
      </w:pPr>
    </w:p>
    <w:p>
      <w:pPr>
        <w:jc w:val="both"/>
        <w:ind w:left="200" w:right="239" w:firstLine="1305"/>
        <w:spacing w:after="0" w:line="259" w:lineRule="auto"/>
        <w:tabs>
          <w:tab w:leader="none" w:pos="214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Notwithstanding any provision to the contrary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extent this Award may be deemed to create a deferred compensation arrangement under Section 409A, then the following limitation and provisions shall apply:</w:t>
      </w:r>
    </w:p>
    <w:p>
      <w:pPr>
        <w:spacing w:after="0" w:line="170" w:lineRule="exact"/>
        <w:rPr>
          <w:rFonts w:ascii="Times New Roman" w:cs="Times New Roman" w:eastAsia="Times New Roman" w:hAnsi="Times New Roman"/>
          <w:sz w:val="22"/>
          <w:szCs w:val="22"/>
          <w:color w:val="auto"/>
        </w:rPr>
      </w:pPr>
    </w:p>
    <w:p>
      <w:pPr>
        <w:jc w:val="both"/>
        <w:ind w:left="200" w:right="219" w:firstLine="1953"/>
        <w:spacing w:after="0" w:line="261" w:lineRule="auto"/>
        <w:tabs>
          <w:tab w:leader="none" w:pos="2792"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Shares or other amounts which become issuable or distributable under this Agreement upon Participant’s Separation from Service shall actually be issued or distributed to Participant prior to the </w:t>
      </w:r>
      <w:r>
        <w:rPr>
          <w:rFonts w:ascii="Times New Roman" w:cs="Times New Roman" w:eastAsia="Times New Roman" w:hAnsi="Times New Roman"/>
          <w:sz w:val="21"/>
          <w:szCs w:val="21"/>
          <w:b w:val="1"/>
          <w:bCs w:val="1"/>
          <w:i w:val="1"/>
          <w:iCs w:val="1"/>
          <w:color w:val="auto"/>
        </w:rPr>
        <w:t>earlier</w:t>
      </w:r>
      <w:r>
        <w:rPr>
          <w:rFonts w:ascii="Times New Roman" w:cs="Times New Roman" w:eastAsia="Times New Roman" w:hAnsi="Times New Roman"/>
          <w:sz w:val="21"/>
          <w:szCs w:val="21"/>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2" w:name="page163"/>
    <w:bookmarkEnd w:id="162"/>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Section 409A arrangements of the Corporation subject to Section 409A, and such delayed commencement is otherwise required in order to avoid a prohibited distribution under Section 409A(a)(2) of the Code. The deferred Shares or other distributable amount shall be issued or distributed in a lump sum on or within sixty (60) days after the first (1st) day of the seventh (7th) month following the date of Participant’s Separation from Service or, if earlier, the first day of the month immediately following the date the Corporation receives proof of Participant’s death.</w:t>
      </w:r>
    </w:p>
    <w:p>
      <w:pPr>
        <w:spacing w:after="0" w:line="187" w:lineRule="exact"/>
        <w:rPr>
          <w:sz w:val="20"/>
          <w:szCs w:val="20"/>
          <w:color w:val="auto"/>
        </w:rPr>
      </w:pPr>
    </w:p>
    <w:p>
      <w:pPr>
        <w:jc w:val="both"/>
        <w:ind w:left="200" w:right="219" w:firstLine="1953"/>
        <w:spacing w:after="0" w:line="257" w:lineRule="auto"/>
        <w:tabs>
          <w:tab w:leader="none" w:pos="279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68"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Laws and Regulations</w:t>
      </w:r>
      <w:r>
        <w:rPr>
          <w:rFonts w:ascii="Times New Roman" w:cs="Times New Roman" w:eastAsia="Times New Roman" w:hAnsi="Times New Roman"/>
          <w:sz w:val="22"/>
          <w:szCs w:val="22"/>
          <w:color w:val="auto"/>
        </w:rPr>
        <w:t>. The issuance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color w:val="auto"/>
        </w:rPr>
        <w:t>. 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in the event there is any conflict between the issuance or distribution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of this Agreement and the issuance or distribution provisions of the Change in Control Benefits Agreement, the issuance and distribution provisions of this Agreement shall be controlling.</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required to be given or delivered to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Except to the extent otherwise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75"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200" w:right="219" w:firstLine="1953"/>
        <w:spacing w:after="0" w:line="271" w:lineRule="auto"/>
        <w:tabs>
          <w:tab w:leader="none" w:pos="2792"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Award evidenced hereby are made and granted pursuant to the Plan and are in all respects limited by and subject to the terms of the Plan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3" w:name="page164"/>
    <w:bookmarkEnd w:id="163"/>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73" w:lineRule="exact"/>
        <w:rPr>
          <w:sz w:val="20"/>
          <w:szCs w:val="20"/>
          <w:color w:val="auto"/>
        </w:rPr>
      </w:pPr>
    </w:p>
    <w:p>
      <w:pPr>
        <w:jc w:val="both"/>
        <w:ind w:left="200" w:right="219" w:firstLine="1953"/>
        <w:spacing w:after="0" w:line="250" w:lineRule="auto"/>
        <w:tabs>
          <w:tab w:leader="none" w:pos="2792"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75" w:lineRule="auto"/>
        <w:tabs>
          <w:tab w:leader="none" w:pos="2792"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51" w:lineRule="exact"/>
        <w:rPr>
          <w:rFonts w:ascii="Times New Roman" w:cs="Times New Roman" w:eastAsia="Times New Roman" w:hAnsi="Times New Roman"/>
          <w:sz w:val="21"/>
          <w:szCs w:val="21"/>
          <w:color w:val="auto"/>
        </w:rPr>
      </w:pPr>
    </w:p>
    <w:p>
      <w:pPr>
        <w:jc w:val="both"/>
        <w:ind w:left="200" w:right="219" w:firstLine="1305"/>
        <w:spacing w:after="0" w:line="259" w:lineRule="auto"/>
        <w:tabs>
          <w:tab w:leader="none" w:pos="214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interpretation, performance and enforcement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laws of the State of Hawaii without regard to that State’s conflict-of-laws rules.</w:t>
      </w:r>
    </w:p>
    <w:p>
      <w:pPr>
        <w:spacing w:after="0" w:line="16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p>
    <w:p>
      <w:pPr>
        <w:spacing w:after="0" w:line="223" w:lineRule="exact"/>
        <w:rPr>
          <w:rFonts w:ascii="Times New Roman" w:cs="Times New Roman" w:eastAsia="Times New Roman" w:hAnsi="Times New Roman"/>
          <w:sz w:val="22"/>
          <w:szCs w:val="22"/>
          <w:color w:val="auto"/>
        </w:rPr>
      </w:pPr>
    </w:p>
    <w:p>
      <w:pPr>
        <w:ind w:left="200" w:right="219" w:firstLine="1953"/>
        <w:spacing w:after="0" w:line="244" w:lineRule="auto"/>
        <w:tabs>
          <w:tab w:leader="none" w:pos="2792"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4" w:name="page165"/>
    <w:bookmarkEnd w:id="164"/>
    <w:p>
      <w:pPr>
        <w:ind w:left="200" w:right="219"/>
        <w:spacing w:after="0" w:line="271" w:lineRule="auto"/>
        <w:rPr>
          <w:sz w:val="20"/>
          <w:szCs w:val="20"/>
          <w:color w:val="auto"/>
        </w:rPr>
      </w:pPr>
      <w:r>
        <w:rPr>
          <w:rFonts w:ascii="Times New Roman" w:cs="Times New Roman" w:eastAsia="Times New Roman" w:hAnsi="Times New Roman"/>
          <w:sz w:val="22"/>
          <w:szCs w:val="22"/>
          <w:color w:val="auto"/>
        </w:rPr>
        <w:t>brought in the party’s individual capacity, and not as a plaintiff or class member in any purported class, representative or consolidated proceeding.</w:t>
      </w:r>
    </w:p>
    <w:p>
      <w:pPr>
        <w:spacing w:after="0" w:line="158" w:lineRule="exact"/>
        <w:rPr>
          <w:sz w:val="20"/>
          <w:szCs w:val="20"/>
          <w:color w:val="auto"/>
        </w:rPr>
      </w:pPr>
    </w:p>
    <w:p>
      <w:pPr>
        <w:jc w:val="both"/>
        <w:ind w:left="200" w:right="219" w:firstLine="1953"/>
        <w:spacing w:after="0" w:line="257" w:lineRule="auto"/>
        <w:tabs>
          <w:tab w:leader="none" w:pos="2792"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fully understands and agrees that they are giving up certain rights otherwise afforded to them by civil court actions, including but not limited to the right to a jury trial.</w:t>
      </w:r>
    </w:p>
    <w:p>
      <w:pPr>
        <w:spacing w:after="0" w:line="168"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Coverage under Recoupment Policy</w:t>
      </w:r>
      <w:r>
        <w:rPr>
          <w:rFonts w:ascii="Times New Roman" w:cs="Times New Roman" w:eastAsia="Times New Roman" w:hAnsi="Times New Roman"/>
          <w:sz w:val="22"/>
          <w:szCs w:val="22"/>
          <w:color w:val="auto"/>
        </w:rPr>
        <w:t>. If Participant is on the 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at any time 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 copy of the Recoupment Policy is available upon request made to the Corporate Secretary.</w:t>
      </w:r>
    </w:p>
    <w:p>
      <w:pPr>
        <w:spacing w:after="0" w:line="18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200" w:right="219" w:firstLine="1953"/>
        <w:spacing w:after="0" w:line="252" w:lineRule="auto"/>
        <w:tabs>
          <w:tab w:leader="none" w:pos="2792"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92" w:lineRule="exact"/>
        <w:rPr>
          <w:rFonts w:ascii="Times New Roman" w:cs="Times New Roman" w:eastAsia="Times New Roman" w:hAnsi="Times New Roman"/>
          <w:sz w:val="22"/>
          <w:szCs w:val="22"/>
          <w:color w:val="auto"/>
        </w:rPr>
      </w:pPr>
    </w:p>
    <w:p>
      <w:pPr>
        <w:ind w:left="200" w:right="219" w:firstLine="1953"/>
        <w:spacing w:after="0" w:line="257" w:lineRule="auto"/>
        <w:tabs>
          <w:tab w:leader="none" w:pos="2792"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78" w:lineRule="exact"/>
        <w:rPr>
          <w:rFonts w:ascii="Times New Roman" w:cs="Times New Roman" w:eastAsia="Times New Roman" w:hAnsi="Times New Roman"/>
          <w:sz w:val="21"/>
          <w:szCs w:val="21"/>
          <w:color w:val="auto"/>
        </w:rPr>
      </w:pPr>
    </w:p>
    <w:p>
      <w:pPr>
        <w:jc w:val="both"/>
        <w:ind w:left="200" w:right="219" w:firstLine="1305"/>
        <w:spacing w:after="0" w:line="253" w:lineRule="auto"/>
        <w:tabs>
          <w:tab w:leader="none" w:pos="214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not be altered, modified, or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by 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77" w:lineRule="auto"/>
        <w:tabs>
          <w:tab w:leader="none" w:pos="2144"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Other Agreements Superseded</w:t>
      </w:r>
      <w:r>
        <w:rPr>
          <w:rFonts w:ascii="Times New Roman" w:cs="Times New Roman" w:eastAsia="Times New Roman" w:hAnsi="Times New Roman"/>
          <w:sz w:val="21"/>
          <w:szCs w:val="21"/>
          <w:color w:val="auto"/>
        </w:rPr>
        <w:t>. The Award Notice,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constitute the entire understanding between Participant and the Corporation regarding the Award. Any prior agreements, commitments or negotiations concerning the Award are superseded.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5" w:name="page166"/>
    <w:bookmarkEnd w:id="165"/>
    <w:p>
      <w:pPr>
        <w:jc w:val="both"/>
        <w:ind w:left="200" w:right="219" w:firstLine="1305"/>
        <w:spacing w:after="0" w:line="253" w:lineRule="auto"/>
        <w:tabs>
          <w:tab w:leader="none" w:pos="214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Plan Document</w:t>
      </w:r>
      <w:r>
        <w:rPr>
          <w:rFonts w:ascii="Times New Roman" w:cs="Times New Roman" w:eastAsia="Times New Roman" w:hAnsi="Times New Roman"/>
          <w:sz w:val="22"/>
          <w:szCs w:val="22"/>
          <w:color w:val="auto"/>
        </w:rPr>
        <w:t>. The Award is subject to all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6" w:name="page167"/>
    <w:bookmarkEnd w:id="166"/>
    <w:p>
      <w:pPr>
        <w:ind w:left="384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following definitions shall be in effect under the Agreement:</w:t>
      </w:r>
    </w:p>
    <w:p>
      <w:pPr>
        <w:spacing w:after="0" w:line="216" w:lineRule="exact"/>
        <w:rPr>
          <w:sz w:val="20"/>
          <w:szCs w:val="20"/>
          <w:color w:val="auto"/>
        </w:rPr>
      </w:pPr>
    </w:p>
    <w:p>
      <w:pPr>
        <w:ind w:left="2160" w:hanging="655"/>
        <w:spacing w:after="0"/>
        <w:tabs>
          <w:tab w:leader="none" w:pos="21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this Restricted Stock Unit Award Agreement.</w:t>
      </w:r>
    </w:p>
    <w:p>
      <w:pPr>
        <w:spacing w:after="0" w:line="219" w:lineRule="exact"/>
        <w:rPr>
          <w:rFonts w:ascii="Times New Roman" w:cs="Times New Roman" w:eastAsia="Times New Roman" w:hAnsi="Times New Roman"/>
          <w:sz w:val="22"/>
          <w:szCs w:val="22"/>
          <w:color w:val="auto"/>
        </w:rPr>
      </w:pPr>
    </w:p>
    <w:p>
      <w:pPr>
        <w:ind w:left="200" w:right="239" w:firstLine="1305"/>
        <w:spacing w:after="0" w:line="275"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award of restricted stock units made to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this Agreement.</w:t>
      </w:r>
    </w:p>
    <w:p>
      <w:pPr>
        <w:spacing w:after="0" w:line="149"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date the restricted stock units are awarded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pursuant to the Agreement and shall be the date specified in the Award Notice.</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Notice of Award of Time-Based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Units delivered to Participant in which there is set forth the basic terms of the restricted stock units subject to this Agreement, including (without limitation) the applicable vesting schedule for those RSUs.</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62" w:lineRule="auto"/>
        <w:tabs>
          <w:tab w:leader="none" w:pos="2144"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have the meaning set forth in the Plan document;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however, 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65" w:lineRule="exact"/>
        <w:rPr>
          <w:rFonts w:ascii="Times New Roman" w:cs="Times New Roman" w:eastAsia="Times New Roman" w:hAnsi="Times New Roman"/>
          <w:sz w:val="21"/>
          <w:szCs w:val="21"/>
          <w:color w:val="auto"/>
        </w:rPr>
      </w:pPr>
    </w:p>
    <w:p>
      <w:pPr>
        <w:jc w:val="both"/>
        <w:ind w:left="200" w:right="219" w:firstLine="1305"/>
        <w:spacing w:after="0" w:line="253"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however, that in the event Participant is a party to a Change in Control Benefits Agreement applicable to the Award, the term Change in Control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separate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9"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Early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retirement from Service,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prior approval of the Corporation (or the Parent or Subsidiary employing Participant), on or after the attainment of age fifty-five (55) and the completion of at least five (5) years of Service.</w:t>
      </w:r>
    </w:p>
    <w:p>
      <w:pPr>
        <w:spacing w:after="0" w:line="166"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in the event Participant is at the time of his or her cessation of Employee status a party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7" w:name="page168"/>
    <w:bookmarkEnd w:id="167"/>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 xml:space="preserve">to a Change in Control Benefits Agreement applicable to the Award evidenced by this Agreement, the term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xml:space="preserve"> shall have the meaning ascribed to that term in such Change in Control Benefits Agreement.</w:t>
      </w:r>
    </w:p>
    <w:p>
      <w:pPr>
        <w:spacing w:after="0" w:line="169" w:lineRule="exact"/>
        <w:rPr>
          <w:sz w:val="20"/>
          <w:szCs w:val="20"/>
          <w:color w:val="auto"/>
        </w:rPr>
      </w:pPr>
    </w:p>
    <w:p>
      <w:pPr>
        <w:ind w:left="200" w:right="219" w:firstLine="1305"/>
        <w:spacing w:after="0" w:line="275" w:lineRule="auto"/>
        <w:tabs>
          <w:tab w:leader="none" w:pos="21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Normal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cessation of Service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or after the attainment of age sixty-five (65).</w:t>
      </w:r>
    </w:p>
    <w:p>
      <w:pPr>
        <w:spacing w:after="0" w:line="14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person to whom the Award is made pursuant to</w:t>
      </w:r>
    </w:p>
    <w:p>
      <w:pPr>
        <w:spacing w:after="0" w:line="3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w:t>
      </w:r>
    </w:p>
    <w:p>
      <w:pPr>
        <w:spacing w:after="0" w:line="191" w:lineRule="exact"/>
        <w:rPr>
          <w:rFonts w:ascii="Times New Roman" w:cs="Times New Roman" w:eastAsia="Times New Roman" w:hAnsi="Times New Roman"/>
          <w:sz w:val="22"/>
          <w:szCs w:val="22"/>
          <w:color w:val="auto"/>
        </w:rPr>
      </w:pPr>
    </w:p>
    <w:p>
      <w:pPr>
        <w:ind w:left="200" w:right="219" w:firstLine="1305"/>
        <w:spacing w:after="0" w:line="275" w:lineRule="auto"/>
        <w:tabs>
          <w:tab w:leader="none" w:pos="21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2016 Incentive Compensation Plan,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from time to time.</w:t>
      </w:r>
    </w:p>
    <w:p>
      <w:pPr>
        <w:spacing w:after="0" w:line="149"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Qualifying Change in Control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date on which there occurs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in Control that also qualifies as: (i) a change in the ownership of the Corporation, as determined in accordance with Section 1.409A-3(i)(5)(v) of the Treasury Regulations, (ii) a change in the effective control of the Corporation, as determined in accordance with Section 1.409A-3(i)</w:t>
      </w:r>
    </w:p>
    <w:p>
      <w:pPr>
        <w:spacing w:after="0" w:line="3" w:lineRule="exact"/>
        <w:rPr>
          <w:rFonts w:ascii="Times New Roman" w:cs="Times New Roman" w:eastAsia="Times New Roman" w:hAnsi="Times New Roman"/>
          <w:sz w:val="21"/>
          <w:szCs w:val="21"/>
          <w:color w:val="auto"/>
        </w:rPr>
      </w:pPr>
    </w:p>
    <w:p>
      <w:pPr>
        <w:jc w:val="both"/>
        <w:ind w:left="200" w:right="219"/>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(5)(vi) of the Treasury Regulations, or (iii) a change in the ownership of a substantial portion of the assets of the Corporation, as determined in accordance with Section 1.409A-3(i)(5)(vii) of the Treasury Regulations.</w:t>
      </w:r>
    </w:p>
    <w:p>
      <w:pPr>
        <w:spacing w:after="0" w:line="196"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Participant’s cessation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200" w:lineRule="exact"/>
        <w:rPr>
          <w:rFonts w:ascii="Times New Roman" w:cs="Times New Roman" w:eastAsia="Times New Roman" w:hAnsi="Times New Roman"/>
          <w:sz w:val="22"/>
          <w:szCs w:val="22"/>
          <w:color w:val="auto"/>
        </w:rPr>
      </w:pPr>
    </w:p>
    <w:p>
      <w:pPr>
        <w:ind w:left="200" w:right="219" w:firstLine="1305"/>
        <w:spacing w:after="0" w:line="299" w:lineRule="auto"/>
        <w:tabs>
          <w:tab w:leader="none" w:pos="2144"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Service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Participant’s performance of services for the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any Parent or Subsidiary) in the capacity of an Employee, a non-employee member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8" w:name="page169"/>
    <w:bookmarkEnd w:id="168"/>
    <w:p>
      <w:pPr>
        <w:ind w:left="200" w:right="219"/>
        <w:spacing w:after="0" w:line="271" w:lineRule="auto"/>
        <w:rPr>
          <w:sz w:val="20"/>
          <w:szCs w:val="20"/>
          <w:color w:val="auto"/>
        </w:rPr>
      </w:pPr>
      <w:r>
        <w:rPr>
          <w:rFonts w:ascii="Times New Roman" w:cs="Times New Roman" w:eastAsia="Times New Roman" w:hAnsi="Times New Roman"/>
          <w:sz w:val="22"/>
          <w:szCs w:val="22"/>
          <w:color w:val="auto"/>
        </w:rPr>
        <w:t>of the board of directors or a consultant or independent advisor. In addition, the following provisions shall govern the determination of Participant’s period of Service:</w:t>
      </w:r>
    </w:p>
    <w:p>
      <w:pPr>
        <w:spacing w:after="0" w:line="158" w:lineRule="exact"/>
        <w:rPr>
          <w:sz w:val="20"/>
          <w:szCs w:val="20"/>
          <w:color w:val="auto"/>
        </w:rPr>
      </w:pPr>
    </w:p>
    <w:p>
      <w:pPr>
        <w:jc w:val="both"/>
        <w:ind w:left="860" w:right="879" w:firstLine="1293"/>
        <w:spacing w:after="0" w:line="252" w:lineRule="auto"/>
        <w:tabs>
          <w:tab w:leader="none" w:pos="280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79" w:lineRule="exact"/>
        <w:rPr>
          <w:rFonts w:ascii="Times New Roman" w:cs="Times New Roman" w:eastAsia="Times New Roman" w:hAnsi="Times New Roman"/>
          <w:sz w:val="22"/>
          <w:szCs w:val="22"/>
          <w:color w:val="auto"/>
        </w:rPr>
      </w:pPr>
    </w:p>
    <w:p>
      <w:pPr>
        <w:jc w:val="both"/>
        <w:ind w:left="860" w:right="859" w:firstLine="1293"/>
        <w:spacing w:after="0" w:line="248" w:lineRule="auto"/>
        <w:tabs>
          <w:tab w:leader="none" w:pos="280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186" w:lineRule="exact"/>
        <w:rPr>
          <w:rFonts w:ascii="Times New Roman" w:cs="Times New Roman" w:eastAsia="Times New Roman" w:hAnsi="Times New Roman"/>
          <w:sz w:val="22"/>
          <w:szCs w:val="22"/>
          <w:color w:val="auto"/>
        </w:rPr>
      </w:pPr>
    </w:p>
    <w:p>
      <w:pPr>
        <w:jc w:val="both"/>
        <w:ind w:left="860" w:right="879" w:firstLine="1293"/>
        <w:spacing w:after="0" w:line="268" w:lineRule="auto"/>
        <w:tabs>
          <w:tab w:leader="none" w:pos="2804"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176" w:lineRule="exact"/>
        <w:rPr>
          <w:rFonts w:ascii="Times New Roman" w:cs="Times New Roman" w:eastAsia="Times New Roman" w:hAnsi="Times New Roman"/>
          <w:sz w:val="21"/>
          <w:szCs w:val="21"/>
          <w:color w:val="auto"/>
        </w:rPr>
      </w:pPr>
    </w:p>
    <w:p>
      <w:pPr>
        <w:jc w:val="both"/>
        <w:ind w:left="860" w:right="859" w:firstLine="1941"/>
        <w:spacing w:after="0" w:line="262" w:lineRule="auto"/>
        <w:tabs>
          <w:tab w:leader="none" w:pos="3452"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the period of such leave (other than a disability leave) exceed six (6) months, then Participant shall be deemed to cease Service and to incur a Separation from Service upon the expiration of the initial six</w:t>
      </w:r>
    </w:p>
    <w:p>
      <w:pPr>
        <w:spacing w:after="0" w:line="2" w:lineRule="exact"/>
        <w:rPr>
          <w:rFonts w:ascii="Times New Roman" w:cs="Times New Roman" w:eastAsia="Times New Roman" w:hAnsi="Times New Roman"/>
          <w:sz w:val="21"/>
          <w:szCs w:val="21"/>
          <w:color w:val="auto"/>
        </w:rPr>
      </w:pPr>
    </w:p>
    <w:p>
      <w:pPr>
        <w:jc w:val="both"/>
        <w:ind w:left="860" w:right="859"/>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(6)-month period of that leave, unless Participant retains a right to re-employment under applicable law or by contract with the Corporation (or any Parent or Subsidiary).</w:t>
      </w:r>
    </w:p>
    <w:p>
      <w:pPr>
        <w:spacing w:after="0" w:line="186" w:lineRule="exact"/>
        <w:rPr>
          <w:rFonts w:ascii="Times New Roman" w:cs="Times New Roman" w:eastAsia="Times New Roman" w:hAnsi="Times New Roman"/>
          <w:sz w:val="21"/>
          <w:szCs w:val="21"/>
          <w:color w:val="auto"/>
        </w:rPr>
      </w:pPr>
    </w:p>
    <w:p>
      <w:pPr>
        <w:ind w:left="860" w:right="859" w:firstLine="1941"/>
        <w:spacing w:after="0" w:line="246" w:lineRule="auto"/>
        <w:tabs>
          <w:tab w:leader="none" w:pos="3452"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85" w:lineRule="exact"/>
        <w:rPr>
          <w:rFonts w:ascii="Times New Roman" w:cs="Times New Roman" w:eastAsia="Times New Roman" w:hAnsi="Times New Roman"/>
          <w:sz w:val="22"/>
          <w:szCs w:val="22"/>
          <w:color w:val="auto"/>
        </w:rPr>
      </w:pPr>
    </w:p>
    <w:p>
      <w:pPr>
        <w:jc w:val="both"/>
        <w:ind w:left="860" w:right="879" w:firstLine="1941"/>
        <w:spacing w:after="0" w:line="252" w:lineRule="auto"/>
        <w:tabs>
          <w:tab w:leader="none" w:pos="3452"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79" w:lineRule="exact"/>
        <w:rPr>
          <w:rFonts w:ascii="Times New Roman" w:cs="Times New Roman" w:eastAsia="Times New Roman" w:hAnsi="Times New Roman"/>
          <w:sz w:val="22"/>
          <w:szCs w:val="22"/>
          <w:color w:val="auto"/>
        </w:rPr>
      </w:pPr>
    </w:p>
    <w:p>
      <w:pPr>
        <w:ind w:left="860" w:right="879" w:firstLine="1293"/>
        <w:spacing w:after="0" w:line="271" w:lineRule="auto"/>
        <w:tabs>
          <w:tab w:leader="none" w:pos="280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foregoing provisions of this Service definition, the Participant shall in all events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9" w:name="page170"/>
    <w:bookmarkEnd w:id="169"/>
    <w:p>
      <w:pPr>
        <w:ind w:left="860" w:right="879"/>
        <w:spacing w:after="0" w:line="271" w:lineRule="auto"/>
        <w:rPr>
          <w:sz w:val="20"/>
          <w:szCs w:val="20"/>
          <w:color w:val="auto"/>
        </w:rPr>
      </w:pPr>
      <w:r>
        <w:rPr>
          <w:rFonts w:ascii="Times New Roman" w:cs="Times New Roman" w:eastAsia="Times New Roman" w:hAnsi="Times New Roman"/>
          <w:sz w:val="22"/>
          <w:szCs w:val="22"/>
          <w:color w:val="auto"/>
        </w:rPr>
        <w:t>to cease Service for all purposes of this Award immediately upon Participant’s incurrence of a Separation from Service.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0" w:name="page171"/>
    <w:bookmarkEnd w:id="170"/>
    <w:p>
      <w:pPr>
        <w:jc w:val="right"/>
        <w:ind w:right="79"/>
        <w:spacing w:after="0"/>
        <w:rPr>
          <w:sz w:val="20"/>
          <w:szCs w:val="20"/>
          <w:color w:val="auto"/>
        </w:rPr>
      </w:pPr>
      <w:r>
        <w:rPr>
          <w:rFonts w:ascii="Times New Roman" w:cs="Times New Roman" w:eastAsia="Times New Roman" w:hAnsi="Times New Roman"/>
          <w:sz w:val="22"/>
          <w:szCs w:val="22"/>
          <w:b w:val="1"/>
          <w:bCs w:val="1"/>
          <w:color w:val="auto"/>
        </w:rPr>
        <w:t>Exhibit 10.49</w:t>
      </w:r>
    </w:p>
    <w:p>
      <w:pPr>
        <w:spacing w:after="0" w:line="1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i w:val="1"/>
          <w:iCs w:val="1"/>
          <w:color w:val="auto"/>
        </w:rPr>
        <w:t>Time Based Restricted Stock Unit Package - Standard</w:t>
      </w:r>
    </w:p>
    <w:p>
      <w:pPr>
        <w:spacing w:after="0" w:line="18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AWARD OF TIME-BASED RESTRICTED STOCK UNITS</w:t>
      </w:r>
    </w:p>
    <w:p>
      <w:pPr>
        <w:spacing w:after="0" w:line="128" w:lineRule="exact"/>
        <w:rPr>
          <w:sz w:val="20"/>
          <w:szCs w:val="20"/>
          <w:color w:val="auto"/>
        </w:rPr>
      </w:pPr>
    </w:p>
    <w:p>
      <w:pPr>
        <w:jc w:val="both"/>
        <w:ind w:left="80" w:right="99"/>
        <w:spacing w:after="0" w:line="246" w:lineRule="auto"/>
        <w:rPr>
          <w:sz w:val="20"/>
          <w:szCs w:val="20"/>
          <w:color w:val="auto"/>
        </w:rPr>
      </w:pPr>
      <w:r>
        <w:rPr>
          <w:rFonts w:ascii="Times New Roman" w:cs="Times New Roman" w:eastAsia="Times New Roman" w:hAnsi="Times New Roman"/>
          <w:sz w:val="22"/>
          <w:szCs w:val="22"/>
          <w:color w:val="auto"/>
        </w:rPr>
        <w:t>The Corporation hereby awards to Participant, as of the Award Date indicated below, an award (the “Award”) of restricted stock units under the Corporation’s 2016 Incentive Compensation Plan (as amended from time to time, the “Plan”). Each restricted stock unit represents the right to receive one share of Common Stock on the applicable issuance date following the vesting of that unit. The number of shares of Common Stock subject to the awarded restricted stock units (the “RSUs”) and the applicable vesting schedule for those RSUs and the underlying shares of Common Stock are set forth below. The remaining terms and conditions governing the Award, including the issuance date or dates for the shares of Common Stock that vest under the Award, shall be as set forth in the form Time-Based Restricted Stock Unit Award Agreement for service-vesting Awards.</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286"/>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AWARD SUMMARY</w:t>
            </w:r>
          </w:p>
        </w:tc>
      </w:tr>
      <w:tr>
        <w:trPr>
          <w:trHeight w:val="393"/>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Participant</w:t>
            </w:r>
          </w:p>
        </w:tc>
        <w:tc>
          <w:tcPr>
            <w:tcW w:w="10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880" w:type="dxa"/>
            <w:vAlign w:val="bottom"/>
          </w:tcPr>
          <w:p>
            <w:pPr>
              <w:spacing w:after="0"/>
              <w:rPr>
                <w:sz w:val="24"/>
                <w:szCs w:val="24"/>
                <w:color w:val="auto"/>
              </w:rPr>
            </w:pPr>
          </w:p>
        </w:tc>
      </w:tr>
      <w:tr>
        <w:trPr>
          <w:trHeight w:val="372"/>
        </w:trPr>
        <w:tc>
          <w:tcPr>
            <w:tcW w:w="19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Award Date:</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385"/>
        </w:trPr>
        <w:tc>
          <w:tcPr>
            <w:tcW w:w="19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0"/>
        </w:trPr>
        <w:tc>
          <w:tcPr>
            <w:tcW w:w="156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37"/>
        </w:trPr>
        <w:tc>
          <w:tcPr>
            <w:tcW w:w="1800" w:type="dxa"/>
            <w:vAlign w:val="bottom"/>
            <w:tcBorders>
              <w:bottom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w w:val="97"/>
              </w:rPr>
              <w:t>Subject to Restricted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236"/>
        </w:trPr>
        <w:tc>
          <w:tcPr>
            <w:tcW w:w="194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rPr>
              <w:t>Stock Unit Award: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0" w:type="dxa"/>
            <w:vAlign w:val="bottom"/>
            <w:gridSpan w:val="3"/>
          </w:tcPr>
          <w:p>
            <w:pPr>
              <w:ind w:left="40"/>
              <w:spacing w:after="0" w:line="237" w:lineRule="exact"/>
              <w:rPr>
                <w:sz w:val="20"/>
                <w:szCs w:val="20"/>
                <w:color w:val="auto"/>
              </w:rPr>
            </w:pPr>
            <w:r>
              <w:rPr>
                <w:rFonts w:ascii="Times New Roman" w:cs="Times New Roman" w:eastAsia="Times New Roman" w:hAnsi="Times New Roman"/>
                <w:sz w:val="22"/>
                <w:szCs w:val="22"/>
                <w:color w:val="auto"/>
              </w:rPr>
              <w:t>shares of Common Stock (the “Shares”)</w:t>
            </w:r>
          </w:p>
        </w:tc>
      </w:tr>
      <w:tr>
        <w:trPr>
          <w:trHeight w:val="20"/>
        </w:trPr>
        <w:tc>
          <w:tcPr>
            <w:tcW w:w="1560" w:type="dxa"/>
            <w:vAlign w:val="bottom"/>
            <w:gridSpan w:val="3"/>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r>
      <w:tr>
        <w:trPr>
          <w:trHeight w:val="372"/>
        </w:trPr>
        <w:tc>
          <w:tcPr>
            <w:tcW w:w="15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4"/>
              </w:rPr>
              <w:t>Vesting Schedule:</w:t>
            </w:r>
          </w:p>
        </w:tc>
        <w:tc>
          <w:tcPr>
            <w:tcW w:w="380" w:type="dxa"/>
            <w:vAlign w:val="bottom"/>
            <w:gridSpan w:val="2"/>
          </w:tcPr>
          <w:p>
            <w:pPr>
              <w:spacing w:after="0"/>
              <w:rPr>
                <w:sz w:val="24"/>
                <w:szCs w:val="24"/>
                <w:color w:val="auto"/>
              </w:rPr>
            </w:pPr>
          </w:p>
        </w:tc>
        <w:tc>
          <w:tcPr>
            <w:tcW w:w="690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w w:val="98"/>
              </w:rPr>
              <w:t>The Shares underlying the Award shall vest in a series of three (3) successive</w:t>
            </w:r>
          </w:p>
        </w:tc>
      </w:tr>
      <w:tr>
        <w:trPr>
          <w:trHeight w:val="263"/>
        </w:trPr>
        <w:tc>
          <w:tcPr>
            <w:tcW w:w="9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90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equal annual installments upon Participant’s completion of each successive</w:t>
            </w:r>
          </w:p>
        </w:tc>
      </w:tr>
      <w:tr>
        <w:trPr>
          <w:trHeight w:val="257"/>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90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w w:val="98"/>
              </w:rPr>
              <w:t>year of Service over the three (3)-year period measured from the Award Date.</w:t>
            </w:r>
          </w:p>
        </w:tc>
      </w:tr>
      <w:tr>
        <w:trPr>
          <w:trHeight w:val="256"/>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90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Each such installment vesting date is hereby designated a “Vesting and</w:t>
            </w:r>
          </w:p>
        </w:tc>
      </w:tr>
      <w:tr>
        <w:trPr>
          <w:trHeight w:val="257"/>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90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Issuance Date.” However, one or more Shares may be subject to accelerated</w:t>
            </w:r>
          </w:p>
        </w:tc>
      </w:tr>
      <w:tr>
        <w:trPr>
          <w:trHeight w:val="256"/>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90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vesting in accordance with the provisions of Paragraph 3 or Paragraph 5 of</w:t>
            </w:r>
          </w:p>
        </w:tc>
      </w:tr>
      <w:tr>
        <w:trPr>
          <w:trHeight w:val="257"/>
        </w:trPr>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90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w w:val="97"/>
              </w:rPr>
              <w:t>the form Time-Based Restricted Stock Unit Award Agreement attached hereto</w:t>
            </w:r>
          </w:p>
        </w:tc>
      </w:tr>
      <w:tr>
        <w:trPr>
          <w:trHeight w:val="230"/>
        </w:trPr>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00" w:type="dxa"/>
            <w:vAlign w:val="bottom"/>
            <w:gridSpan w:val="6"/>
          </w:tcPr>
          <w:p>
            <w:pPr>
              <w:ind w:left="140"/>
              <w:spacing w:after="0" w:line="230" w:lineRule="exact"/>
              <w:rPr>
                <w:sz w:val="20"/>
                <w:szCs w:val="20"/>
                <w:color w:val="auto"/>
              </w:rPr>
            </w:pPr>
            <w:r>
              <w:rPr>
                <w:rFonts w:ascii="Times New Roman" w:cs="Times New Roman" w:eastAsia="Times New Roman" w:hAnsi="Times New Roman"/>
                <w:sz w:val="22"/>
                <w:szCs w:val="22"/>
                <w:color w:val="auto"/>
              </w:rPr>
              <w:t>as Exhibit A (the “Award Agreement”).</w:t>
            </w: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80" w:right="99"/>
        <w:spacing w:after="0" w:line="248" w:lineRule="auto"/>
        <w:rPr>
          <w:sz w:val="20"/>
          <w:szCs w:val="20"/>
          <w:color w:val="auto"/>
        </w:rPr>
      </w:pPr>
      <w:r>
        <w:rPr>
          <w:rFonts w:ascii="Times New Roman" w:cs="Times New Roman" w:eastAsia="Times New Roman" w:hAnsi="Times New Roman"/>
          <w:sz w:val="22"/>
          <w:szCs w:val="22"/>
          <w:color w:val="auto"/>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at the Corporation’s offices at 555 12th Street, Oakland, California 94607.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Coverage under Recoupment Policy</w:t>
      </w:r>
      <w:r>
        <w:rPr>
          <w:rFonts w:ascii="Times New Roman" w:cs="Times New Roman" w:eastAsia="Times New Roman" w:hAnsi="Times New Roman"/>
          <w:sz w:val="22"/>
          <w:szCs w:val="22"/>
          <w:color w:val="auto"/>
        </w:rPr>
        <w:t>. Participant hereby agrees that:</w:t>
      </w:r>
    </w:p>
    <w:p>
      <w:pPr>
        <w:spacing w:after="0" w:line="152" w:lineRule="exact"/>
        <w:rPr>
          <w:sz w:val="20"/>
          <w:szCs w:val="20"/>
          <w:color w:val="auto"/>
        </w:rPr>
      </w:pPr>
    </w:p>
    <w:p>
      <w:pPr>
        <w:jc w:val="both"/>
        <w:ind w:left="80" w:right="99" w:firstLine="1293"/>
        <w:spacing w:after="0" w:line="257" w:lineRule="auto"/>
        <w:tabs>
          <w:tab w:leader="none" w:pos="202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may be subject to the Matson, Inc. Policy Regarding Recoupment of Certain Compensation, as applicable, and as it may be amended from time to time, the terms of which are hereby incorporated herein by reference; and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1" w:name="page172"/>
    <w:bookmarkEnd w:id="171"/>
    <w:p>
      <w:pPr>
        <w:jc w:val="both"/>
        <w:ind w:left="80" w:right="99" w:firstLine="1293"/>
        <w:spacing w:after="0" w:line="257" w:lineRule="auto"/>
        <w:tabs>
          <w:tab w:leader="none" w:pos="202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incentive compensation that is paid or granted to, or received by, Participant under the Award shall be subject to recovery and recoupment pursuant to the terms of such policy.</w:t>
      </w:r>
    </w:p>
    <w:p>
      <w:pPr>
        <w:spacing w:after="0" w:line="1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 copy of the recoupment policy is available upon request made to the Corporate Secretary.</w:t>
      </w:r>
    </w:p>
    <w:p>
      <w:pPr>
        <w:spacing w:after="0" w:line="220" w:lineRule="exact"/>
        <w:rPr>
          <w:sz w:val="20"/>
          <w:szCs w:val="20"/>
          <w:color w:val="auto"/>
        </w:rPr>
      </w:pPr>
    </w:p>
    <w:p>
      <w:pPr>
        <w:jc w:val="both"/>
        <w:ind w:left="80" w:right="99"/>
        <w:spacing w:after="0" w:line="258" w:lineRule="auto"/>
        <w:rPr>
          <w:sz w:val="20"/>
          <w:szCs w:val="20"/>
          <w:color w:val="auto"/>
        </w:rPr>
      </w:pPr>
      <w:r>
        <w:rPr>
          <w:rFonts w:ascii="Times New Roman" w:cs="Times New Roman" w:eastAsia="Times New Roman" w:hAnsi="Times New Roman"/>
          <w:sz w:val="21"/>
          <w:szCs w:val="21"/>
          <w:u w:val="single" w:color="auto"/>
          <w:color w:val="auto"/>
        </w:rPr>
        <w:t>Continuing Consent</w:t>
      </w:r>
      <w:r>
        <w:rPr>
          <w:rFonts w:ascii="Times New Roman" w:cs="Times New Roman" w:eastAsia="Times New Roman" w:hAnsi="Times New Roman"/>
          <w:sz w:val="21"/>
          <w:szCs w:val="21"/>
          <w:color w:val="auto"/>
        </w:rPr>
        <w:t>. Participant further acknowledges and agrees that, except to the extent the Plan Administrator notifies Participant in writing to the contrary, each subsequent award of service-vesting restricted stock units made to him or her under the Plan shall be subject to the same terms and conditions set forth in the Award Agreement, and Participant hereby understands and agrees to those terms and conditions for each such subsequent service-vesting restricted stock unit award that may be made to him or her under the Plan and hereby agrees to be bound by those terms and conditions for any such restricted stock unit awards, without any further consent or action required on his or her part at the time or times when those awards may be made. However, Participant may, at any time he or she holds an outstanding service-vesting restricted stock unit award under the Plan, request a written copy of the Award Agreement from the Corporation by contacting the Corporation’s Human Resources Department at the Corporation’s offices at 555 12th Street, Oakland, California 94607.</w:t>
      </w:r>
    </w:p>
    <w:p>
      <w:pPr>
        <w:spacing w:after="0" w:line="182" w:lineRule="exact"/>
        <w:rPr>
          <w:sz w:val="20"/>
          <w:szCs w:val="20"/>
          <w:color w:val="auto"/>
        </w:rPr>
      </w:pPr>
    </w:p>
    <w:p>
      <w:pPr>
        <w:jc w:val="both"/>
        <w:ind w:left="80" w:right="79"/>
        <w:spacing w:after="0" w:line="251" w:lineRule="auto"/>
        <w:rPr>
          <w:sz w:val="20"/>
          <w:szCs w:val="20"/>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181" w:lineRule="exact"/>
        <w:rPr>
          <w:sz w:val="20"/>
          <w:szCs w:val="20"/>
          <w:color w:val="auto"/>
        </w:rPr>
      </w:pPr>
    </w:p>
    <w:p>
      <w:pPr>
        <w:jc w:val="both"/>
        <w:ind w:left="80" w:right="79"/>
        <w:spacing w:after="0" w:line="271" w:lineRule="auto"/>
        <w:rPr>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capitalized terms in this Notice shall have the meaning assigned to them in this Notice or in the Award Agreement.</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-13970</wp:posOffset>
            </wp:positionV>
            <wp:extent cx="8915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29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19685</wp:posOffset>
            </wp:positionV>
            <wp:extent cx="25203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8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19685</wp:posOffset>
            </wp:positionV>
            <wp:extent cx="25203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-157480</wp:posOffset>
            </wp:positionV>
            <wp:extent cx="25203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MATSON, INC.</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TIME-BASED RESTRICTED STOCK UNIT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AWARD AGREEMENT</w:t>
      </w: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78" w:lineRule="exact"/>
        <w:rPr>
          <w:sz w:val="20"/>
          <w:szCs w:val="20"/>
          <w:color w:val="auto"/>
        </w:rPr>
      </w:pPr>
    </w:p>
    <w:p>
      <w:pPr>
        <w:jc w:val="both"/>
        <w:ind w:left="80" w:right="99" w:firstLine="1293"/>
        <w:spacing w:after="0" w:line="248" w:lineRule="auto"/>
        <w:tabs>
          <w:tab w:leader="none" w:pos="202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86" w:lineRule="exact"/>
        <w:rPr>
          <w:rFonts w:ascii="Times New Roman" w:cs="Times New Roman" w:eastAsia="Times New Roman" w:hAnsi="Times New Roman"/>
          <w:sz w:val="22"/>
          <w:szCs w:val="22"/>
          <w:color w:val="auto"/>
        </w:rPr>
      </w:pPr>
    </w:p>
    <w:p>
      <w:pPr>
        <w:jc w:val="both"/>
        <w:ind w:left="80" w:right="99" w:firstLine="1293"/>
        <w:spacing w:after="0" w:line="252" w:lineRule="auto"/>
        <w:tabs>
          <w:tab w:leader="none" w:pos="202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79" w:lineRule="exact"/>
        <w:rPr>
          <w:rFonts w:ascii="Times New Roman" w:cs="Times New Roman" w:eastAsia="Times New Roman" w:hAnsi="Times New Roman"/>
          <w:sz w:val="22"/>
          <w:szCs w:val="22"/>
          <w:color w:val="auto"/>
        </w:rPr>
      </w:pPr>
    </w:p>
    <w:p>
      <w:pPr>
        <w:ind w:left="80" w:right="99" w:firstLine="1293"/>
        <w:spacing w:after="0" w:line="271" w:lineRule="auto"/>
        <w:tabs>
          <w:tab w:leader="none" w:pos="202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capitalized terms in this Agreement shall have the meaning assigned to them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or if not defined in that appendix, as defined in the Plan.</w:t>
      </w:r>
    </w:p>
    <w:p>
      <w:pPr>
        <w:spacing w:after="0" w:line="1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it is hereby agreed as follows:</w:t>
      </w:r>
    </w:p>
    <w:p>
      <w:pPr>
        <w:spacing w:after="0" w:line="220" w:lineRule="exact"/>
        <w:rPr>
          <w:sz w:val="20"/>
          <w:szCs w:val="20"/>
          <w:color w:val="auto"/>
        </w:rPr>
      </w:pPr>
    </w:p>
    <w:p>
      <w:pPr>
        <w:jc w:val="both"/>
        <w:ind w:left="80" w:right="99" w:firstLine="1293"/>
        <w:spacing w:after="0" w:line="258" w:lineRule="auto"/>
        <w:tabs>
          <w:tab w:leader="none" w:pos="202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color w:val="auto"/>
        </w:rPr>
        <w:t>. The Corporation hereby awards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as of the Award Date, restricted stock units under the Plan. The number of RSUs and the applicable service vesting requirements for those RSUs are set forth in the Award Notice. The remaining terms and conditions governing the Award shall be as set forth in this Agreement.</w:t>
      </w:r>
    </w:p>
    <w:p>
      <w:pPr>
        <w:spacing w:after="0" w:line="167" w:lineRule="exact"/>
        <w:rPr>
          <w:rFonts w:ascii="Times New Roman" w:cs="Times New Roman" w:eastAsia="Times New Roman" w:hAnsi="Times New Roman"/>
          <w:sz w:val="22"/>
          <w:szCs w:val="22"/>
          <w:color w:val="auto"/>
        </w:rPr>
      </w:pPr>
    </w:p>
    <w:p>
      <w:pPr>
        <w:jc w:val="both"/>
        <w:ind w:left="80" w:right="99" w:firstLine="1293"/>
        <w:spacing w:after="0" w:line="246" w:lineRule="auto"/>
        <w:tabs>
          <w:tab w:leader="none" w:pos="202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Transferability</w:t>
      </w:r>
      <w:r>
        <w:rPr>
          <w:rFonts w:ascii="Times New Roman" w:cs="Times New Roman" w:eastAsia="Times New Roman" w:hAnsi="Times New Roman"/>
          <w:sz w:val="22"/>
          <w:szCs w:val="22"/>
          <w:color w:val="auto"/>
        </w:rPr>
        <w:t>. Prior to the actual issuance of the Shares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or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9">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3" w:name="page174"/>
    <w:bookmarkEnd w:id="173"/>
    <w:p>
      <w:pPr>
        <w:ind w:left="2020" w:hanging="647"/>
        <w:spacing w:after="0"/>
        <w:tabs>
          <w:tab w:leader="none" w:pos="202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Cessation of Service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80" w:right="99" w:firstLine="1941"/>
        <w:spacing w:after="0" w:line="252" w:lineRule="auto"/>
        <w:tabs>
          <w:tab w:leader="none" w:pos="2672"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provided in this Paragraph 3 or Paragraph 5 below, should Participant cease Service for any reason prior to vesting in one or more RSUs, then any unvested RSUs shall be automatically cancelled. Participant shall thereupon cease to have any right or entitlement to receive any Shares under those cancelled RSUs.</w:t>
      </w:r>
    </w:p>
    <w:p>
      <w:pPr>
        <w:spacing w:after="0" w:line="179" w:lineRule="exact"/>
        <w:rPr>
          <w:rFonts w:ascii="Times New Roman" w:cs="Times New Roman" w:eastAsia="Times New Roman" w:hAnsi="Times New Roman"/>
          <w:sz w:val="22"/>
          <w:szCs w:val="22"/>
          <w:color w:val="auto"/>
        </w:rPr>
      </w:pPr>
    </w:p>
    <w:p>
      <w:pPr>
        <w:jc w:val="both"/>
        <w:ind w:left="80" w:right="99" w:firstLine="1941"/>
        <w:spacing w:after="0" w:line="252" w:lineRule="auto"/>
        <w:tabs>
          <w:tab w:leader="none" w:pos="2672"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Participant’s Service terminate by reason of his or her death or Permanent Disability prior to vesting in one or more RSUs, then the RSUs shall vest in full upon Participant’s termination of Service. The Shares subject to those vested RSUs shall be issued in accordance with the applicable provisions of Paragraph 7.</w:t>
      </w:r>
    </w:p>
    <w:p>
      <w:pPr>
        <w:spacing w:after="0" w:line="179" w:lineRule="exact"/>
        <w:rPr>
          <w:rFonts w:ascii="Times New Roman" w:cs="Times New Roman" w:eastAsia="Times New Roman" w:hAnsi="Times New Roman"/>
          <w:sz w:val="22"/>
          <w:szCs w:val="22"/>
          <w:color w:val="auto"/>
        </w:rPr>
      </w:pPr>
    </w:p>
    <w:p>
      <w:pPr>
        <w:jc w:val="both"/>
        <w:ind w:left="80" w:right="79" w:firstLine="1941"/>
        <w:spacing w:after="0" w:line="260" w:lineRule="auto"/>
        <w:tabs>
          <w:tab w:leader="none" w:pos="2672"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Participant’s Service terminate by reason of his or her Early Retirement or Normal Retirement prior to vesting in all the RSUs subject to this Award in accordance with the annual installment vesting schedule set forth in the Award Notice, then Participant shall immediately vest in that number of additional RSUs (if any) in which Participant would have otherwise been vested at the time of such termination had the RSUs subject to this Award vested in a series of successive equal monthly installments over the duration of the vesting schedule set forth in the Award Notice. The RSUs which are deemed to vest on the basis of such monthly installment vesting schedule shall, together with any other RSUs which are at the time vested but unissued, be settled in Shares in accordance with the applicable provisions of Paragraph 7. The balance of the Award shall be automatically cancelled and cease to be outstanding upon such termination of Service.</w:t>
      </w:r>
    </w:p>
    <w:p>
      <w:pPr>
        <w:spacing w:after="0" w:line="174" w:lineRule="exact"/>
        <w:rPr>
          <w:rFonts w:ascii="Times New Roman" w:cs="Times New Roman" w:eastAsia="Times New Roman" w:hAnsi="Times New Roman"/>
          <w:sz w:val="21"/>
          <w:szCs w:val="21"/>
          <w:color w:val="auto"/>
        </w:rPr>
      </w:pPr>
    </w:p>
    <w:p>
      <w:pPr>
        <w:ind w:left="2020" w:hanging="647"/>
        <w:spacing w:after="0"/>
        <w:tabs>
          <w:tab w:leader="none" w:pos="202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Rights and Dividend Equivalents</w:t>
      </w:r>
    </w:p>
    <w:p>
      <w:pPr>
        <w:spacing w:after="0" w:line="223" w:lineRule="exact"/>
        <w:rPr>
          <w:rFonts w:ascii="Times New Roman" w:cs="Times New Roman" w:eastAsia="Times New Roman" w:hAnsi="Times New Roman"/>
          <w:sz w:val="22"/>
          <w:szCs w:val="22"/>
          <w:color w:val="auto"/>
        </w:rPr>
      </w:pPr>
    </w:p>
    <w:p>
      <w:pPr>
        <w:jc w:val="both"/>
        <w:ind w:left="80" w:right="79" w:firstLine="1941"/>
        <w:spacing w:after="0" w:line="252" w:lineRule="auto"/>
        <w:tabs>
          <w:tab w:leader="none" w:pos="2672"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79" w:lineRule="exact"/>
        <w:rPr>
          <w:rFonts w:ascii="Times New Roman" w:cs="Times New Roman" w:eastAsia="Times New Roman" w:hAnsi="Times New Roman"/>
          <w:sz w:val="22"/>
          <w:szCs w:val="22"/>
          <w:color w:val="auto"/>
        </w:rPr>
      </w:pPr>
    </w:p>
    <w:p>
      <w:pPr>
        <w:jc w:val="both"/>
        <w:ind w:left="80" w:right="79" w:firstLine="1941"/>
        <w:spacing w:after="0" w:line="258" w:lineRule="auto"/>
        <w:tabs>
          <w:tab w:leader="none" w:pos="2672"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or after the date the dividend or other distribution is paid to holders of Common Stock, but in no case later than the last business day of that calendar quarter. However, each such distribution shall be subject to the Corporation’s collection of the Withholding Taxes applicable to that distribution.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0">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4" w:name="page175"/>
    <w:bookmarkEnd w:id="174"/>
    <w:p>
      <w:pPr>
        <w:ind w:left="2020" w:hanging="647"/>
        <w:spacing w:after="0"/>
        <w:tabs>
          <w:tab w:leader="none" w:pos="202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80" w:right="79" w:firstLine="1941"/>
        <w:spacing w:after="0" w:line="245" w:lineRule="auto"/>
        <w:tabs>
          <w:tab w:leader="none" w:pos="2672"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and shall initially be credited with the Fair Market Value (determined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2"/>
          <w:szCs w:val="22"/>
          <w:b w:val="1"/>
          <w:bCs w:val="1"/>
          <w:i w:val="1"/>
          <w:iCs w:val="1"/>
          <w:color w:val="auto"/>
        </w:rPr>
        <w:t>The Wall Street Journal</w:t>
      </w:r>
      <w:r>
        <w:rPr>
          <w:rFonts w:ascii="Times New Roman" w:cs="Times New Roman" w:eastAsia="Times New Roman" w:hAnsi="Times New Roman"/>
          <w:sz w:val="22"/>
          <w:szCs w:val="22"/>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RSUs subject to this Award or the underlying Shares shall occur at the time of the Change in Control, and the Service-vesting provisions set forth in the Award Notice shall continue in full force and effect.</w:t>
      </w:r>
    </w:p>
    <w:p>
      <w:pPr>
        <w:spacing w:after="0" w:line="196" w:lineRule="exact"/>
        <w:rPr>
          <w:rFonts w:ascii="Times New Roman" w:cs="Times New Roman" w:eastAsia="Times New Roman" w:hAnsi="Times New Roman"/>
          <w:sz w:val="22"/>
          <w:szCs w:val="22"/>
          <w:color w:val="auto"/>
        </w:rPr>
      </w:pPr>
    </w:p>
    <w:p>
      <w:pPr>
        <w:jc w:val="both"/>
        <w:ind w:left="80" w:right="99" w:firstLine="1941"/>
        <w:spacing w:after="0" w:line="258" w:lineRule="auto"/>
        <w:tabs>
          <w:tab w:leader="none" w:pos="2672"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this Award is assumed, otherwise continued in effect, or replaced in connection with such Change in Control, the RSUs subject to the Award shall be adjusted immediately after the consummation of that Change in Control so as to apply to the number and class of securities into which the Shares subject to those RSUs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RSUs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78" w:lineRule="exact"/>
        <w:rPr>
          <w:rFonts w:ascii="Times New Roman" w:cs="Times New Roman" w:eastAsia="Times New Roman" w:hAnsi="Times New Roman"/>
          <w:sz w:val="21"/>
          <w:szCs w:val="21"/>
          <w:color w:val="auto"/>
        </w:rPr>
      </w:pPr>
    </w:p>
    <w:p>
      <w:pPr>
        <w:jc w:val="both"/>
        <w:ind w:left="80" w:right="99" w:firstLine="1941"/>
        <w:spacing w:after="0" w:line="246" w:lineRule="auto"/>
        <w:tabs>
          <w:tab w:leader="none" w:pos="2672"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Participant’s Separation from Service due to an Involuntary Termination occurring within twelve (12) months after a Change in Control in which this Award is assumed or continued in effect, all of the RSUs at the time subject to this Award shall vest, or any substitute equivalent award, and the Shares underlying those RSUs shall be issued to Participant in accordance with the applicable provisions of Paragraph 7. Should the RSUs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Participant shall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5" w:name="page176"/>
    <w:bookmarkEnd w:id="175"/>
    <w:p>
      <w:pPr>
        <w:ind w:left="80"/>
        <w:spacing w:after="0"/>
        <w:rPr>
          <w:sz w:val="20"/>
          <w:szCs w:val="20"/>
          <w:color w:val="auto"/>
        </w:rPr>
      </w:pPr>
      <w:r>
        <w:rPr>
          <w:rFonts w:ascii="Times New Roman" w:cs="Times New Roman" w:eastAsia="Times New Roman" w:hAnsi="Times New Roman"/>
          <w:sz w:val="22"/>
          <w:szCs w:val="22"/>
          <w:color w:val="auto"/>
        </w:rPr>
        <w:t>vest and be entitled to such distribution only if such Involuntary Termination occurs within twelve</w:t>
      </w:r>
    </w:p>
    <w:p>
      <w:pPr>
        <w:spacing w:after="0" w:line="28" w:lineRule="exact"/>
        <w:rPr>
          <w:sz w:val="20"/>
          <w:szCs w:val="20"/>
          <w:color w:val="auto"/>
        </w:rPr>
      </w:pPr>
    </w:p>
    <w:p>
      <w:pPr>
        <w:ind w:left="500" w:hanging="423"/>
        <w:spacing w:after="0"/>
        <w:tabs>
          <w:tab w:leader="none" w:pos="5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Change in Control.</w:t>
      </w:r>
    </w:p>
    <w:p>
      <w:pPr>
        <w:spacing w:after="0" w:line="195" w:lineRule="exact"/>
        <w:rPr>
          <w:rFonts w:ascii="Times New Roman" w:cs="Times New Roman" w:eastAsia="Times New Roman" w:hAnsi="Times New Roman"/>
          <w:sz w:val="22"/>
          <w:szCs w:val="22"/>
          <w:color w:val="auto"/>
        </w:rPr>
      </w:pPr>
    </w:p>
    <w:p>
      <w:pPr>
        <w:jc w:val="both"/>
        <w:ind w:left="80" w:right="99" w:firstLine="1941"/>
        <w:spacing w:after="0" w:line="250" w:lineRule="auto"/>
        <w:tabs>
          <w:tab w:leader="none" w:pos="2672" w:val="left"/>
        </w:tabs>
        <w:numPr>
          <w:ilvl w:val="2"/>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RSUs subject to this Award at the time of the Change in Control are not assumed or otherwise continued in effect or replaced with substitute equivalent award in accordance with Paragraph 5(a), then those RSUs shall vest immediately prior to the closing of the Change in Control, and Participant shall become entitled to a vested distribution in accordance with the applicable provisions of Paragraph 7.</w:t>
      </w:r>
    </w:p>
    <w:p>
      <w:pPr>
        <w:spacing w:after="0" w:line="180" w:lineRule="exact"/>
        <w:rPr>
          <w:rFonts w:ascii="Times New Roman" w:cs="Times New Roman" w:eastAsia="Times New Roman" w:hAnsi="Times New Roman"/>
          <w:sz w:val="22"/>
          <w:szCs w:val="22"/>
          <w:color w:val="auto"/>
        </w:rPr>
      </w:pPr>
    </w:p>
    <w:p>
      <w:pPr>
        <w:jc w:val="both"/>
        <w:ind w:left="80" w:right="99" w:firstLine="1941"/>
        <w:spacing w:after="0" w:line="257" w:lineRule="auto"/>
        <w:tabs>
          <w:tab w:leader="none" w:pos="2672" w:val="left"/>
        </w:tabs>
        <w:numPr>
          <w:ilvl w:val="2"/>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68" w:lineRule="exact"/>
        <w:rPr>
          <w:rFonts w:ascii="Times New Roman" w:cs="Times New Roman" w:eastAsia="Times New Roman" w:hAnsi="Times New Roman"/>
          <w:sz w:val="22"/>
          <w:szCs w:val="22"/>
          <w:color w:val="auto"/>
        </w:rPr>
      </w:pPr>
    </w:p>
    <w:p>
      <w:pPr>
        <w:jc w:val="both"/>
        <w:ind w:left="80" w:right="99" w:firstLine="1293"/>
        <w:spacing w:after="0" w:line="246" w:lineRule="auto"/>
        <w:tabs>
          <w:tab w:leader="none" w:pos="2024"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 in Shares</w:t>
      </w:r>
      <w:r>
        <w:rPr>
          <w:rFonts w:ascii="Times New Roman" w:cs="Times New Roman" w:eastAsia="Times New Roman" w:hAnsi="Times New Roman"/>
          <w:sz w:val="22"/>
          <w:szCs w:val="22"/>
          <w:color w:val="auto"/>
        </w:rPr>
        <w:t>. Should any change be made to the Common Stock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190" w:lineRule="exact"/>
        <w:rPr>
          <w:rFonts w:ascii="Times New Roman" w:cs="Times New Roman" w:eastAsia="Times New Roman" w:hAnsi="Times New Roman"/>
          <w:sz w:val="22"/>
          <w:szCs w:val="22"/>
          <w:color w:val="auto"/>
        </w:rPr>
      </w:pPr>
    </w:p>
    <w:p>
      <w:pPr>
        <w:ind w:left="80" w:right="99" w:firstLine="1293"/>
        <w:spacing w:after="0" w:line="275" w:lineRule="auto"/>
        <w:tabs>
          <w:tab w:leader="none" w:pos="2024"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or Distribution of Shares or Other Vested Amounts and Applicable Withholding Taxes.</w:t>
      </w:r>
    </w:p>
    <w:p>
      <w:pPr>
        <w:spacing w:after="0" w:line="153" w:lineRule="exact"/>
        <w:rPr>
          <w:rFonts w:ascii="Times New Roman" w:cs="Times New Roman" w:eastAsia="Times New Roman" w:hAnsi="Times New Roman"/>
          <w:sz w:val="22"/>
          <w:szCs w:val="22"/>
          <w:color w:val="auto"/>
        </w:rPr>
      </w:pPr>
    </w:p>
    <w:p>
      <w:pPr>
        <w:jc w:val="both"/>
        <w:ind w:left="80" w:right="99" w:firstLine="1941"/>
        <w:spacing w:after="0" w:line="257" w:lineRule="auto"/>
        <w:tabs>
          <w:tab w:leader="none" w:pos="2672" w:val="left"/>
        </w:tabs>
        <w:numPr>
          <w:ilvl w:val="2"/>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shall govern the issuance of the Shares (or any replacement or substitute amounts under Paragraph 5) which vest in accordance with the provisions of this Agreement:</w:t>
      </w:r>
    </w:p>
    <w:p>
      <w:pPr>
        <w:spacing w:after="0" w:line="172" w:lineRule="exact"/>
        <w:rPr>
          <w:rFonts w:ascii="Times New Roman" w:cs="Times New Roman" w:eastAsia="Times New Roman" w:hAnsi="Times New Roman"/>
          <w:sz w:val="22"/>
          <w:szCs w:val="22"/>
          <w:color w:val="auto"/>
        </w:rPr>
      </w:pPr>
    </w:p>
    <w:p>
      <w:pPr>
        <w:jc w:val="both"/>
        <w:ind w:left="720" w:right="739" w:firstLine="1949"/>
        <w:spacing w:after="0" w:line="250" w:lineRule="auto"/>
        <w:tabs>
          <w:tab w:leader="none" w:pos="3312" w:val="left"/>
        </w:tabs>
        <w:numPr>
          <w:ilvl w:val="3"/>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Vesting and Issuance Date specified in the Award Notice, the Shares underlying the RSUs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80" w:lineRule="exact"/>
        <w:rPr>
          <w:rFonts w:ascii="Times New Roman" w:cs="Times New Roman" w:eastAsia="Times New Roman" w:hAnsi="Times New Roman"/>
          <w:sz w:val="22"/>
          <w:szCs w:val="22"/>
          <w:color w:val="auto"/>
        </w:rPr>
      </w:pPr>
    </w:p>
    <w:p>
      <w:pPr>
        <w:ind w:left="3320" w:hanging="651"/>
        <w:spacing w:after="0"/>
        <w:tabs>
          <w:tab w:leader="none" w:pos="3320" w:val="left"/>
        </w:tabs>
        <w:numPr>
          <w:ilvl w:val="3"/>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underlying RSUs which vest on an accelerated</w:t>
      </w:r>
    </w:p>
    <w:p>
      <w:pPr>
        <w:spacing w:after="0" w:line="28" w:lineRule="exact"/>
        <w:rPr>
          <w:sz w:val="20"/>
          <w:szCs w:val="20"/>
          <w:color w:val="auto"/>
        </w:rPr>
      </w:pPr>
    </w:p>
    <w:p>
      <w:pPr>
        <w:jc w:val="both"/>
        <w:ind w:left="720" w:right="739"/>
        <w:spacing w:after="0" w:line="245" w:lineRule="auto"/>
        <w:rPr>
          <w:sz w:val="20"/>
          <w:szCs w:val="20"/>
          <w:color w:val="auto"/>
        </w:rPr>
      </w:pPr>
      <w:r>
        <w:rPr>
          <w:rFonts w:ascii="Times New Roman" w:cs="Times New Roman" w:eastAsia="Times New Roman" w:hAnsi="Times New Roman"/>
          <w:sz w:val="22"/>
          <w:szCs w:val="22"/>
          <w:color w:val="auto"/>
        </w:rPr>
        <w:t>basis upon the Participant’s cessation of Service under Paragraph 3(b) or 3(c) or upon his or her Involuntary Termination under Paragraph 5(c) shall be issued on the date of Participant’s Separation from Service due to such cessation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6" w:name="page177"/>
    <w:bookmarkEnd w:id="176"/>
    <w:p>
      <w:pPr>
        <w:jc w:val="both"/>
        <w:ind w:left="720" w:right="739"/>
        <w:spacing w:after="0" w:line="248" w:lineRule="auto"/>
        <w:rPr>
          <w:sz w:val="20"/>
          <w:szCs w:val="20"/>
          <w:color w:val="auto"/>
        </w:rPr>
      </w:pPr>
      <w:r>
        <w:rPr>
          <w:rFonts w:ascii="Times New Roman" w:cs="Times New Roman" w:eastAsia="Times New Roman" w:hAnsi="Times New Roman"/>
          <w:sz w:val="22"/>
          <w:szCs w:val="22"/>
          <w:color w:val="auto"/>
        </w:rPr>
        <w:t>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spacing w:after="0" w:line="187" w:lineRule="exact"/>
        <w:rPr>
          <w:sz w:val="20"/>
          <w:szCs w:val="20"/>
          <w:color w:val="auto"/>
        </w:rPr>
      </w:pPr>
    </w:p>
    <w:p>
      <w:pPr>
        <w:jc w:val="both"/>
        <w:ind w:left="720" w:right="739" w:firstLine="1949"/>
        <w:spacing w:after="0" w:line="246" w:lineRule="auto"/>
        <w:tabs>
          <w:tab w:leader="none" w:pos="3312"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Shares underlying RSUs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Times New Roman" w:cs="Times New Roman" w:eastAsia="Times New Roman" w:hAnsi="Times New Roman"/>
          <w:sz w:val="22"/>
          <w:szCs w:val="22"/>
          <w:b w:val="1"/>
          <w:bCs w:val="1"/>
          <w:i w:val="1"/>
          <w:iCs w:val="1"/>
          <w:color w:val="auto"/>
        </w:rPr>
        <w:t>earliest</w:t>
      </w:r>
      <w:r>
        <w:rPr>
          <w:rFonts w:ascii="Times New Roman" w:cs="Times New Roman" w:eastAsia="Times New Roman" w:hAnsi="Times New Roman"/>
          <w:sz w:val="22"/>
          <w:szCs w:val="22"/>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Section 409A of the Code (“Section 409A”).</w:t>
      </w:r>
    </w:p>
    <w:p>
      <w:pPr>
        <w:spacing w:after="0" w:line="201" w:lineRule="exact"/>
        <w:rPr>
          <w:rFonts w:ascii="Times New Roman" w:cs="Times New Roman" w:eastAsia="Times New Roman" w:hAnsi="Times New Roman"/>
          <w:sz w:val="22"/>
          <w:szCs w:val="22"/>
          <w:color w:val="auto"/>
        </w:rPr>
      </w:pPr>
    </w:p>
    <w:p>
      <w:pPr>
        <w:jc w:val="both"/>
        <w:ind w:left="720" w:right="739" w:firstLine="1949"/>
        <w:spacing w:after="0" w:line="257" w:lineRule="auto"/>
        <w:tabs>
          <w:tab w:leader="none" w:pos="3312"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Times New Roman" w:cs="Times New Roman" w:eastAsia="Times New Roman" w:hAnsi="Times New Roman"/>
          <w:sz w:val="21"/>
          <w:szCs w:val="21"/>
          <w:b w:val="1"/>
          <w:bCs w:val="1"/>
          <w:i w:val="1"/>
          <w:iCs w:val="1"/>
          <w:color w:val="auto"/>
        </w:rPr>
        <w:t>The Wall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Street Journal</w:t>
      </w:r>
      <w:r>
        <w:rPr>
          <w:rFonts w:ascii="Times New Roman" w:cs="Times New Roman" w:eastAsia="Times New Roman" w:hAnsi="Times New Roman"/>
          <w:sz w:val="21"/>
          <w:szCs w:val="21"/>
          <w:color w:val="auto"/>
        </w:rPr>
        <w:t>. The cash retention account, together with all accrued interest thereon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through the actual payment date, shall be distributed in accordance with the same distribution provisions in effect under Paragraph 7(a)(iii), and the Participant’s interest in the account shall at all times be that of a general, unsecured creditor.</w:t>
      </w:r>
    </w:p>
    <w:p>
      <w:pPr>
        <w:spacing w:after="0" w:line="184" w:lineRule="exact"/>
        <w:rPr>
          <w:rFonts w:ascii="Times New Roman" w:cs="Times New Roman" w:eastAsia="Times New Roman" w:hAnsi="Times New Roman"/>
          <w:sz w:val="21"/>
          <w:szCs w:val="21"/>
          <w:color w:val="auto"/>
        </w:rPr>
      </w:pPr>
    </w:p>
    <w:p>
      <w:pPr>
        <w:jc w:val="both"/>
        <w:ind w:left="720" w:right="739" w:firstLine="1949"/>
        <w:spacing w:after="0" w:line="250" w:lineRule="auto"/>
        <w:tabs>
          <w:tab w:leader="none" w:pos="3312"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80" w:lineRule="exact"/>
        <w:rPr>
          <w:rFonts w:ascii="Times New Roman" w:cs="Times New Roman" w:eastAsia="Times New Roman" w:hAnsi="Times New Roman"/>
          <w:sz w:val="22"/>
          <w:szCs w:val="22"/>
          <w:color w:val="auto"/>
        </w:rPr>
      </w:pPr>
    </w:p>
    <w:p>
      <w:pPr>
        <w:jc w:val="both"/>
        <w:ind w:left="720" w:right="739" w:firstLine="1949"/>
        <w:spacing w:after="0" w:line="257" w:lineRule="auto"/>
        <w:tabs>
          <w:tab w:leader="none" w:pos="3312"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issuance or distribution to be made pursuant to this Paragraph 7(a) shall be subject to the Corporation’s collection of all applicable Withholding Taxes, in accordance with the provisions of Paragraphs 7(b) and 7(c).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7" w:name="page178"/>
    <w:bookmarkEnd w:id="177"/>
    <w:p>
      <w:pPr>
        <w:jc w:val="both"/>
        <w:ind w:left="720" w:right="739" w:firstLine="1949"/>
        <w:spacing w:after="0" w:line="250" w:lineRule="auto"/>
        <w:tabs>
          <w:tab w:leader="none" w:pos="3312"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80" w:lineRule="exact"/>
        <w:rPr>
          <w:rFonts w:ascii="Times New Roman" w:cs="Times New Roman" w:eastAsia="Times New Roman" w:hAnsi="Times New Roman"/>
          <w:sz w:val="22"/>
          <w:szCs w:val="22"/>
          <w:color w:val="auto"/>
        </w:rPr>
      </w:pPr>
    </w:p>
    <w:p>
      <w:pPr>
        <w:jc w:val="both"/>
        <w:ind w:left="80" w:right="99" w:firstLine="1941"/>
        <w:spacing w:after="0" w:line="252" w:lineRule="auto"/>
        <w:tabs>
          <w:tab w:leader="none" w:pos="267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79" w:lineRule="exact"/>
        <w:rPr>
          <w:rFonts w:ascii="Times New Roman" w:cs="Times New Roman" w:eastAsia="Times New Roman" w:hAnsi="Times New Roman"/>
          <w:sz w:val="22"/>
          <w:szCs w:val="22"/>
          <w:color w:val="auto"/>
        </w:rPr>
      </w:pPr>
    </w:p>
    <w:p>
      <w:pPr>
        <w:jc w:val="both"/>
        <w:ind w:left="80" w:right="99" w:firstLine="1941"/>
        <w:spacing w:after="0" w:line="257" w:lineRule="auto"/>
        <w:tabs>
          <w:tab w:leader="none" w:pos="267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shall govern the US Withholding Taxes on the Shares (or any replacement or substitute securities, property or other amounts under Paragraphs 5 or 6 above) which vest in accordance with the provisions of this Agreement:</w:t>
      </w:r>
    </w:p>
    <w:p>
      <w:pPr>
        <w:spacing w:after="0" w:line="172" w:lineRule="exact"/>
        <w:rPr>
          <w:rFonts w:ascii="Times New Roman" w:cs="Times New Roman" w:eastAsia="Times New Roman" w:hAnsi="Times New Roman"/>
          <w:sz w:val="22"/>
          <w:szCs w:val="22"/>
          <w:color w:val="auto"/>
        </w:rPr>
      </w:pPr>
    </w:p>
    <w:p>
      <w:pPr>
        <w:ind w:left="3320" w:hanging="651"/>
        <w:spacing w:after="0"/>
        <w:tabs>
          <w:tab w:leader="none" w:pos="332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in its sole discretion and subject to</w:t>
      </w:r>
    </w:p>
    <w:p>
      <w:pPr>
        <w:spacing w:after="0" w:line="28" w:lineRule="exact"/>
        <w:rPr>
          <w:sz w:val="20"/>
          <w:szCs w:val="20"/>
          <w:color w:val="auto"/>
        </w:rPr>
      </w:pPr>
    </w:p>
    <w:p>
      <w:pPr>
        <w:jc w:val="both"/>
        <w:ind w:left="720" w:right="739"/>
        <w:spacing w:after="0" w:line="257" w:lineRule="auto"/>
        <w:rPr>
          <w:sz w:val="20"/>
          <w:szCs w:val="20"/>
          <w:color w:val="auto"/>
        </w:rPr>
      </w:pPr>
      <w:r>
        <w:rPr>
          <w:rFonts w:ascii="Times New Roman" w:cs="Times New Roman" w:eastAsia="Times New Roman" w:hAnsi="Times New Roman"/>
          <w:sz w:val="21"/>
          <w:szCs w:val="21"/>
          <w:color w:val="auto"/>
        </w:rPr>
        <w:t>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7(c)(ii).</w:t>
      </w:r>
    </w:p>
    <w:p>
      <w:pPr>
        <w:spacing w:after="0" w:line="179" w:lineRule="exact"/>
        <w:rPr>
          <w:sz w:val="20"/>
          <w:szCs w:val="20"/>
          <w:color w:val="auto"/>
        </w:rPr>
      </w:pPr>
    </w:p>
    <w:p>
      <w:pPr>
        <w:jc w:val="both"/>
        <w:ind w:left="720" w:right="739" w:firstLine="1949"/>
        <w:spacing w:after="0" w:line="247" w:lineRule="auto"/>
        <w:tabs>
          <w:tab w:leader="none" w:pos="331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Automatic Share Withholding</w:t>
      </w:r>
      <w:r>
        <w:rPr>
          <w:rFonts w:ascii="Times New Roman" w:cs="Times New Roman" w:eastAsia="Times New Roman" w:hAnsi="Times New Roman"/>
          <w:sz w:val="22"/>
          <w:szCs w:val="22"/>
          <w:color w:val="auto"/>
        </w:rPr>
        <w:t>. On each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issuance date, the 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7(c)(iii) below (the “Applicable Withholding Rate”).</w:t>
      </w:r>
    </w:p>
    <w:p>
      <w:pPr>
        <w:spacing w:after="0" w:line="181" w:lineRule="exact"/>
        <w:rPr>
          <w:rFonts w:ascii="Times New Roman" w:cs="Times New Roman" w:eastAsia="Times New Roman" w:hAnsi="Times New Roman"/>
          <w:sz w:val="22"/>
          <w:szCs w:val="22"/>
          <w:color w:val="auto"/>
        </w:rPr>
      </w:pPr>
    </w:p>
    <w:p>
      <w:pPr>
        <w:jc w:val="both"/>
        <w:ind w:left="720" w:right="739" w:firstLine="1949"/>
        <w:spacing w:after="0" w:line="247" w:lineRule="auto"/>
        <w:tabs>
          <w:tab w:leader="none" w:pos="331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Amount of Withholding</w:t>
      </w:r>
      <w:r>
        <w:rPr>
          <w:rFonts w:ascii="Times New Roman" w:cs="Times New Roman" w:eastAsia="Times New Roman" w:hAnsi="Times New Roman"/>
          <w:sz w:val="22"/>
          <w:szCs w:val="22"/>
          <w:color w:val="auto"/>
        </w:rPr>
        <w:t>. The amount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 Rate”).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4">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8" w:name="page179"/>
    <w:bookmarkEnd w:id="178"/>
    <w:p>
      <w:pPr>
        <w:jc w:val="both"/>
        <w:ind w:left="720" w:right="739"/>
        <w:spacing w:after="0" w:line="245" w:lineRule="auto"/>
        <w:rPr>
          <w:sz w:val="20"/>
          <w:szCs w:val="20"/>
          <w:color w:val="auto"/>
        </w:rPr>
      </w:pPr>
      <w:r>
        <w:rPr>
          <w:rFonts w:ascii="Times New Roman" w:cs="Times New Roman" w:eastAsia="Times New Roman" w:hAnsi="Times New Roman"/>
          <w:sz w:val="22"/>
          <w:szCs w:val="22"/>
          <w:color w:val="auto"/>
        </w:rPr>
        <w:t>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7(c)(ii) and 7(c) (iii), in the event Participant is determined to be subject to Section 16 of the 1934 Act at the time of settlement, the Alternate Withholding Rate must be approved by the Corporation’s Compensation Committee.</w:t>
      </w:r>
    </w:p>
    <w:p>
      <w:pPr>
        <w:spacing w:after="0" w:line="192" w:lineRule="exact"/>
        <w:rPr>
          <w:sz w:val="20"/>
          <w:szCs w:val="20"/>
          <w:color w:val="auto"/>
        </w:rPr>
      </w:pPr>
    </w:p>
    <w:p>
      <w:pPr>
        <w:jc w:val="both"/>
        <w:ind w:left="80" w:right="99" w:firstLine="1941"/>
        <w:spacing w:after="0" w:line="259" w:lineRule="auto"/>
        <w:tabs>
          <w:tab w:leader="none" w:pos="2672"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Section 3121(v) of the Code.</w:t>
      </w:r>
    </w:p>
    <w:p>
      <w:pPr>
        <w:spacing w:after="0" w:line="180" w:lineRule="exact"/>
        <w:rPr>
          <w:rFonts w:ascii="Times New Roman" w:cs="Times New Roman" w:eastAsia="Times New Roman" w:hAnsi="Times New Roman"/>
          <w:sz w:val="21"/>
          <w:szCs w:val="21"/>
          <w:color w:val="auto"/>
        </w:rPr>
      </w:pPr>
    </w:p>
    <w:p>
      <w:pPr>
        <w:jc w:val="both"/>
        <w:ind w:left="80" w:right="99" w:firstLine="1941"/>
        <w:spacing w:after="0" w:line="250" w:lineRule="auto"/>
        <w:tabs>
          <w:tab w:leader="none" w:pos="2672"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spacing w:after="0" w:line="176" w:lineRule="exact"/>
        <w:rPr>
          <w:rFonts w:ascii="Times New Roman" w:cs="Times New Roman" w:eastAsia="Times New Roman" w:hAnsi="Times New Roman"/>
          <w:sz w:val="22"/>
          <w:szCs w:val="22"/>
          <w:color w:val="auto"/>
        </w:rPr>
      </w:pPr>
    </w:p>
    <w:p>
      <w:pPr>
        <w:jc w:val="both"/>
        <w:ind w:left="80" w:right="99" w:firstLine="1293"/>
        <w:spacing w:after="0" w:line="259" w:lineRule="auto"/>
        <w:tabs>
          <w:tab w:leader="none" w:pos="202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 to the contrary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extent this Award may be deemed to create a deferred compensation arrangement under Section 409A, then the following limitation and provisions shall apply:</w:t>
      </w:r>
    </w:p>
    <w:p>
      <w:pPr>
        <w:spacing w:after="0" w:line="170" w:lineRule="exact"/>
        <w:rPr>
          <w:rFonts w:ascii="Times New Roman" w:cs="Times New Roman" w:eastAsia="Times New Roman" w:hAnsi="Times New Roman"/>
          <w:sz w:val="22"/>
          <w:szCs w:val="22"/>
          <w:color w:val="auto"/>
        </w:rPr>
      </w:pPr>
    </w:p>
    <w:p>
      <w:pPr>
        <w:jc w:val="both"/>
        <w:ind w:left="80" w:right="79" w:firstLine="1941"/>
        <w:spacing w:after="0" w:line="248" w:lineRule="auto"/>
        <w:tabs>
          <w:tab w:leader="none" w:pos="2672"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Shares or other amounts which become issuable or distributable under this Agreement upon Participant’s Separation from Service shall actually be issued or distributed to Participant prior to the </w:t>
      </w:r>
      <w:r>
        <w:rPr>
          <w:rFonts w:ascii="Times New Roman" w:cs="Times New Roman" w:eastAsia="Times New Roman" w:hAnsi="Times New Roman"/>
          <w:sz w:val="22"/>
          <w:szCs w:val="22"/>
          <w:b w:val="1"/>
          <w:bCs w:val="1"/>
          <w:i w:val="1"/>
          <w:iCs w:val="1"/>
          <w:color w:val="auto"/>
        </w:rPr>
        <w:t>earlier</w:t>
      </w:r>
      <w:r>
        <w:rPr>
          <w:rFonts w:ascii="Times New Roman" w:cs="Times New Roman" w:eastAsia="Times New Roman" w:hAnsi="Times New Roman"/>
          <w:sz w:val="22"/>
          <w:szCs w:val="22"/>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5">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9" w:name="page180"/>
    <w:bookmarkEnd w:id="179"/>
    <w:p>
      <w:pPr>
        <w:jc w:val="both"/>
        <w:ind w:left="80" w:right="79"/>
        <w:spacing w:after="0" w:line="248" w:lineRule="auto"/>
        <w:rPr>
          <w:sz w:val="20"/>
          <w:szCs w:val="20"/>
          <w:color w:val="auto"/>
        </w:rPr>
      </w:pPr>
      <w:r>
        <w:rPr>
          <w:rFonts w:ascii="Times New Roman" w:cs="Times New Roman" w:eastAsia="Times New Roman" w:hAnsi="Times New Roman"/>
          <w:sz w:val="22"/>
          <w:szCs w:val="22"/>
          <w:color w:val="auto"/>
        </w:rPr>
        <w:t>Section 409A arrangements of the Corporation subject to Section 409A, and such delayed commencement is otherwise required in order to avoid a prohibited distribution under Section 409A(a)(2) of the Code. The deferred Shares or other distributable amount shall be issued or distributed in a lump sum on or within sixty (60) days after the first (1st) day of the seventh (7th) month following the date of Participant’s Separation from Service or, if earlier, the first day of the month immediately following the date the Corporation receives proof of Participant’s death.</w:t>
      </w:r>
    </w:p>
    <w:p>
      <w:pPr>
        <w:spacing w:after="0" w:line="187" w:lineRule="exact"/>
        <w:rPr>
          <w:sz w:val="20"/>
          <w:szCs w:val="20"/>
          <w:color w:val="auto"/>
        </w:rPr>
      </w:pPr>
    </w:p>
    <w:p>
      <w:pPr>
        <w:jc w:val="both"/>
        <w:ind w:left="80" w:right="99" w:firstLine="1941"/>
        <w:spacing w:after="0" w:line="257" w:lineRule="auto"/>
        <w:tabs>
          <w:tab w:leader="none" w:pos="267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right to receive each installment of Shares or other installment distribution pursuant to the terms of this Agreement shall, for purposes of Section 409A, be treated as a right to receive a series of separate payments.</w:t>
      </w:r>
    </w:p>
    <w:p>
      <w:pPr>
        <w:spacing w:after="0" w:line="168" w:lineRule="exact"/>
        <w:rPr>
          <w:rFonts w:ascii="Times New Roman" w:cs="Times New Roman" w:eastAsia="Times New Roman" w:hAnsi="Times New Roman"/>
          <w:sz w:val="22"/>
          <w:szCs w:val="22"/>
          <w:color w:val="auto"/>
        </w:rPr>
      </w:pPr>
    </w:p>
    <w:p>
      <w:pPr>
        <w:jc w:val="both"/>
        <w:ind w:left="80" w:right="99" w:firstLine="1293"/>
        <w:spacing w:after="0" w:line="269" w:lineRule="auto"/>
        <w:tabs>
          <w:tab w:leader="none" w:pos="2024"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Compliance with Laws and Regulations</w:t>
      </w:r>
      <w:r>
        <w:rPr>
          <w:rFonts w:ascii="Times New Roman" w:cs="Times New Roman" w:eastAsia="Times New Roman" w:hAnsi="Times New Roman"/>
          <w:sz w:val="21"/>
          <w:szCs w:val="21"/>
          <w:color w:val="auto"/>
        </w:rPr>
        <w:t>. The issuance of shares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59" w:lineRule="exact"/>
        <w:rPr>
          <w:rFonts w:ascii="Times New Roman" w:cs="Times New Roman" w:eastAsia="Times New Roman" w:hAnsi="Times New Roman"/>
          <w:sz w:val="21"/>
          <w:szCs w:val="21"/>
          <w:color w:val="auto"/>
        </w:rPr>
      </w:pPr>
    </w:p>
    <w:p>
      <w:pPr>
        <w:jc w:val="both"/>
        <w:ind w:left="80" w:right="79" w:firstLine="1293"/>
        <w:spacing w:after="0" w:line="247" w:lineRule="auto"/>
        <w:tabs>
          <w:tab w:leader="none" w:pos="202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87" w:lineRule="exact"/>
        <w:rPr>
          <w:rFonts w:ascii="Times New Roman" w:cs="Times New Roman" w:eastAsia="Times New Roman" w:hAnsi="Times New Roman"/>
          <w:sz w:val="22"/>
          <w:szCs w:val="22"/>
          <w:color w:val="auto"/>
        </w:rPr>
      </w:pPr>
    </w:p>
    <w:p>
      <w:pPr>
        <w:jc w:val="both"/>
        <w:ind w:left="80" w:right="99" w:firstLine="1293"/>
        <w:spacing w:after="0" w:line="249" w:lineRule="auto"/>
        <w:tabs>
          <w:tab w:leader="none" w:pos="202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required to be given or delivered to the Corporation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spacing w:after="0" w:line="180" w:lineRule="exact"/>
        <w:rPr>
          <w:rFonts w:ascii="Times New Roman" w:cs="Times New Roman" w:eastAsia="Times New Roman" w:hAnsi="Times New Roman"/>
          <w:sz w:val="22"/>
          <w:szCs w:val="22"/>
          <w:color w:val="auto"/>
        </w:rPr>
      </w:pPr>
    </w:p>
    <w:p>
      <w:pPr>
        <w:jc w:val="both"/>
        <w:ind w:left="80" w:right="99" w:firstLine="1293"/>
        <w:spacing w:after="0" w:line="251" w:lineRule="auto"/>
        <w:tabs>
          <w:tab w:leader="none" w:pos="202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Except to the extent otherwise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75" w:lineRule="exact"/>
        <w:rPr>
          <w:rFonts w:ascii="Times New Roman" w:cs="Times New Roman" w:eastAsia="Times New Roman" w:hAnsi="Times New Roman"/>
          <w:sz w:val="22"/>
          <w:szCs w:val="22"/>
          <w:color w:val="auto"/>
        </w:rPr>
      </w:pPr>
    </w:p>
    <w:p>
      <w:pPr>
        <w:ind w:left="2020" w:hanging="647"/>
        <w:spacing w:after="0"/>
        <w:tabs>
          <w:tab w:leader="none" w:pos="202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80" w:right="99" w:firstLine="1941"/>
        <w:spacing w:after="0" w:line="271" w:lineRule="auto"/>
        <w:tabs>
          <w:tab w:leader="none" w:pos="2672"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Award evidenced hereby are made and granted pursuant to the Plan and are in all respects limited by and subject to the terms of the Plan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80" w:name="page181"/>
    <w:bookmarkEnd w:id="180"/>
    <w:p>
      <w:pPr>
        <w:jc w:val="both"/>
        <w:ind w:left="80" w:right="79"/>
        <w:spacing w:after="0" w:line="257" w:lineRule="auto"/>
        <w:rPr>
          <w:sz w:val="20"/>
          <w:szCs w:val="20"/>
          <w:color w:val="auto"/>
        </w:rPr>
      </w:pPr>
      <w:r>
        <w:rPr>
          <w:rFonts w:ascii="Times New Roman" w:cs="Times New Roman" w:eastAsia="Times New Roman" w:hAnsi="Times New Roman"/>
          <w:sz w:val="22"/>
          <w:szCs w:val="22"/>
          <w:color w:val="auto"/>
        </w:rPr>
        <w:t>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73" w:lineRule="exact"/>
        <w:rPr>
          <w:sz w:val="20"/>
          <w:szCs w:val="20"/>
          <w:color w:val="auto"/>
        </w:rPr>
      </w:pPr>
    </w:p>
    <w:p>
      <w:pPr>
        <w:jc w:val="both"/>
        <w:ind w:left="80" w:right="99" w:firstLine="1941"/>
        <w:spacing w:after="0" w:line="250" w:lineRule="auto"/>
        <w:tabs>
          <w:tab w:leader="none" w:pos="2672"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spacing w:after="0" w:line="180" w:lineRule="exact"/>
        <w:rPr>
          <w:rFonts w:ascii="Times New Roman" w:cs="Times New Roman" w:eastAsia="Times New Roman" w:hAnsi="Times New Roman"/>
          <w:sz w:val="22"/>
          <w:szCs w:val="22"/>
          <w:color w:val="auto"/>
        </w:rPr>
      </w:pPr>
    </w:p>
    <w:p>
      <w:pPr>
        <w:jc w:val="both"/>
        <w:ind w:left="80" w:right="99" w:firstLine="1941"/>
        <w:spacing w:after="0" w:line="257" w:lineRule="auto"/>
        <w:tabs>
          <w:tab w:leader="none" w:pos="2672"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68" w:lineRule="exact"/>
        <w:rPr>
          <w:rFonts w:ascii="Times New Roman" w:cs="Times New Roman" w:eastAsia="Times New Roman" w:hAnsi="Times New Roman"/>
          <w:sz w:val="22"/>
          <w:szCs w:val="22"/>
          <w:color w:val="auto"/>
        </w:rPr>
      </w:pPr>
    </w:p>
    <w:p>
      <w:pPr>
        <w:jc w:val="both"/>
        <w:ind w:left="80" w:right="99" w:firstLine="1293"/>
        <w:spacing w:after="0" w:line="259" w:lineRule="auto"/>
        <w:tabs>
          <w:tab w:leader="none" w:pos="202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interpretation, performance and enforcement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laws of the State of Hawaii without regard to that State’s conflict-of-laws rules.</w:t>
      </w:r>
    </w:p>
    <w:p>
      <w:pPr>
        <w:spacing w:after="0" w:line="166" w:lineRule="exact"/>
        <w:rPr>
          <w:rFonts w:ascii="Times New Roman" w:cs="Times New Roman" w:eastAsia="Times New Roman" w:hAnsi="Times New Roman"/>
          <w:sz w:val="22"/>
          <w:szCs w:val="22"/>
          <w:color w:val="auto"/>
        </w:rPr>
      </w:pPr>
    </w:p>
    <w:p>
      <w:pPr>
        <w:ind w:left="2020" w:hanging="647"/>
        <w:spacing w:after="0"/>
        <w:tabs>
          <w:tab w:leader="none" w:pos="202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p>
    <w:p>
      <w:pPr>
        <w:spacing w:after="0" w:line="223" w:lineRule="exact"/>
        <w:rPr>
          <w:rFonts w:ascii="Times New Roman" w:cs="Times New Roman" w:eastAsia="Times New Roman" w:hAnsi="Times New Roman"/>
          <w:sz w:val="22"/>
          <w:szCs w:val="22"/>
          <w:color w:val="auto"/>
        </w:rPr>
      </w:pPr>
    </w:p>
    <w:p>
      <w:pPr>
        <w:jc w:val="both"/>
        <w:ind w:left="80" w:right="79" w:firstLine="1941"/>
        <w:spacing w:after="0" w:line="245" w:lineRule="auto"/>
        <w:tabs>
          <w:tab w:leader="none" w:pos="2672"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81" w:name="page182"/>
    <w:bookmarkEnd w:id="181"/>
    <w:p>
      <w:pPr>
        <w:ind w:left="80" w:right="99"/>
        <w:spacing w:after="0" w:line="271" w:lineRule="auto"/>
        <w:rPr>
          <w:sz w:val="20"/>
          <w:szCs w:val="20"/>
          <w:color w:val="auto"/>
        </w:rPr>
      </w:pPr>
      <w:r>
        <w:rPr>
          <w:rFonts w:ascii="Times New Roman" w:cs="Times New Roman" w:eastAsia="Times New Roman" w:hAnsi="Times New Roman"/>
          <w:sz w:val="22"/>
          <w:szCs w:val="22"/>
          <w:color w:val="auto"/>
        </w:rPr>
        <w:t>brought in the party’s individual capacity, and not as a plaintiff or class member in any purported class, representative or consolidated proceeding.</w:t>
      </w:r>
    </w:p>
    <w:p>
      <w:pPr>
        <w:spacing w:after="0" w:line="158" w:lineRule="exact"/>
        <w:rPr>
          <w:sz w:val="20"/>
          <w:szCs w:val="20"/>
          <w:color w:val="auto"/>
        </w:rPr>
      </w:pPr>
    </w:p>
    <w:p>
      <w:pPr>
        <w:jc w:val="both"/>
        <w:ind w:left="80" w:right="79" w:firstLine="1941"/>
        <w:spacing w:after="0" w:line="257" w:lineRule="auto"/>
        <w:tabs>
          <w:tab w:leader="none" w:pos="267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fully understands and agrees that they are giving up certain rights otherwise afforded to them by civil court actions, including but not limited to the right to a jury trial.</w:t>
      </w:r>
    </w:p>
    <w:p>
      <w:pPr>
        <w:spacing w:after="0" w:line="168" w:lineRule="exact"/>
        <w:rPr>
          <w:rFonts w:ascii="Times New Roman" w:cs="Times New Roman" w:eastAsia="Times New Roman" w:hAnsi="Times New Roman"/>
          <w:sz w:val="22"/>
          <w:szCs w:val="22"/>
          <w:color w:val="auto"/>
        </w:rPr>
      </w:pPr>
    </w:p>
    <w:p>
      <w:pPr>
        <w:jc w:val="both"/>
        <w:ind w:left="80" w:right="79" w:firstLine="1293"/>
        <w:spacing w:after="0" w:line="249" w:lineRule="auto"/>
        <w:tabs>
          <w:tab w:leader="none" w:pos="202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Coverage under Recoupment Policy</w:t>
      </w:r>
      <w:r>
        <w:rPr>
          <w:rFonts w:ascii="Times New Roman" w:cs="Times New Roman" w:eastAsia="Times New Roman" w:hAnsi="Times New Roman"/>
          <w:sz w:val="22"/>
          <w:szCs w:val="22"/>
          <w:color w:val="auto"/>
        </w:rPr>
        <w:t>. If Participant is on the Award Date,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any time 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 copy of the Recoupment Policy is available upon request made to the Corporate Secretary.</w:t>
      </w:r>
    </w:p>
    <w:p>
      <w:pPr>
        <w:spacing w:after="0" w:line="180" w:lineRule="exact"/>
        <w:rPr>
          <w:rFonts w:ascii="Times New Roman" w:cs="Times New Roman" w:eastAsia="Times New Roman" w:hAnsi="Times New Roman"/>
          <w:sz w:val="22"/>
          <w:szCs w:val="22"/>
          <w:color w:val="auto"/>
        </w:rPr>
      </w:pPr>
    </w:p>
    <w:p>
      <w:pPr>
        <w:ind w:left="2020" w:hanging="647"/>
        <w:spacing w:after="0"/>
        <w:tabs>
          <w:tab w:leader="none" w:pos="20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80" w:right="79" w:firstLine="1941"/>
        <w:spacing w:after="0" w:line="252" w:lineRule="auto"/>
        <w:tabs>
          <w:tab w:leader="none" w:pos="2672"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92" w:lineRule="exact"/>
        <w:rPr>
          <w:rFonts w:ascii="Times New Roman" w:cs="Times New Roman" w:eastAsia="Times New Roman" w:hAnsi="Times New Roman"/>
          <w:sz w:val="22"/>
          <w:szCs w:val="22"/>
          <w:color w:val="auto"/>
        </w:rPr>
      </w:pPr>
    </w:p>
    <w:p>
      <w:pPr>
        <w:jc w:val="both"/>
        <w:ind w:left="80" w:right="79" w:firstLine="1941"/>
        <w:spacing w:after="0" w:line="245" w:lineRule="auto"/>
        <w:tabs>
          <w:tab w:leader="none" w:pos="2672"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84" w:lineRule="exact"/>
        <w:rPr>
          <w:rFonts w:ascii="Times New Roman" w:cs="Times New Roman" w:eastAsia="Times New Roman" w:hAnsi="Times New Roman"/>
          <w:sz w:val="22"/>
          <w:szCs w:val="22"/>
          <w:color w:val="auto"/>
        </w:rPr>
      </w:pPr>
    </w:p>
    <w:p>
      <w:pPr>
        <w:jc w:val="both"/>
        <w:ind w:left="80" w:right="99" w:firstLine="1293"/>
        <w:spacing w:after="0" w:line="253" w:lineRule="auto"/>
        <w:tabs>
          <w:tab w:leader="none" w:pos="202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not be altered, modified, or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by 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175" w:lineRule="exact"/>
        <w:rPr>
          <w:rFonts w:ascii="Times New Roman" w:cs="Times New Roman" w:eastAsia="Times New Roman" w:hAnsi="Times New Roman"/>
          <w:sz w:val="22"/>
          <w:szCs w:val="22"/>
          <w:color w:val="auto"/>
        </w:rPr>
      </w:pPr>
    </w:p>
    <w:p>
      <w:pPr>
        <w:jc w:val="both"/>
        <w:ind w:left="80" w:right="79" w:firstLine="1293"/>
        <w:spacing w:after="0" w:line="259" w:lineRule="auto"/>
        <w:tabs>
          <w:tab w:leader="none" w:pos="202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Agreements Superseded</w:t>
      </w:r>
      <w:r>
        <w:rPr>
          <w:rFonts w:ascii="Times New Roman" w:cs="Times New Roman" w:eastAsia="Times New Roman" w:hAnsi="Times New Roman"/>
          <w:sz w:val="22"/>
          <w:szCs w:val="22"/>
          <w:color w:val="auto"/>
        </w:rPr>
        <w:t>. The Award Notice,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constitute the entire understanding between Participant and the Corporation regarding the Award. Any prior agreements, commitments or negotiations concerning the Award are superseded.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82" w:name="page183"/>
    <w:bookmarkEnd w:id="182"/>
    <w:p>
      <w:pPr>
        <w:jc w:val="both"/>
        <w:ind w:left="80" w:right="79" w:firstLine="1293"/>
        <w:spacing w:after="0" w:line="253" w:lineRule="auto"/>
        <w:tabs>
          <w:tab w:leader="none" w:pos="202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Plan Document</w:t>
      </w:r>
      <w:r>
        <w:rPr>
          <w:rFonts w:ascii="Times New Roman" w:cs="Times New Roman" w:eastAsia="Times New Roman" w:hAnsi="Times New Roman"/>
          <w:sz w:val="22"/>
          <w:szCs w:val="22"/>
          <w:color w:val="auto"/>
        </w:rPr>
        <w:t>. The Award is subject to all the provisions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the 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0" w:lineRule="exact"/>
        <w:rPr>
          <w:sz w:val="20"/>
          <w:szCs w:val="20"/>
          <w:color w:val="auto"/>
        </w:rPr>
      </w:pPr>
    </w:p>
    <w:p>
      <w:pPr>
        <w:spacing w:after="0" w:line="2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The following definitions shall be in effect under the Agreement:</w:t>
      </w:r>
    </w:p>
    <w:p>
      <w:pPr>
        <w:spacing w:after="0" w:line="216" w:lineRule="exact"/>
        <w:rPr>
          <w:sz w:val="20"/>
          <w:szCs w:val="20"/>
          <w:color w:val="auto"/>
        </w:rPr>
      </w:pPr>
    </w:p>
    <w:p>
      <w:pPr>
        <w:ind w:left="2020" w:hanging="647"/>
        <w:spacing w:after="0"/>
        <w:tabs>
          <w:tab w:leader="none" w:pos="202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this Restricted Stock Unit Award Agreement.</w:t>
      </w:r>
    </w:p>
    <w:p>
      <w:pPr>
        <w:spacing w:after="0" w:line="219" w:lineRule="exact"/>
        <w:rPr>
          <w:rFonts w:ascii="Times New Roman" w:cs="Times New Roman" w:eastAsia="Times New Roman" w:hAnsi="Times New Roman"/>
          <w:sz w:val="22"/>
          <w:szCs w:val="22"/>
          <w:color w:val="auto"/>
        </w:rPr>
      </w:pPr>
    </w:p>
    <w:p>
      <w:pPr>
        <w:ind w:left="80" w:right="99" w:firstLine="1293"/>
        <w:spacing w:after="0" w:line="275" w:lineRule="auto"/>
        <w:tabs>
          <w:tab w:leader="none" w:pos="202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award of restricted stock units made to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this Agreement.</w:t>
      </w:r>
    </w:p>
    <w:p>
      <w:pPr>
        <w:spacing w:after="0" w:line="149" w:lineRule="exact"/>
        <w:rPr>
          <w:rFonts w:ascii="Times New Roman" w:cs="Times New Roman" w:eastAsia="Times New Roman" w:hAnsi="Times New Roman"/>
          <w:sz w:val="22"/>
          <w:szCs w:val="22"/>
          <w:color w:val="auto"/>
        </w:rPr>
      </w:pPr>
    </w:p>
    <w:p>
      <w:pPr>
        <w:ind w:left="80" w:right="99" w:firstLine="1293"/>
        <w:spacing w:after="0" w:line="275" w:lineRule="auto"/>
        <w:tabs>
          <w:tab w:leader="none" w:pos="202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date the restricted stock units are awarded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pursuant to the Agreement and shall be the date specified in the Award Notice.</w:t>
      </w:r>
    </w:p>
    <w:p>
      <w:pPr>
        <w:spacing w:after="0" w:line="149" w:lineRule="exact"/>
        <w:rPr>
          <w:rFonts w:ascii="Times New Roman" w:cs="Times New Roman" w:eastAsia="Times New Roman" w:hAnsi="Times New Roman"/>
          <w:sz w:val="22"/>
          <w:szCs w:val="22"/>
          <w:color w:val="auto"/>
        </w:rPr>
      </w:pPr>
    </w:p>
    <w:p>
      <w:pPr>
        <w:jc w:val="both"/>
        <w:ind w:left="80" w:right="99" w:firstLine="1293"/>
        <w:spacing w:after="0" w:line="253" w:lineRule="auto"/>
        <w:tabs>
          <w:tab w:leader="none" w:pos="202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Award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Notice of Award of Time-Based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delivered to Participant in which there is set forth the basic terms of the restricted stock units subject to this Agreement, including (without limitation) the applicable vesting schedule for those RSUs.</w:t>
      </w:r>
    </w:p>
    <w:p>
      <w:pPr>
        <w:spacing w:after="0" w:line="175" w:lineRule="exact"/>
        <w:rPr>
          <w:rFonts w:ascii="Times New Roman" w:cs="Times New Roman" w:eastAsia="Times New Roman" w:hAnsi="Times New Roman"/>
          <w:sz w:val="22"/>
          <w:szCs w:val="22"/>
          <w:color w:val="auto"/>
        </w:rPr>
      </w:pPr>
    </w:p>
    <w:p>
      <w:pPr>
        <w:jc w:val="both"/>
        <w:ind w:left="80" w:right="79" w:firstLine="1293"/>
        <w:spacing w:after="0" w:line="247" w:lineRule="auto"/>
        <w:tabs>
          <w:tab w:leader="none" w:pos="202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 document;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however, 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81" w:lineRule="exact"/>
        <w:rPr>
          <w:rFonts w:ascii="Times New Roman" w:cs="Times New Roman" w:eastAsia="Times New Roman" w:hAnsi="Times New Roman"/>
          <w:sz w:val="22"/>
          <w:szCs w:val="22"/>
          <w:color w:val="auto"/>
        </w:rPr>
      </w:pPr>
    </w:p>
    <w:p>
      <w:pPr>
        <w:jc w:val="both"/>
        <w:ind w:left="80" w:right="99" w:firstLine="1293"/>
        <w:spacing w:after="0" w:line="253" w:lineRule="auto"/>
        <w:tabs>
          <w:tab w:leader="none" w:pos="202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event Participant is a party to a Change in Control Benefits Agreement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Award, the term Change in Control shall have the meaning ascribed to that term in such Change in Control Benefits Agreement.</w:t>
      </w:r>
    </w:p>
    <w:p>
      <w:pPr>
        <w:spacing w:after="0" w:line="175" w:lineRule="exact"/>
        <w:rPr>
          <w:rFonts w:ascii="Times New Roman" w:cs="Times New Roman" w:eastAsia="Times New Roman" w:hAnsi="Times New Roman"/>
          <w:sz w:val="22"/>
          <w:szCs w:val="22"/>
          <w:color w:val="auto"/>
        </w:rPr>
      </w:pPr>
    </w:p>
    <w:p>
      <w:pPr>
        <w:jc w:val="both"/>
        <w:ind w:left="80" w:right="99" w:firstLine="1293"/>
        <w:spacing w:after="0" w:line="249" w:lineRule="auto"/>
        <w:tabs>
          <w:tab w:leader="none" w:pos="202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 Benefits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any separate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80" w:lineRule="exact"/>
        <w:rPr>
          <w:rFonts w:ascii="Times New Roman" w:cs="Times New Roman" w:eastAsia="Times New Roman" w:hAnsi="Times New Roman"/>
          <w:sz w:val="22"/>
          <w:szCs w:val="22"/>
          <w:color w:val="auto"/>
        </w:rPr>
      </w:pPr>
    </w:p>
    <w:p>
      <w:pPr>
        <w:jc w:val="both"/>
        <w:ind w:left="80" w:right="99" w:firstLine="1293"/>
        <w:spacing w:after="0" w:line="265" w:lineRule="auto"/>
        <w:tabs>
          <w:tab w:leader="none" w:pos="202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Early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retirement from Service,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approval of the Corporation (or the Parent or Subsidiary employing Participant), on or after the attainment of age fifty-five (55) and the completion of at least five (5) years of Service.</w:t>
      </w:r>
    </w:p>
    <w:p>
      <w:pPr>
        <w:spacing w:after="0" w:line="161" w:lineRule="exact"/>
        <w:rPr>
          <w:rFonts w:ascii="Times New Roman" w:cs="Times New Roman" w:eastAsia="Times New Roman" w:hAnsi="Times New Roman"/>
          <w:sz w:val="22"/>
          <w:szCs w:val="22"/>
          <w:color w:val="auto"/>
        </w:rPr>
      </w:pPr>
    </w:p>
    <w:p>
      <w:pPr>
        <w:ind w:left="80" w:right="99" w:firstLine="1293"/>
        <w:spacing w:after="0" w:line="275" w:lineRule="auto"/>
        <w:tabs>
          <w:tab w:leader="none" w:pos="202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set forth in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Participant is at the time of his or her cessation of Employee status a party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4" w:name="page185"/>
    <w:bookmarkEnd w:id="184"/>
    <w:p>
      <w:pPr>
        <w:jc w:val="both"/>
        <w:ind w:left="80" w:right="99"/>
        <w:spacing w:after="0" w:line="257" w:lineRule="auto"/>
        <w:rPr>
          <w:sz w:val="20"/>
          <w:szCs w:val="20"/>
          <w:color w:val="auto"/>
        </w:rPr>
      </w:pPr>
      <w:r>
        <w:rPr>
          <w:rFonts w:ascii="Times New Roman" w:cs="Times New Roman" w:eastAsia="Times New Roman" w:hAnsi="Times New Roman"/>
          <w:sz w:val="22"/>
          <w:szCs w:val="22"/>
          <w:color w:val="auto"/>
        </w:rPr>
        <w:t>to a Change in Control Benefits Agreement applicable to the Award evidenced by this Agreement, the term Good Reason shall have the meaning ascribed to that term in such Change in Control Benefits Agreement.</w:t>
      </w:r>
    </w:p>
    <w:p>
      <w:pPr>
        <w:spacing w:after="0" w:line="169" w:lineRule="exact"/>
        <w:rPr>
          <w:sz w:val="20"/>
          <w:szCs w:val="20"/>
          <w:color w:val="auto"/>
        </w:rPr>
      </w:pPr>
    </w:p>
    <w:p>
      <w:pPr>
        <w:ind w:left="80" w:right="99" w:firstLine="1293"/>
        <w:spacing w:after="0" w:line="275" w:lineRule="auto"/>
        <w:tabs>
          <w:tab w:leader="none" w:pos="202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Normal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cessation of Service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at or after the attainment of age sixty-five (65).</w:t>
      </w:r>
    </w:p>
    <w:p>
      <w:pPr>
        <w:spacing w:after="0" w:line="149" w:lineRule="exact"/>
        <w:rPr>
          <w:rFonts w:ascii="Times New Roman" w:cs="Times New Roman" w:eastAsia="Times New Roman" w:hAnsi="Times New Roman"/>
          <w:sz w:val="22"/>
          <w:szCs w:val="22"/>
          <w:color w:val="auto"/>
        </w:rPr>
      </w:pPr>
    </w:p>
    <w:p>
      <w:pPr>
        <w:ind w:left="2020" w:hanging="647"/>
        <w:spacing w:after="0"/>
        <w:tabs>
          <w:tab w:leader="none" w:pos="202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Participant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person to whom the Award is made pursuant to the</w:t>
      </w:r>
    </w:p>
    <w:p>
      <w:pPr>
        <w:spacing w:after="0" w:line="43" w:lineRule="exact"/>
        <w:rPr>
          <w:rFonts w:ascii="Times New Roman" w:cs="Times New Roman" w:eastAsia="Times New Roman" w:hAnsi="Times New Roman"/>
          <w:sz w:val="21"/>
          <w:szCs w:val="21"/>
          <w:color w:val="auto"/>
        </w:rPr>
      </w:pP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191" w:lineRule="exact"/>
        <w:rPr>
          <w:rFonts w:ascii="Times New Roman" w:cs="Times New Roman" w:eastAsia="Times New Roman" w:hAnsi="Times New Roman"/>
          <w:sz w:val="21"/>
          <w:szCs w:val="21"/>
          <w:color w:val="auto"/>
        </w:rPr>
      </w:pPr>
    </w:p>
    <w:p>
      <w:pPr>
        <w:ind w:left="80" w:right="99" w:firstLine="1293"/>
        <w:spacing w:after="0" w:line="275" w:lineRule="auto"/>
        <w:tabs>
          <w:tab w:leader="none" w:pos="202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Corporation’s 2016 Incentive Compensation Plan,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from time to time.</w:t>
      </w:r>
    </w:p>
    <w:p>
      <w:pPr>
        <w:spacing w:after="0" w:line="149" w:lineRule="exact"/>
        <w:rPr>
          <w:rFonts w:ascii="Times New Roman" w:cs="Times New Roman" w:eastAsia="Times New Roman" w:hAnsi="Times New Roman"/>
          <w:sz w:val="22"/>
          <w:szCs w:val="22"/>
          <w:color w:val="auto"/>
        </w:rPr>
      </w:pPr>
    </w:p>
    <w:p>
      <w:pPr>
        <w:jc w:val="both"/>
        <w:ind w:left="80" w:right="99" w:firstLine="1293"/>
        <w:spacing w:after="0" w:line="248" w:lineRule="auto"/>
        <w:tabs>
          <w:tab w:leader="none" w:pos="202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Qualifying 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date on which there occurs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95" w:lineRule="exact"/>
        <w:rPr>
          <w:rFonts w:ascii="Times New Roman" w:cs="Times New Roman" w:eastAsia="Times New Roman" w:hAnsi="Times New Roman"/>
          <w:sz w:val="22"/>
          <w:szCs w:val="22"/>
          <w:color w:val="auto"/>
        </w:rPr>
      </w:pPr>
    </w:p>
    <w:p>
      <w:pPr>
        <w:jc w:val="both"/>
        <w:ind w:left="80" w:right="79" w:firstLine="1293"/>
        <w:spacing w:after="0" w:line="257" w:lineRule="auto"/>
        <w:tabs>
          <w:tab w:leader="none" w:pos="2024"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Separation from Service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Participant’s cessation of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spacing w:after="0" w:line="170" w:lineRule="exact"/>
        <w:rPr>
          <w:rFonts w:ascii="Times New Roman" w:cs="Times New Roman" w:eastAsia="Times New Roman" w:hAnsi="Times New Roman"/>
          <w:sz w:val="21"/>
          <w:szCs w:val="21"/>
          <w:color w:val="auto"/>
        </w:rPr>
      </w:pPr>
    </w:p>
    <w:p>
      <w:pPr>
        <w:ind w:left="80" w:right="79" w:firstLine="1293"/>
        <w:spacing w:after="0" w:line="275" w:lineRule="auto"/>
        <w:tabs>
          <w:tab w:leader="none" w:pos="202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Participant’s performance of services for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Parent or Subsidiary) in the capacity of an Employee, a non-employee member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85" w:name="page186"/>
    <w:bookmarkEnd w:id="185"/>
    <w:p>
      <w:pPr>
        <w:ind w:left="80" w:right="99"/>
        <w:spacing w:after="0" w:line="271" w:lineRule="auto"/>
        <w:rPr>
          <w:sz w:val="20"/>
          <w:szCs w:val="20"/>
          <w:color w:val="auto"/>
        </w:rPr>
      </w:pPr>
      <w:r>
        <w:rPr>
          <w:rFonts w:ascii="Times New Roman" w:cs="Times New Roman" w:eastAsia="Times New Roman" w:hAnsi="Times New Roman"/>
          <w:sz w:val="22"/>
          <w:szCs w:val="22"/>
          <w:color w:val="auto"/>
        </w:rPr>
        <w:t>of the board of directors or a consultant or independent advisor. In addition, the following provisions shall govern the determination of Participant’s period of Service:</w:t>
      </w:r>
    </w:p>
    <w:p>
      <w:pPr>
        <w:spacing w:after="0" w:line="158" w:lineRule="exact"/>
        <w:rPr>
          <w:sz w:val="20"/>
          <w:szCs w:val="20"/>
          <w:color w:val="auto"/>
        </w:rPr>
      </w:pPr>
    </w:p>
    <w:p>
      <w:pPr>
        <w:jc w:val="both"/>
        <w:ind w:left="720" w:right="739" w:firstLine="1301"/>
        <w:spacing w:after="0" w:line="252" w:lineRule="auto"/>
        <w:tabs>
          <w:tab w:leader="none" w:pos="266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246" w:lineRule="exact"/>
        <w:rPr>
          <w:rFonts w:ascii="Times New Roman" w:cs="Times New Roman" w:eastAsia="Times New Roman" w:hAnsi="Times New Roman"/>
          <w:sz w:val="22"/>
          <w:szCs w:val="22"/>
          <w:color w:val="auto"/>
        </w:rPr>
      </w:pPr>
    </w:p>
    <w:p>
      <w:pPr>
        <w:jc w:val="both"/>
        <w:ind w:left="720" w:right="739" w:firstLine="1301"/>
        <w:spacing w:after="0" w:line="248" w:lineRule="auto"/>
        <w:tabs>
          <w:tab w:leader="none" w:pos="266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240" w:lineRule="exact"/>
        <w:rPr>
          <w:rFonts w:ascii="Times New Roman" w:cs="Times New Roman" w:eastAsia="Times New Roman" w:hAnsi="Times New Roman"/>
          <w:sz w:val="22"/>
          <w:szCs w:val="22"/>
          <w:color w:val="auto"/>
        </w:rPr>
      </w:pPr>
    </w:p>
    <w:p>
      <w:pPr>
        <w:jc w:val="both"/>
        <w:ind w:left="720" w:right="739" w:firstLine="1301"/>
        <w:spacing w:after="0" w:line="252" w:lineRule="auto"/>
        <w:tabs>
          <w:tab w:leader="none" w:pos="266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246" w:lineRule="exact"/>
        <w:rPr>
          <w:rFonts w:ascii="Times New Roman" w:cs="Times New Roman" w:eastAsia="Times New Roman" w:hAnsi="Times New Roman"/>
          <w:sz w:val="22"/>
          <w:szCs w:val="22"/>
          <w:color w:val="auto"/>
        </w:rPr>
      </w:pPr>
    </w:p>
    <w:p>
      <w:pPr>
        <w:jc w:val="both"/>
        <w:ind w:left="720" w:right="739" w:firstLine="1949"/>
        <w:spacing w:after="0" w:line="250" w:lineRule="auto"/>
        <w:tabs>
          <w:tab w:leader="none" w:pos="3312"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248" w:lineRule="exact"/>
        <w:rPr>
          <w:rFonts w:ascii="Times New Roman" w:cs="Times New Roman" w:eastAsia="Times New Roman" w:hAnsi="Times New Roman"/>
          <w:sz w:val="22"/>
          <w:szCs w:val="22"/>
          <w:color w:val="auto"/>
        </w:rPr>
      </w:pPr>
    </w:p>
    <w:p>
      <w:pPr>
        <w:jc w:val="both"/>
        <w:ind w:left="720" w:right="739" w:firstLine="1949"/>
        <w:spacing w:after="0" w:line="246" w:lineRule="auto"/>
        <w:tabs>
          <w:tab w:leader="none" w:pos="3312"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239" w:lineRule="exact"/>
        <w:rPr>
          <w:rFonts w:ascii="Times New Roman" w:cs="Times New Roman" w:eastAsia="Times New Roman" w:hAnsi="Times New Roman"/>
          <w:sz w:val="22"/>
          <w:szCs w:val="22"/>
          <w:color w:val="auto"/>
        </w:rPr>
      </w:pPr>
    </w:p>
    <w:p>
      <w:pPr>
        <w:jc w:val="both"/>
        <w:ind w:left="720" w:right="739" w:firstLine="1949"/>
        <w:spacing w:after="0" w:line="252" w:lineRule="auto"/>
        <w:tabs>
          <w:tab w:leader="none" w:pos="3312"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246" w:lineRule="exact"/>
        <w:rPr>
          <w:rFonts w:ascii="Times New Roman" w:cs="Times New Roman" w:eastAsia="Times New Roman" w:hAnsi="Times New Roman"/>
          <w:sz w:val="22"/>
          <w:szCs w:val="22"/>
          <w:color w:val="auto"/>
        </w:rPr>
      </w:pPr>
    </w:p>
    <w:p>
      <w:pPr>
        <w:ind w:left="720" w:right="739" w:firstLine="1301"/>
        <w:spacing w:after="0" w:line="271" w:lineRule="auto"/>
        <w:tabs>
          <w:tab w:leader="none" w:pos="266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foregoing provisions of this Service definition, the Participant shall in all events be deemed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86" w:name="page187"/>
    <w:bookmarkEnd w:id="186"/>
    <w:p>
      <w:pPr>
        <w:ind w:left="720" w:right="739"/>
        <w:spacing w:after="0" w:line="271" w:lineRule="auto"/>
        <w:rPr>
          <w:sz w:val="20"/>
          <w:szCs w:val="20"/>
          <w:color w:val="auto"/>
        </w:rPr>
      </w:pPr>
      <w:r>
        <w:rPr>
          <w:rFonts w:ascii="Times New Roman" w:cs="Times New Roman" w:eastAsia="Times New Roman" w:hAnsi="Times New Roman"/>
          <w:sz w:val="22"/>
          <w:szCs w:val="22"/>
          <w:color w:val="auto"/>
        </w:rPr>
        <w:t>to cease Service for all purposes of this Award immediately upon Participant’s incurrence of a Separation from Service.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353695</wp:posOffset>
            </wp:positionV>
            <wp:extent cx="562356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87" w:name="page188"/>
    <w:bookmarkEnd w:id="187"/>
    <w:p>
      <w:pPr>
        <w:ind w:left="838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0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MATSON, INC.</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840" w:type="dxa"/>
            <w:vAlign w:val="bottom"/>
            <w:gridSpan w:val="3"/>
          </w:tcPr>
          <w:p>
            <w:pPr>
              <w:jc w:val="center"/>
              <w:ind w:left="2394"/>
              <w:spacing w:after="0"/>
              <w:rPr>
                <w:sz w:val="20"/>
                <w:szCs w:val="20"/>
                <w:color w:val="auto"/>
              </w:rPr>
            </w:pPr>
            <w:r>
              <w:rPr>
                <w:rFonts w:ascii="Times New Roman" w:cs="Times New Roman" w:eastAsia="Times New Roman" w:hAnsi="Times New Roman"/>
                <w:sz w:val="18"/>
                <w:szCs w:val="18"/>
                <w:b w:val="1"/>
                <w:bCs w:val="1"/>
                <w:color w:val="auto"/>
                <w:w w:val="99"/>
              </w:rPr>
              <w:t>Subsidiaries as of December 31, 2023</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vMerge w:val="restart"/>
          </w:tcPr>
          <w:p>
            <w:pPr>
              <w:spacing w:after="0"/>
              <w:rPr>
                <w:sz w:val="24"/>
                <w:szCs w:val="24"/>
                <w:color w:val="auto"/>
              </w:rPr>
            </w:pPr>
          </w:p>
        </w:tc>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ABHI-Crockett, Inc.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Matson Navigation Company,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Alaska,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Horizon Lines Holding Corp.</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Horizon Lines of Puerto Rico,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HLPR Holding Corp.</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Horizon Logistics,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Horizon Services Group,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Aero Logistics,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Horizon Lines,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Horizon Lines of Guam,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Horizon Lines Vessels,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H-L Distribution Service,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Matson Navigation Company of Alaska,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240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2560"/>
              <w:spacing w:after="0"/>
              <w:rPr>
                <w:sz w:val="20"/>
                <w:szCs w:val="20"/>
                <w:color w:val="auto"/>
              </w:rPr>
            </w:pPr>
            <w:r>
              <w:rPr>
                <w:rFonts w:ascii="Times New Roman" w:cs="Times New Roman" w:eastAsia="Times New Roman" w:hAnsi="Times New Roman"/>
                <w:sz w:val="17"/>
                <w:szCs w:val="17"/>
                <w:color w:val="auto"/>
              </w:rPr>
              <w:t>Horizon Lines Merchant Vessels,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220"/>
              <w:spacing w:after="0"/>
              <w:rPr>
                <w:sz w:val="20"/>
                <w:szCs w:val="20"/>
                <w:color w:val="auto"/>
              </w:rPr>
            </w:pPr>
            <w:r>
              <w:rPr>
                <w:rFonts w:ascii="Times New Roman" w:cs="Times New Roman" w:eastAsia="Times New Roman" w:hAnsi="Times New Roman"/>
                <w:sz w:val="17"/>
                <w:szCs w:val="17"/>
                <w:color w:val="auto"/>
              </w:rPr>
              <w:t>Horizon Lines Alaska Vessels,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220"/>
              <w:spacing w:after="0"/>
              <w:rPr>
                <w:sz w:val="20"/>
                <w:szCs w:val="20"/>
                <w:color w:val="auto"/>
              </w:rPr>
            </w:pPr>
            <w:r>
              <w:rPr>
                <w:rFonts w:ascii="Times New Roman" w:cs="Times New Roman" w:eastAsia="Times New Roman" w:hAnsi="Times New Roman"/>
                <w:sz w:val="17"/>
                <w:szCs w:val="17"/>
                <w:color w:val="auto"/>
              </w:rPr>
              <w:t>Horizon Lines Alaska Terminals,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Logistics, Inc.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Matson Logistics Services,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Matson Logistics Warehousing,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Span Intermediate,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auto"/>
              </w:rPr>
              <w:t>Subsidiary:</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Span Acquisition Co.,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5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Span-Alaska Transportation,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Alaska Freight Express,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Midnight Sun Transportation Services,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Alaska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Navigation Vessels,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Terminals, Inc.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Ventures,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Logistics (Shanghai) Co., Ltd.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Shipping (Hong Kong)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Shipping (Shanghai) Co., Ltd.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Logistics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Shipping Japan KK</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Japan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South Pacific Holdco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Subsidiary:</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Matson South Pacific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Tranz Pacific Ship Management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Island Chief Shipping Limited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Liloa II Shipping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Olomana Shipping Limited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Papa Mau Shipping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17" w:right="1259" w:bottom="1440" w:gutter="0" w:footer="0" w:header="0"/>
        </w:sectPr>
      </w:pPr>
    </w:p>
    <w:bookmarkStart w:id="188" w:name="page189"/>
    <w:bookmarkEnd w:id="18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333-258289 and 333-212194 on Form S-8 of our report dated February 23, 2024, relating to the consolidated financial statements of Matson, Inc. and subsidiaries and the effectiveness of Matson, Inc. and subsidiaries’ internal control over financial reporting appearing in this Annual Report on Form 10-K for the year ended December 31, 2023.</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Honolulu, Hawaii</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9" w:name="page190"/>
    <w:bookmarkEnd w:id="18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Matthew J. Cox, certify that:</w:t>
      </w:r>
    </w:p>
    <w:p>
      <w:pPr>
        <w:spacing w:after="0" w:line="225" w:lineRule="exact"/>
        <w:rPr>
          <w:sz w:val="20"/>
          <w:szCs w:val="20"/>
          <w:color w:val="auto"/>
        </w:rPr>
      </w:pPr>
    </w:p>
    <w:p>
      <w:pPr>
        <w:ind w:left="680" w:hanging="636"/>
        <w:spacing w:after="0"/>
        <w:tabs>
          <w:tab w:leader="none" w:pos="6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Matson, Inc.;</w:t>
      </w:r>
    </w:p>
    <w:p>
      <w:pPr>
        <w:spacing w:after="0" w:line="225" w:lineRule="exact"/>
        <w:rPr>
          <w:rFonts w:ascii="Times New Roman" w:cs="Times New Roman" w:eastAsia="Times New Roman" w:hAnsi="Times New Roman"/>
          <w:sz w:val="18"/>
          <w:szCs w:val="18"/>
          <w:color w:val="auto"/>
        </w:rPr>
      </w:pPr>
    </w:p>
    <w:p>
      <w:pPr>
        <w:ind w:left="40" w:right="79" w:firstLine="4"/>
        <w:spacing w:after="0" w:line="266" w:lineRule="auto"/>
        <w:tabs>
          <w:tab w:leader="none" w:pos="67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40" w:right="239" w:firstLine="4"/>
        <w:spacing w:after="0" w:line="266" w:lineRule="auto"/>
        <w:tabs>
          <w:tab w:leader="none" w:pos="67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40" w:right="239" w:firstLine="4"/>
        <w:spacing w:after="0" w:line="258" w:lineRule="auto"/>
        <w:tabs>
          <w:tab w:leader="none" w:pos="66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40" w:right="99" w:firstLine="652"/>
        <w:spacing w:after="0" w:line="261" w:lineRule="auto"/>
        <w:tabs>
          <w:tab w:leader="none" w:pos="120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40" w:right="519" w:firstLine="652"/>
        <w:spacing w:after="0" w:line="261" w:lineRule="auto"/>
        <w:tabs>
          <w:tab w:leader="none" w:pos="121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40" w:right="99" w:firstLine="652"/>
        <w:spacing w:after="0" w:line="266" w:lineRule="auto"/>
        <w:tabs>
          <w:tab w:leader="none" w:pos="120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40" w:right="99" w:firstLine="652"/>
        <w:spacing w:after="0" w:line="261" w:lineRule="auto"/>
        <w:tabs>
          <w:tab w:leader="none" w:pos="121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40" w:right="99" w:firstLine="4"/>
        <w:spacing w:after="0" w:line="258" w:lineRule="auto"/>
        <w:tabs>
          <w:tab w:leader="none" w:pos="66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40" w:right="119" w:firstLine="652"/>
        <w:spacing w:after="0" w:line="266" w:lineRule="auto"/>
        <w:tabs>
          <w:tab w:leader="none" w:pos="119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40" w:right="239" w:firstLine="652"/>
        <w:spacing w:after="0" w:line="282" w:lineRule="auto"/>
        <w:tabs>
          <w:tab w:leader="none" w:pos="120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26314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6">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Matthew J. Cox, Chairman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0" w:name="page191"/>
    <w:bookmarkEnd w:id="19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Joel M. Wine, certify that:</w:t>
      </w:r>
    </w:p>
    <w:p>
      <w:pPr>
        <w:spacing w:after="0" w:line="225" w:lineRule="exact"/>
        <w:rPr>
          <w:sz w:val="20"/>
          <w:szCs w:val="20"/>
          <w:color w:val="auto"/>
        </w:rPr>
      </w:pPr>
    </w:p>
    <w:p>
      <w:pPr>
        <w:ind w:left="680" w:hanging="630"/>
        <w:spacing w:after="0"/>
        <w:tabs>
          <w:tab w:leader="none" w:pos="6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Matson, Inc.;</w:t>
      </w:r>
    </w:p>
    <w:p>
      <w:pPr>
        <w:spacing w:after="0" w:line="225" w:lineRule="exact"/>
        <w:rPr>
          <w:rFonts w:ascii="Times New Roman" w:cs="Times New Roman" w:eastAsia="Times New Roman" w:hAnsi="Times New Roman"/>
          <w:sz w:val="18"/>
          <w:szCs w:val="18"/>
          <w:color w:val="auto"/>
        </w:rPr>
      </w:pPr>
    </w:p>
    <w:p>
      <w:pPr>
        <w:ind w:left="60" w:right="79" w:hanging="10"/>
        <w:spacing w:after="0" w:line="266" w:lineRule="auto"/>
        <w:tabs>
          <w:tab w:leader="none" w:pos="69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0" w:right="239" w:hanging="10"/>
        <w:spacing w:after="0" w:line="266" w:lineRule="auto"/>
        <w:tabs>
          <w:tab w:leader="none" w:pos="69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0" w:right="239" w:hanging="10"/>
        <w:spacing w:after="0" w:line="258" w:lineRule="auto"/>
        <w:tabs>
          <w:tab w:leader="none" w:pos="68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60" w:right="79" w:firstLine="638"/>
        <w:spacing w:after="0" w:line="261" w:lineRule="auto"/>
        <w:tabs>
          <w:tab w:leader="none" w:pos="126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60" w:right="459" w:firstLine="638"/>
        <w:spacing w:after="0" w:line="261" w:lineRule="auto"/>
        <w:tabs>
          <w:tab w:leader="none" w:pos="127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0" w:right="79" w:firstLine="638"/>
        <w:spacing w:after="0" w:line="266" w:lineRule="auto"/>
        <w:tabs>
          <w:tab w:leader="none" w:pos="126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60" w:right="459" w:firstLine="638"/>
        <w:spacing w:after="0" w:line="261" w:lineRule="auto"/>
        <w:tabs>
          <w:tab w:leader="none" w:pos="127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hanging="10"/>
        <w:spacing w:after="0" w:line="258" w:lineRule="auto"/>
        <w:tabs>
          <w:tab w:leader="none" w:pos="68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60" w:right="119" w:firstLine="638"/>
        <w:spacing w:after="0" w:line="266" w:lineRule="auto"/>
        <w:tabs>
          <w:tab w:leader="none" w:pos="125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0" w:right="179" w:firstLine="638"/>
        <w:spacing w:after="0" w:line="282" w:lineRule="auto"/>
        <w:tabs>
          <w:tab w:leader="none" w:pos="126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88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Joel M. Wine, Executive Vice President</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1" w:name="page192"/>
    <w:bookmarkEnd w:id="19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In connection with the Annual Report of Matson, Inc. (the “Company”) on Form 10-K for the fiscal year ended December 31, 2023 as filed with the Securities and Exchange Commission on the date hereof (the “Report”), Matthew J. Cox, as Chairman and Chief Executive Officer of the Company, and Joel M. Wine, as Executive Vice President and Chief Financial Officer of the Company, hereby certify, pursuant to 18 U.S.C. Section 1350, as adopted pursuant to Section 906 of the Sarbanes-Oxley Act of 2002, that to their knowledge:</w:t>
      </w:r>
    </w:p>
    <w:p>
      <w:pPr>
        <w:spacing w:after="0" w:line="187" w:lineRule="exact"/>
        <w:rPr>
          <w:sz w:val="20"/>
          <w:szCs w:val="20"/>
          <w:color w:val="auto"/>
        </w:rPr>
      </w:pPr>
    </w:p>
    <w:p>
      <w:pPr>
        <w:ind w:left="1340" w:hanging="642"/>
        <w:spacing w:after="0"/>
        <w:tabs>
          <w:tab w:leader="none" w:pos="13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of 1934; and</w:t>
      </w:r>
    </w:p>
    <w:p>
      <w:pPr>
        <w:spacing w:after="0" w:line="206" w:lineRule="exact"/>
        <w:rPr>
          <w:rFonts w:ascii="Times New Roman" w:cs="Times New Roman" w:eastAsia="Times New Roman" w:hAnsi="Times New Roman"/>
          <w:sz w:val="18"/>
          <w:szCs w:val="18"/>
          <w:color w:val="auto"/>
        </w:rPr>
      </w:pPr>
    </w:p>
    <w:p>
      <w:pPr>
        <w:ind w:left="60" w:right="279" w:firstLine="638"/>
        <w:spacing w:after="0" w:line="282" w:lineRule="auto"/>
        <w:tabs>
          <w:tab w:leader="none" w:pos="135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00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Matthew J. Cox</w:t>
      </w:r>
    </w:p>
    <w:p>
      <w:pPr>
        <w:spacing w:after="0" w:line="23"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00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Joel M. Wine</w:t>
      </w:r>
    </w:p>
    <w:p>
      <w:pPr>
        <w:spacing w:after="0" w:line="23"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2" w:name="page193"/>
    <w:bookmarkEnd w:id="192"/>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13335</wp:posOffset>
            </wp:positionV>
            <wp:extent cx="1911350" cy="436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3">
                      <a:extLst>
                        <a:ext uri="{28A0092B-C50C-407E-A947-70E740481C1C}"/>
                      </a:extLst>
                    </a:blip>
                    <a:srcRect/>
                    <a:stretch>
                      <a:fillRect/>
                    </a:stretch>
                  </pic:blipFill>
                  <pic:spPr bwMode="auto">
                    <a:xfrm>
                      <a:off x="0" y="0"/>
                      <a:ext cx="19113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Regarding Recoupment of Certain Compensation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amended and restated October 26, 2023)</w:t>
      </w:r>
    </w:p>
    <w:p>
      <w:pPr>
        <w:spacing w:after="0" w:line="196" w:lineRule="exact"/>
        <w:rPr>
          <w:sz w:val="20"/>
          <w:szCs w:val="20"/>
          <w:color w:val="auto"/>
        </w:rPr>
      </w:pPr>
    </w:p>
    <w:p>
      <w:pPr>
        <w:ind w:left="860" w:right="359" w:hanging="651"/>
        <w:spacing w:after="0" w:line="250" w:lineRule="auto"/>
        <w:tabs>
          <w:tab w:leader="none" w:pos="8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sets forth the conditions under which Matson, Inc. (the “Company”) will seek reimbursement with respect to incentive-based compensation (as defined below) received by Covered Executives of the Company. “Covered Executives” means those individuals designated by the Board of Directors as Covered Executives under Section 303A.14 of the NYSE Listed Company Manual (“Section 303A.14”).</w:t>
      </w:r>
    </w:p>
    <w:p>
      <w:pPr>
        <w:spacing w:after="0" w:line="180" w:lineRule="exact"/>
        <w:rPr>
          <w:rFonts w:ascii="Times New Roman" w:cs="Times New Roman" w:eastAsia="Times New Roman" w:hAnsi="Times New Roman"/>
          <w:sz w:val="22"/>
          <w:szCs w:val="22"/>
          <w:color w:val="auto"/>
        </w:rPr>
      </w:pPr>
    </w:p>
    <w:p>
      <w:pPr>
        <w:ind w:left="860" w:right="419" w:hanging="651"/>
        <w:spacing w:after="0" w:line="262" w:lineRule="auto"/>
        <w:tabs>
          <w:tab w:leader="none" w:pos="86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instance where all three of the following factors exist, the Company will recover from each Covered Executive the full or partial portion of any incentive-based compensation paid or granted to, or received by, such Covered Executive during the three</w:t>
      </w:r>
    </w:p>
    <w:p>
      <w:pPr>
        <w:spacing w:after="0" w:line="2" w:lineRule="exact"/>
        <w:rPr>
          <w:rFonts w:ascii="Times New Roman" w:cs="Times New Roman" w:eastAsia="Times New Roman" w:hAnsi="Times New Roman"/>
          <w:sz w:val="21"/>
          <w:szCs w:val="21"/>
          <w:color w:val="auto"/>
        </w:rPr>
      </w:pPr>
    </w:p>
    <w:p>
      <w:pPr>
        <w:ind w:left="860" w:right="279"/>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fiscal year period preceding the date on which the Company is required (within the meaning of Section 303A.14) to prepare an accounting restatement due to the 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only in the current period or left uncorrected in the current period) (a “Required Financial Restatement”) that is greater than the amount that would have been received had the financial results been originally reported as set forth in the accounting restatement (the amount of such excess amount received by, the Covered Executive being herein called the “Excess Compensation”):</w:t>
      </w:r>
    </w:p>
    <w:p>
      <w:pPr>
        <w:spacing w:after="0" w:line="196" w:lineRule="exact"/>
        <w:rPr>
          <w:sz w:val="20"/>
          <w:szCs w:val="20"/>
          <w:color w:val="auto"/>
        </w:rPr>
      </w:pPr>
    </w:p>
    <w:p>
      <w:pPr>
        <w:ind w:left="1500" w:right="219" w:hanging="643"/>
        <w:spacing w:after="0" w:line="246" w:lineRule="auto"/>
        <w:tabs>
          <w:tab w:leader="none" w:pos="150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incentive-based compensation payment was based – in whole or in part – upon the achievement of financial reporting measures determined and presented in accordance with the accounting principles used in preparing the Company’s financial statements, and any measures that are derived wholly or in part from such measures, such as the Company’s stock price and total shareholder return (“TSR”) delivered to the Company’s shareholders, as reported in a Form 10-Q, Form 10-K or other report filed with the Securities and Exchange Commission, with respect to which the Company was required to prepare a Required Financial Restatement (“Incentive-Based Compensation”);</w:t>
      </w:r>
    </w:p>
    <w:p>
      <w:pPr>
        <w:spacing w:after="0" w:line="190" w:lineRule="exact"/>
        <w:rPr>
          <w:rFonts w:ascii="Times New Roman" w:cs="Times New Roman" w:eastAsia="Times New Roman" w:hAnsi="Times New Roman"/>
          <w:sz w:val="22"/>
          <w:szCs w:val="22"/>
          <w:color w:val="auto"/>
        </w:rPr>
      </w:pPr>
    </w:p>
    <w:p>
      <w:pPr>
        <w:ind w:left="1500" w:right="239" w:hanging="643"/>
        <w:spacing w:after="0" w:line="248" w:lineRule="auto"/>
        <w:tabs>
          <w:tab w:leader="none" w:pos="150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lower payment or grant would have been made to such Covered Executive based upon the restated financial results set forth in the Required Financial Restatement and the Covered Executive must either have received the Excess Compensation while serving as a Covered Executive or have served for some or all of the performance period for the Incentive-Based Compensation resulting in Excess Compensation, even if the Covered Executive is not serving as a Covered Executive at the time of that the Excess Compensation was received; and</w:t>
      </w:r>
    </w:p>
    <w:p>
      <w:pPr>
        <w:spacing w:after="0" w:line="181" w:lineRule="exact"/>
        <w:rPr>
          <w:rFonts w:ascii="Times New Roman" w:cs="Times New Roman" w:eastAsia="Times New Roman" w:hAnsi="Times New Roman"/>
          <w:sz w:val="22"/>
          <w:szCs w:val="22"/>
          <w:color w:val="auto"/>
        </w:rPr>
      </w:pPr>
    </w:p>
    <w:p>
      <w:pPr>
        <w:ind w:left="1500" w:right="419" w:hanging="643"/>
        <w:spacing w:after="0" w:line="252" w:lineRule="auto"/>
        <w:tabs>
          <w:tab w:leader="none" w:pos="150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Incentive-Based Compensation was received during the three completed fiscal years immediately preceding the date that the Company is required (within the meaning of Section 303A.14) to prepare the Required Financial Restatement and any “transition period” as prescribed under Section 303A.14.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628650</wp:posOffset>
            </wp:positionV>
            <wp:extent cx="545211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3" w:name="page194"/>
    <w:bookmarkEnd w:id="193"/>
    <w:p>
      <w:pPr>
        <w:ind w:left="860" w:hanging="651"/>
        <w:spacing w:after="0"/>
        <w:tabs>
          <w:tab w:leader="none" w:pos="86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Applicable Provisions.</w:t>
      </w:r>
    </w:p>
    <w:p>
      <w:pPr>
        <w:spacing w:after="0" w:line="219" w:lineRule="exact"/>
        <w:rPr>
          <w:rFonts w:ascii="Times New Roman" w:cs="Times New Roman" w:eastAsia="Times New Roman" w:hAnsi="Times New Roman"/>
          <w:sz w:val="22"/>
          <w:szCs w:val="22"/>
          <w:color w:val="auto"/>
        </w:rPr>
      </w:pPr>
    </w:p>
    <w:p>
      <w:pPr>
        <w:ind w:left="1500" w:right="1079" w:hanging="643"/>
        <w:spacing w:after="0" w:line="271" w:lineRule="auto"/>
        <w:tabs>
          <w:tab w:leader="none" w:pos="150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take any action permitted by law to recover the Excess Compensation from the Covered Executive.</w:t>
      </w:r>
    </w:p>
    <w:p>
      <w:pPr>
        <w:spacing w:after="0" w:line="157" w:lineRule="exact"/>
        <w:rPr>
          <w:rFonts w:ascii="Times New Roman" w:cs="Times New Roman" w:eastAsia="Times New Roman" w:hAnsi="Times New Roman"/>
          <w:sz w:val="22"/>
          <w:szCs w:val="22"/>
          <w:color w:val="auto"/>
        </w:rPr>
      </w:pPr>
    </w:p>
    <w:p>
      <w:pPr>
        <w:ind w:left="1500" w:right="299" w:hanging="643"/>
        <w:spacing w:after="0" w:line="245" w:lineRule="auto"/>
        <w:tabs>
          <w:tab w:leader="none" w:pos="150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(or a designated committee comprised exclusively of independent directors) shall have full and final authority to make all determinations required under this policy. The Company need not recover the Excess Compensation if and to the extent that the Company determines that such recovery is impracticable, subject to and in accordance with any applicable exceptions under Section 303A.14, and not required under Rule 10D-1 promulgated under the Securities Exchange Act of 1934, as amended (the “Exchange Act”), including if the Company determines that the direct expense paid to a third party to assist in enforcing this policy would exceed the amount to be recovered after making a reasonable attempt to recover such amounts or recovery would likely cause an otherwise tax-qualified retirement plan (such as The Matson, Inc. 401(k) and Profit Sharing Plan for Non-Bargaining Employees, as amended), to fail to meet certain qualification requirements of the Internal Revenue Code of 1986, as amended, and regulations promulgated thereunder.</w:t>
      </w:r>
    </w:p>
    <w:p>
      <w:pPr>
        <w:spacing w:after="0" w:line="191" w:lineRule="exact"/>
        <w:rPr>
          <w:rFonts w:ascii="Times New Roman" w:cs="Times New Roman" w:eastAsia="Times New Roman" w:hAnsi="Times New Roman"/>
          <w:sz w:val="22"/>
          <w:szCs w:val="22"/>
          <w:color w:val="auto"/>
        </w:rPr>
      </w:pPr>
    </w:p>
    <w:p>
      <w:pPr>
        <w:ind w:left="1500" w:right="599" w:hanging="643"/>
        <w:spacing w:after="0" w:line="257" w:lineRule="auto"/>
        <w:tabs>
          <w:tab w:leader="none" w:pos="150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shall be effective as of October 26, 2023 (the “Effective Date”), and shall apply to any Incentive-Based Compensation that is received (within the meaning of Section 303A.14) on or after the Effective Date.</w:t>
      </w:r>
    </w:p>
    <w:p>
      <w:pPr>
        <w:spacing w:after="0" w:line="172" w:lineRule="exact"/>
        <w:rPr>
          <w:rFonts w:ascii="Times New Roman" w:cs="Times New Roman" w:eastAsia="Times New Roman" w:hAnsi="Times New Roman"/>
          <w:sz w:val="22"/>
          <w:szCs w:val="22"/>
          <w:color w:val="auto"/>
        </w:rPr>
      </w:pPr>
    </w:p>
    <w:p>
      <w:pPr>
        <w:ind w:left="1500" w:right="259" w:hanging="643"/>
        <w:spacing w:after="0" w:line="257" w:lineRule="auto"/>
        <w:tabs>
          <w:tab w:leader="none" w:pos="150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remedies in this policy are cumulative and not exclusive of any other rights or remedies that may be available to the Company or any of its subsidiaries, whether provided by law, equity, statute, agreement, or otherwise.</w:t>
      </w:r>
    </w:p>
    <w:p>
      <w:pPr>
        <w:spacing w:after="0" w:line="172" w:lineRule="exact"/>
        <w:rPr>
          <w:rFonts w:ascii="Times New Roman" w:cs="Times New Roman" w:eastAsia="Times New Roman" w:hAnsi="Times New Roman"/>
          <w:sz w:val="22"/>
          <w:szCs w:val="22"/>
          <w:color w:val="auto"/>
        </w:rPr>
      </w:pPr>
    </w:p>
    <w:p>
      <w:pPr>
        <w:jc w:val="both"/>
        <w:ind w:left="1500" w:right="759" w:hanging="643"/>
        <w:spacing w:after="0" w:line="275" w:lineRule="auto"/>
        <w:tabs>
          <w:tab w:leader="none" w:pos="1500"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Incentive-Based Compensation includes any cash or equity-based bonus (e.g., stock, restricted stock units or options) or profit sharing awarded to a Covered Executive that is based upon achievement of financial performance metrics.</w:t>
      </w:r>
    </w:p>
    <w:p>
      <w:pPr>
        <w:spacing w:after="0" w:line="155" w:lineRule="exact"/>
        <w:rPr>
          <w:rFonts w:ascii="Times New Roman" w:cs="Times New Roman" w:eastAsia="Times New Roman" w:hAnsi="Times New Roman"/>
          <w:sz w:val="21"/>
          <w:szCs w:val="21"/>
          <w:color w:val="auto"/>
        </w:rPr>
      </w:pPr>
    </w:p>
    <w:p>
      <w:pPr>
        <w:ind w:left="1500" w:right="419" w:hanging="643"/>
        <w:spacing w:after="0" w:line="248" w:lineRule="auto"/>
        <w:tabs>
          <w:tab w:leader="none" w:pos="150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is separate from and in addition to the requirements of Section 304 of the Sarbanes-Oxley Act of 2002 (“Section 304”) that are applicable to the Company's Chief Executive Officer and Chief Financial Officer, and the Board of Directors shall consider any amounts paid to the Company by the Chief Executive Officer and Chief Financial Officer pursuant to Section 304 in determining any amount of incentive compensation to recoup under this policy.</w:t>
      </w:r>
    </w:p>
    <w:p>
      <w:pPr>
        <w:spacing w:after="0" w:line="186" w:lineRule="exact"/>
        <w:rPr>
          <w:rFonts w:ascii="Times New Roman" w:cs="Times New Roman" w:eastAsia="Times New Roman" w:hAnsi="Times New Roman"/>
          <w:sz w:val="22"/>
          <w:szCs w:val="22"/>
          <w:color w:val="auto"/>
        </w:rPr>
      </w:pPr>
    </w:p>
    <w:p>
      <w:pPr>
        <w:ind w:left="1500" w:right="319" w:hanging="643"/>
        <w:spacing w:after="0" w:line="268" w:lineRule="auto"/>
        <w:tabs>
          <w:tab w:leader="none" w:pos="1500"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is subject to any current or future actions imposed by law enforcement agencies, regulators or other authorities. This policy may be amended by the Company at any time to reflect development in the law governing this policy or the stock exchange listing standards with which this policy is intended to comply.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
      <w:numFmt w:val="bullet"/>
      <w:start w:val="1"/>
    </w:lvl>
  </w:abstractNum>
  <w:abstractNum w:abstractNumId="2">
    <w:nsid w:val="288F1A34"/>
    <w:multiLevelType w:val="hybridMultilevel"/>
    <w:lvl w:ilvl="0">
      <w:lvlJc w:val="left"/>
      <w:lvlText w:val="%1."/>
      <w:numFmt w:val="upperLetter"/>
      <w:start w:val="1"/>
    </w:lvl>
  </w:abstractNum>
  <w:abstractNum w:abstractNumId="3">
    <w:nsid w:val="2A155DBC"/>
    <w:multiLevelType w:val="hybridMultilevel"/>
    <w:lvl w:ilvl="0">
      <w:lvlJc w:val="left"/>
      <w:lvlText w:val=" "/>
      <w:numFmt w:val="bullet"/>
      <w:start w:val="1"/>
    </w:lvl>
  </w:abstractNum>
  <w:abstractNum w:abstractNumId="4">
    <w:nsid w:val="1D9F6E5F"/>
    <w:multiLevelType w:val="hybridMultilevel"/>
    <w:lvl w:ilvl="0">
      <w:lvlJc w:val="left"/>
      <w:lvlText w:val="%1."/>
      <w:numFmt w:val="upperLetter"/>
      <w:start w:val="2"/>
    </w:lvl>
  </w:abstractNum>
  <w:abstractNum w:abstractNumId="5">
    <w:nsid w:val="97E1B4E"/>
    <w:multiLevelType w:val="hybridMultilevel"/>
    <w:lvl w:ilvl="0">
      <w:lvlJc w:val="left"/>
      <w:lvlText w:val="(%1)"/>
      <w:numFmt w:val="decimal"/>
      <w:start w:val="1"/>
    </w:lvl>
  </w:abstractNum>
  <w:abstractNum w:abstractNumId="6">
    <w:nsid w:val="51088277"/>
    <w:multiLevelType w:val="hybridMultilevel"/>
    <w:lvl w:ilvl="0">
      <w:lvlJc w:val="left"/>
      <w:lvlText w:val="(%1)"/>
      <w:numFmt w:val="decimal"/>
      <w:start w:val="1"/>
    </w:lvl>
  </w:abstractNum>
  <w:abstractNum w:abstractNumId="7">
    <w:nsid w:val="1CA0C5FA"/>
    <w:multiLevelType w:val="hybridMultilevel"/>
    <w:lvl w:ilvl="0">
      <w:lvlJc w:val="left"/>
      <w:lvlText w:val="(%1)"/>
      <w:numFmt w:val="decimal"/>
      <w:start w:val="2"/>
    </w:lvl>
  </w:abstractNum>
  <w:abstractNum w:abstractNumId="8">
    <w:nsid w:val="53584BCB"/>
    <w:multiLevelType w:val="hybridMultilevel"/>
    <w:lvl w:ilvl="0">
      <w:lvlJc w:val="left"/>
      <w:lvlText w:val="%1."/>
      <w:numFmt w:val="upperLetter"/>
      <w:start w:val="3"/>
    </w:lvl>
  </w:abstractNum>
  <w:abstractNum w:abstractNumId="9">
    <w:nsid w:val="415E286C"/>
    <w:multiLevelType w:val="hybridMultilevel"/>
    <w:lvl w:ilvl="0">
      <w:lvlJc w:val="left"/>
      <w:lvlText w:val="%1."/>
      <w:numFmt w:val="upperLetter"/>
      <w:start w:val="4"/>
    </w:lvl>
  </w:abstractNum>
  <w:abstractNum w:abstractNumId="10">
    <w:nsid w:val="7C58FD05"/>
    <w:multiLevelType w:val="hybridMultilevel"/>
    <w:lvl w:ilvl="0">
      <w:lvlJc w:val="left"/>
      <w:lvlText w:val="●"/>
      <w:numFmt w:val="bullet"/>
      <w:start w:val="1"/>
    </w:lvl>
  </w:abstractNum>
  <w:abstractNum w:abstractNumId="11">
    <w:nsid w:val="23D86AAC"/>
    <w:multiLevelType w:val="hybridMultilevel"/>
    <w:lvl w:ilvl="0">
      <w:lvlJc w:val="left"/>
      <w:lvlText w:val="●"/>
      <w:numFmt w:val="bullet"/>
      <w:start w:val="1"/>
    </w:lvl>
  </w:abstractNum>
  <w:abstractNum w:abstractNumId="12">
    <w:nsid w:val="45E6D486"/>
    <w:multiLevelType w:val="hybridMultilevel"/>
    <w:lvl w:ilvl="0">
      <w:lvlJc w:val="left"/>
      <w:lvlText w:val="●"/>
      <w:numFmt w:val="bullet"/>
      <w:start w:val="1"/>
    </w:lvl>
  </w:abstractNum>
  <w:abstractNum w:abstractNumId="13">
    <w:nsid w:val="5C10FE21"/>
    <w:multiLevelType w:val="hybridMultilevel"/>
    <w:lvl w:ilvl="0">
      <w:lvlJc w:val="left"/>
      <w:lvlText w:val="●"/>
      <w:numFmt w:val="bullet"/>
      <w:start w:val="1"/>
    </w:lvl>
    <w:lvl w:ilvl="1">
      <w:lvlJc w:val="left"/>
      <w:lvlText w:val="●"/>
      <w:numFmt w:val="bullet"/>
      <w:start w:val="1"/>
    </w:lvl>
  </w:abstractNum>
  <w:abstractNum w:abstractNumId="14">
    <w:nsid w:val="E7FFA2B"/>
    <w:multiLevelType w:val="hybridMultilevel"/>
    <w:lvl w:ilvl="0">
      <w:lvlJc w:val="left"/>
      <w:lvlText w:val="●"/>
      <w:numFmt w:val="bullet"/>
      <w:start w:val="1"/>
    </w:lvl>
  </w:abstractNum>
  <w:abstractNum w:abstractNumId="15">
    <w:nsid w:val="3C5991AA"/>
    <w:multiLevelType w:val="hybridMultilevel"/>
    <w:lvl w:ilvl="0">
      <w:lvlJc w:val="left"/>
      <w:lvlText w:val="(%1)"/>
      <w:numFmt w:val="decimal"/>
      <w:start w:val="1"/>
    </w:lvl>
  </w:abstractNum>
  <w:abstractNum w:abstractNumId="16">
    <w:nsid w:val="4BD8591A"/>
    <w:multiLevelType w:val="hybridMultilevel"/>
    <w:lvl w:ilvl="0">
      <w:lvlJc w:val="left"/>
      <w:lvlText w:val=" "/>
      <w:numFmt w:val="bullet"/>
      <w:start w:val="1"/>
    </w:lvl>
  </w:abstractNum>
  <w:abstractNum w:abstractNumId="17">
    <w:nsid w:val="78DF6A55"/>
    <w:multiLevelType w:val="hybridMultilevel"/>
    <w:lvl w:ilvl="0">
      <w:lvlJc w:val="left"/>
      <w:lvlText w:val="(%1)"/>
      <w:numFmt w:val="decimal"/>
      <w:start w:val="1"/>
    </w:lvl>
  </w:abstractNum>
  <w:abstractNum w:abstractNumId="18">
    <w:nsid w:val="39B7AAA2"/>
    <w:multiLevelType w:val="hybridMultilevel"/>
    <w:lvl w:ilvl="0">
      <w:lvlJc w:val="left"/>
      <w:lvlText w:val="(%1)"/>
      <w:numFmt w:val="decimal"/>
      <w:start w:val="1"/>
    </w:lvl>
  </w:abstractNum>
  <w:abstractNum w:abstractNumId="19">
    <w:nsid w:val="2B0D8DBE"/>
    <w:multiLevelType w:val="hybridMultilevel"/>
    <w:lvl w:ilvl="0">
      <w:lvlJc w:val="left"/>
      <w:lvlText w:val="(%1)"/>
      <w:numFmt w:val="decimal"/>
      <w:start w:val="1"/>
    </w:lvl>
  </w:abstractNum>
  <w:abstractNum w:abstractNumId="20">
    <w:nsid w:val="6C80EC70"/>
    <w:multiLevelType w:val="hybridMultilevel"/>
    <w:lvl w:ilvl="0">
      <w:lvlJc w:val="left"/>
      <w:lvlText w:val="(%1)"/>
      <w:numFmt w:val="decimal"/>
      <w:start w:val="1"/>
    </w:lvl>
  </w:abstractNum>
  <w:abstractNum w:abstractNumId="21">
    <w:nsid w:val="379E21B5"/>
    <w:multiLevelType w:val="hybridMultilevel"/>
    <w:lvl w:ilvl="0">
      <w:lvlJc w:val="left"/>
      <w:lvlText w:val="(%1)"/>
      <w:numFmt w:val="decimal"/>
      <w:start w:val="2"/>
    </w:lvl>
  </w:abstractNum>
  <w:abstractNum w:abstractNumId="22">
    <w:nsid w:val="69E373"/>
    <w:multiLevelType w:val="hybridMultilevel"/>
    <w:lvl w:ilvl="0">
      <w:lvlJc w:val="left"/>
      <w:lvlText w:val="(%1)"/>
      <w:numFmt w:val="decimal"/>
      <w:start w:val="3"/>
    </w:lvl>
  </w:abstractNum>
  <w:abstractNum w:abstractNumId="23">
    <w:nsid w:val="2C27173B"/>
    <w:multiLevelType w:val="hybridMultilevel"/>
    <w:lvl w:ilvl="0">
      <w:lvlJc w:val="left"/>
      <w:lvlText w:val="●"/>
      <w:numFmt w:val="bullet"/>
      <w:start w:val="1"/>
    </w:lvl>
  </w:abstractNum>
  <w:abstractNum w:abstractNumId="24">
    <w:nsid w:val="4C9B0904"/>
    <w:multiLevelType w:val="hybridMultilevel"/>
    <w:lvl w:ilvl="0">
      <w:lvlJc w:val="left"/>
      <w:lvlText w:val="(%1)"/>
      <w:numFmt w:val="decimal"/>
      <w:start w:val="1"/>
    </w:lvl>
  </w:abstractNum>
  <w:abstractNum w:abstractNumId="25">
    <w:nsid w:val="6AA7B75C"/>
    <w:multiLevelType w:val="hybridMultilevel"/>
    <w:lvl w:ilvl="0">
      <w:lvlJc w:val="left"/>
      <w:lvlText w:val="●"/>
      <w:numFmt w:val="bullet"/>
      <w:start w:val="1"/>
    </w:lvl>
  </w:abstractNum>
  <w:abstractNum w:abstractNumId="26">
    <w:nsid w:val="1DF029D3"/>
    <w:multiLevelType w:val="hybridMultilevel"/>
    <w:lvl w:ilvl="0">
      <w:lvlJc w:val="left"/>
      <w:lvlText w:val="%1."/>
      <w:numFmt w:val="decimal"/>
      <w:start w:val="1"/>
    </w:lvl>
  </w:abstractNum>
  <w:abstractNum w:abstractNumId="27">
    <w:nsid w:val="5675FF36"/>
    <w:multiLevelType w:val="hybridMultilevel"/>
    <w:lvl w:ilvl="0">
      <w:lvlJc w:val="left"/>
      <w:lvlText w:val="%1."/>
      <w:numFmt w:val="decimal"/>
      <w:start w:val="2"/>
    </w:lvl>
  </w:abstractNum>
  <w:abstractNum w:abstractNumId="28">
    <w:nsid w:val="3DD15094"/>
    <w:multiLevelType w:val="hybridMultilevel"/>
    <w:lvl w:ilvl="0">
      <w:lvlJc w:val="left"/>
      <w:lvlText w:val="(%1)"/>
      <w:numFmt w:val="decimal"/>
      <w:start w:val="1"/>
    </w:lvl>
  </w:abstractNum>
  <w:abstractNum w:abstractNumId="29">
    <w:nsid w:val="3DB012B3"/>
    <w:multiLevelType w:val="hybridMultilevel"/>
    <w:lvl w:ilvl="0">
      <w:lvlJc w:val="left"/>
      <w:lvlText w:val="(%1)"/>
      <w:numFmt w:val="decimal"/>
      <w:start w:val="1"/>
    </w:lvl>
  </w:abstractNum>
  <w:abstractNum w:abstractNumId="30">
    <w:nsid w:val="2708C9AF"/>
    <w:multiLevelType w:val="hybridMultilevel"/>
    <w:lvl w:ilvl="0">
      <w:lvlJc w:val="left"/>
      <w:lvlText w:val=" "/>
      <w:numFmt w:val="bullet"/>
      <w:start w:val="1"/>
    </w:lvl>
  </w:abstractNum>
  <w:abstractNum w:abstractNumId="31">
    <w:nsid w:val="5B25ACE2"/>
    <w:multiLevelType w:val="hybridMultilevel"/>
    <w:lvl w:ilvl="0">
      <w:lvlJc w:val="left"/>
      <w:lvlText w:val="(%1)"/>
      <w:numFmt w:val="decimal"/>
      <w:start w:val="1"/>
    </w:lvl>
  </w:abstractNum>
  <w:abstractNum w:abstractNumId="32">
    <w:nsid w:val="175DFCF0"/>
    <w:multiLevelType w:val="hybridMultilevel"/>
    <w:lvl w:ilvl="0">
      <w:lvlJc w:val="left"/>
      <w:lvlText w:val=" "/>
      <w:numFmt w:val="bullet"/>
      <w:start w:val="1"/>
    </w:lvl>
  </w:abstractNum>
  <w:abstractNum w:abstractNumId="33">
    <w:nsid w:val="4F97E3E4"/>
    <w:multiLevelType w:val="hybridMultilevel"/>
    <w:lvl w:ilvl="0">
      <w:lvlJc w:val="left"/>
      <w:lvlText w:val=" "/>
      <w:numFmt w:val="bullet"/>
      <w:start w:val="1"/>
    </w:lvl>
  </w:abstractNum>
  <w:abstractNum w:abstractNumId="34">
    <w:nsid w:val="53B0A9E"/>
    <w:multiLevelType w:val="hybridMultilevel"/>
    <w:lvl w:ilvl="0">
      <w:lvlJc w:val="left"/>
      <w:lvlText w:val="%1."/>
      <w:numFmt w:val="decimal"/>
      <w:start w:val="3"/>
    </w:lvl>
  </w:abstractNum>
  <w:abstractNum w:abstractNumId="35">
    <w:nsid w:val="34FD6B4F"/>
    <w:multiLevelType w:val="hybridMultilevel"/>
    <w:lvl w:ilvl="0">
      <w:lvlJc w:val="left"/>
      <w:lvlText w:val="(%1)"/>
      <w:numFmt w:val="decimal"/>
      <w:start w:val="1"/>
    </w:lvl>
  </w:abstractNum>
  <w:abstractNum w:abstractNumId="36">
    <w:nsid w:val="5915FF32"/>
    <w:multiLevelType w:val="hybridMultilevel"/>
    <w:lvl w:ilvl="0">
      <w:lvlJc w:val="left"/>
      <w:lvlText w:val="(%1)"/>
      <w:numFmt w:val="decimal"/>
      <w:start w:val="1"/>
    </w:lvl>
  </w:abstractNum>
  <w:abstractNum w:abstractNumId="37">
    <w:nsid w:val="56438D15"/>
    <w:multiLevelType w:val="hybridMultilevel"/>
    <w:lvl w:ilvl="0">
      <w:lvlJc w:val="left"/>
      <w:lvlText w:val="%1."/>
      <w:numFmt w:val="decimal"/>
      <w:start w:val="4"/>
    </w:lvl>
  </w:abstractNum>
  <w:abstractNum w:abstractNumId="38">
    <w:nsid w:val="519E3149"/>
    <w:multiLevelType w:val="hybridMultilevel"/>
    <w:lvl w:ilvl="0">
      <w:lvlJc w:val="left"/>
      <w:lvlText w:val="(%1)"/>
      <w:numFmt w:val="decimal"/>
      <w:start w:val="1"/>
    </w:lvl>
  </w:abstractNum>
  <w:abstractNum w:abstractNumId="39">
    <w:nsid w:val="2C6E4AFD"/>
    <w:multiLevelType w:val="hybridMultilevel"/>
    <w:lvl w:ilvl="0">
      <w:lvlJc w:val="left"/>
      <w:lvlText w:val="%1."/>
      <w:numFmt w:val="decimal"/>
      <w:start w:val="5"/>
    </w:lvl>
  </w:abstractNum>
  <w:abstractNum w:abstractNumId="40">
    <w:nsid w:val="17A1B582"/>
    <w:multiLevelType w:val="hybridMultilevel"/>
    <w:lvl w:ilvl="0">
      <w:lvlJc w:val="left"/>
      <w:lvlText w:val="%1."/>
      <w:numFmt w:val="decimal"/>
      <w:start w:val="7"/>
    </w:lvl>
  </w:abstractNum>
  <w:abstractNum w:abstractNumId="41">
    <w:nsid w:val="4DF72E4E"/>
    <w:multiLevelType w:val="hybridMultilevel"/>
    <w:lvl w:ilvl="0">
      <w:lvlJc w:val="left"/>
      <w:lvlText w:val="(%1)"/>
      <w:numFmt w:val="lowerRoman"/>
      <w:start w:val="1"/>
    </w:lvl>
  </w:abstractNum>
  <w:abstractNum w:abstractNumId="42">
    <w:nsid w:val="5046B5A9"/>
    <w:multiLevelType w:val="hybridMultilevel"/>
    <w:lvl w:ilvl="0">
      <w:lvlJc w:val="left"/>
      <w:lvlText w:val="●"/>
      <w:numFmt w:val="bullet"/>
      <w:start w:val="1"/>
    </w:lvl>
  </w:abstractNum>
  <w:abstractNum w:abstractNumId="43">
    <w:nsid w:val="5D888A08"/>
    <w:multiLevelType w:val="hybridMultilevel"/>
    <w:lvl w:ilvl="0">
      <w:lvlJc w:val="left"/>
      <w:lvlText w:val="%1."/>
      <w:numFmt w:val="decimal"/>
      <w:start w:val="9"/>
    </w:lvl>
  </w:abstractNum>
  <w:abstractNum w:abstractNumId="44">
    <w:nsid w:val="2A082C70"/>
    <w:multiLevelType w:val="hybridMultilevel"/>
    <w:lvl w:ilvl="0">
      <w:lvlJc w:val="left"/>
      <w:lvlText w:val="%1."/>
      <w:numFmt w:val="decimal"/>
      <w:start w:val="10"/>
    </w:lvl>
  </w:abstractNum>
  <w:abstractNum w:abstractNumId="45">
    <w:nsid w:val="5EC6AFD4"/>
    <w:multiLevelType w:val="hybridMultilevel"/>
    <w:lvl w:ilvl="0">
      <w:lvlJc w:val="left"/>
      <w:lvlText w:val="(%1)"/>
      <w:numFmt w:val="decimal"/>
      <w:start w:val="1"/>
    </w:lvl>
  </w:abstractNum>
  <w:abstractNum w:abstractNumId="46">
    <w:nsid w:val="19E21BB2"/>
    <w:multiLevelType w:val="hybridMultilevel"/>
    <w:lvl w:ilvl="0">
      <w:lvlJc w:val="left"/>
      <w:lvlText w:val="%1."/>
      <w:numFmt w:val="decimal"/>
      <w:start w:val="11"/>
    </w:lvl>
  </w:abstractNum>
  <w:abstractNum w:abstractNumId="47">
    <w:nsid w:val="75E0858A"/>
    <w:multiLevelType w:val="hybridMultilevel"/>
    <w:lvl w:ilvl="0">
      <w:lvlJc w:val="left"/>
      <w:lvlText w:val="(%1)"/>
      <w:numFmt w:val="decimal"/>
      <w:start w:val="1"/>
    </w:lvl>
  </w:abstractNum>
  <w:abstractNum w:abstractNumId="48">
    <w:nsid w:val="57A61A29"/>
    <w:multiLevelType w:val="hybridMultilevel"/>
    <w:lvl w:ilvl="0">
      <w:lvlJc w:val="left"/>
      <w:lvlText w:val="(%1)"/>
      <w:numFmt w:val="decimal"/>
      <w:start w:val="1"/>
    </w:lvl>
  </w:abstractNum>
  <w:abstractNum w:abstractNumId="49">
    <w:nsid w:val="5399C654"/>
    <w:multiLevelType w:val="hybridMultilevel"/>
    <w:lvl w:ilvl="0">
      <w:lvlJc w:val="left"/>
      <w:lvlText w:val="(%1)"/>
      <w:numFmt w:val="decimal"/>
      <w:start w:val="1"/>
    </w:lvl>
  </w:abstractNum>
  <w:abstractNum w:abstractNumId="50">
    <w:nsid w:val="20EE1348"/>
    <w:multiLevelType w:val="hybridMultilevel"/>
    <w:lvl w:ilvl="0">
      <w:lvlJc w:val="left"/>
      <w:lvlText w:val="%1)"/>
      <w:numFmt w:val="lowerLetter"/>
      <w:start w:val="2"/>
    </w:lvl>
  </w:abstractNum>
  <w:abstractNum w:abstractNumId="51">
    <w:nsid w:val="4427069A"/>
    <w:multiLevelType w:val="hybridMultilevel"/>
    <w:lvl w:ilvl="0">
      <w:lvlJc w:val="left"/>
      <w:lvlText w:val="(%1)"/>
      <w:numFmt w:val="decimal"/>
      <w:start w:val="1"/>
    </w:lvl>
  </w:abstractNum>
  <w:abstractNum w:abstractNumId="52">
    <w:nsid w:val="B37E80A"/>
    <w:multiLevelType w:val="hybridMultilevel"/>
    <w:lvl w:ilvl="0">
      <w:lvlJc w:val="left"/>
      <w:lvlText w:val="%1."/>
      <w:numFmt w:val="decimal"/>
      <w:start w:val="12"/>
    </w:lvl>
  </w:abstractNum>
  <w:abstractNum w:abstractNumId="53">
    <w:nsid w:val="2157F6BC"/>
    <w:multiLevelType w:val="hybridMultilevel"/>
    <w:lvl w:ilvl="0">
      <w:lvlJc w:val="left"/>
      <w:lvlText w:val="%1."/>
      <w:numFmt w:val="decimal"/>
      <w:start w:val="13"/>
    </w:lvl>
  </w:abstractNum>
  <w:abstractNum w:abstractNumId="54">
    <w:nsid w:val="704E1DD5"/>
    <w:multiLevelType w:val="hybridMultilevel"/>
    <w:lvl w:ilvl="0">
      <w:lvlJc w:val="left"/>
      <w:lvlText w:val="%1."/>
      <w:numFmt w:val="decimal"/>
      <w:start w:val="14"/>
    </w:lvl>
  </w:abstractNum>
  <w:abstractNum w:abstractNumId="55">
    <w:nsid w:val="57D2F10E"/>
    <w:multiLevelType w:val="hybridMultilevel"/>
    <w:lvl w:ilvl="0">
      <w:lvlJc w:val="left"/>
      <w:lvlText w:val="%1."/>
      <w:numFmt w:val="decimal"/>
      <w:start w:val="15"/>
    </w:lvl>
  </w:abstractNum>
  <w:abstractNum w:abstractNumId="56">
    <w:nsid w:val="BFFAE18"/>
    <w:multiLevelType w:val="hybridMultilevel"/>
    <w:lvl w:ilvl="0">
      <w:lvlJc w:val="left"/>
      <w:lvlText w:val="(%1)"/>
      <w:numFmt w:val="decimal"/>
      <w:start w:val="1"/>
    </w:lvl>
  </w:abstractNum>
  <w:abstractNum w:abstractNumId="57">
    <w:nsid w:val="E3E47A8"/>
    <w:multiLevelType w:val="hybridMultilevel"/>
    <w:lvl w:ilvl="0">
      <w:lvlJc w:val="left"/>
      <w:lvlText w:val="%1."/>
      <w:numFmt w:val="decimal"/>
      <w:start w:val="16"/>
    </w:lvl>
  </w:abstractNum>
  <w:abstractNum w:abstractNumId="58">
    <w:nsid w:val="2E48F044"/>
    <w:multiLevelType w:val="hybridMultilevel"/>
    <w:lvl w:ilvl="0">
      <w:lvlJc w:val="left"/>
      <w:lvlText w:val="%1."/>
      <w:numFmt w:val="decimal"/>
      <w:start w:val="17"/>
    </w:lvl>
  </w:abstractNum>
  <w:abstractNum w:abstractNumId="59">
    <w:nsid w:val="49D0FEAC"/>
    <w:multiLevelType w:val="hybridMultilevel"/>
    <w:lvl w:ilvl="0">
      <w:lvlJc w:val="left"/>
      <w:lvlText w:val="(%1)"/>
      <w:numFmt w:val="decimal"/>
      <w:start w:val="1"/>
    </w:lvl>
  </w:abstractNum>
  <w:abstractNum w:abstractNumId="60">
    <w:nsid w:val="4BEE5A5B"/>
    <w:multiLevelType w:val="hybridMultilevel"/>
    <w:lvl w:ilvl="0">
      <w:lvlJc w:val="left"/>
      <w:lvlText w:val="%1."/>
      <w:numFmt w:val="upperLetter"/>
      <w:start w:val="1"/>
    </w:lvl>
  </w:abstractNum>
  <w:abstractNum w:abstractNumId="61">
    <w:nsid w:val="5551B9F3"/>
    <w:multiLevelType w:val="hybridMultilevel"/>
    <w:lvl w:ilvl="0">
      <w:lvlJc w:val="left"/>
      <w:lvlText w:val="%1."/>
      <w:numFmt w:val="upperLetter"/>
      <w:start w:val="2"/>
    </w:lvl>
  </w:abstractNum>
  <w:abstractNum w:abstractNumId="62">
    <w:nsid w:val="24F6AB8E"/>
    <w:multiLevelType w:val="hybridMultilevel"/>
    <w:lvl w:ilvl="0">
      <w:lvlJc w:val="left"/>
      <w:lvlText w:val="%1."/>
      <w:numFmt w:val="upperLetter"/>
      <w:start w:val="3"/>
    </w:lvl>
  </w:abstractNum>
  <w:abstractNum w:abstractNumId="63">
    <w:nsid w:val="634C574C"/>
    <w:multiLevelType w:val="hybridMultilevel"/>
    <w:lvl w:ilvl="0">
      <w:lvlJc w:val="left"/>
      <w:lvlText w:val="%1."/>
      <w:numFmt w:val="upperLetter"/>
      <w:start w:val="4"/>
    </w:lvl>
  </w:abstractNum>
  <w:abstractNum w:abstractNumId="64">
    <w:nsid w:val="24E99DD7"/>
    <w:multiLevelType w:val="hybridMultilevel"/>
    <w:lvl w:ilvl="0">
      <w:lvlJc w:val="left"/>
      <w:lvlText w:val="(%1)"/>
      <w:numFmt w:val="decimal"/>
      <w:start w:val="1"/>
    </w:lvl>
  </w:abstractNum>
  <w:abstractNum w:abstractNumId="65">
    <w:nsid w:val="2A31B62D"/>
    <w:multiLevelType w:val="hybridMultilevel"/>
    <w:lvl w:ilvl="0">
      <w:lvlJc w:val="left"/>
      <w:lvlText w:val="%1."/>
      <w:numFmt w:val="upperLetter"/>
      <w:start w:val="1"/>
    </w:lvl>
  </w:abstractNum>
  <w:abstractNum w:abstractNumId="66">
    <w:nsid w:val="1849C29B"/>
    <w:multiLevelType w:val="hybridMultilevel"/>
    <w:lvl w:ilvl="0">
      <w:lvlJc w:val="left"/>
      <w:lvlText w:val="%1."/>
      <w:numFmt w:val="upperLetter"/>
      <w:start w:val="2"/>
    </w:lvl>
  </w:abstractNum>
  <w:abstractNum w:abstractNumId="67">
    <w:nsid w:val="7DFF9D09"/>
    <w:multiLevelType w:val="hybridMultilevel"/>
    <w:lvl w:ilvl="0">
      <w:lvlJc w:val="left"/>
      <w:lvlText w:val="%1."/>
      <w:numFmt w:val="upperLetter"/>
      <w:start w:val="3"/>
    </w:lvl>
  </w:abstractNum>
  <w:abstractNum w:abstractNumId="68">
    <w:nsid w:val="754342"/>
    <w:multiLevelType w:val="hybridMultilevel"/>
    <w:lvl w:ilvl="0">
      <w:lvlJc w:val="left"/>
      <w:lvlText w:val="2"/>
      <w:numFmt w:val="bullet"/>
      <w:start w:val="1"/>
    </w:lvl>
  </w:abstractNum>
  <w:abstractNum w:abstractNumId="69">
    <w:nsid w:val="69E7F3E5"/>
    <w:multiLevelType w:val="hybridMultilevel"/>
    <w:lvl w:ilvl="0">
      <w:lvlJc w:val="left"/>
      <w:lvlText w:val="3"/>
      <w:numFmt w:val="bullet"/>
      <w:start w:val="1"/>
    </w:lvl>
  </w:abstractNum>
  <w:abstractNum w:abstractNumId="70">
    <w:nsid w:val="2A6DE806"/>
    <w:multiLevelType w:val="hybridMultilevel"/>
    <w:lvl w:ilvl="0">
      <w:lvlJc w:val="left"/>
      <w:lvlText w:val="4"/>
      <w:numFmt w:val="bullet"/>
      <w:start w:val="1"/>
    </w:lvl>
  </w:abstractNum>
  <w:abstractNum w:abstractNumId="71">
    <w:nsid w:val="1816F8C4"/>
    <w:multiLevelType w:val="hybridMultilevel"/>
    <w:lvl w:ilvl="0">
      <w:lvlJc w:val="left"/>
      <w:lvlText w:val="*"/>
      <w:numFmt w:val="bullet"/>
      <w:start w:val="1"/>
    </w:lvl>
  </w:abstractNum>
  <w:abstractNum w:abstractNumId="72">
    <w:nsid w:val="37DF2233"/>
    <w:multiLevelType w:val="hybridMultilevel"/>
    <w:lvl w:ilvl="0">
      <w:lvlJc w:val="left"/>
      <w:lvlText w:val="(%1)"/>
      <w:numFmt w:val="lowerLetter"/>
      <w:start w:val="1"/>
    </w:lvl>
  </w:abstractNum>
  <w:abstractNum w:abstractNumId="73">
    <w:nsid w:val="7AB49DAF"/>
    <w:multiLevelType w:val="hybridMultilevel"/>
    <w:lvl w:ilvl="0">
      <w:lvlJc w:val="left"/>
      <w:lvlText w:val="%1."/>
      <w:numFmt w:val="upperLetter"/>
      <w:start w:val="1"/>
    </w:lvl>
  </w:abstractNum>
  <w:abstractNum w:abstractNumId="74">
    <w:nsid w:val="759F82CD"/>
    <w:multiLevelType w:val="hybridMultilevel"/>
    <w:lvl w:ilvl="0">
      <w:lvlJc w:val="left"/>
      <w:lvlText w:val="%1."/>
      <w:numFmt w:val="decimal"/>
      <w:start w:val="1"/>
    </w:lvl>
  </w:abstractNum>
  <w:abstractNum w:abstractNumId="75">
    <w:nsid w:val="61E74E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6">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7">
    <w:nsid w:val="F819E7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78">
    <w:nsid w:val="57C7D42D"/>
    <w:multiLevelType w:val="hybridMultilevel"/>
    <w:lvl w:ilvl="0">
      <w:lvlJc w:val="left"/>
      <w:lvlText w:val="(%1)"/>
      <w:numFmt w:val="lowerRoman"/>
      <w:start w:val="2"/>
    </w:lvl>
  </w:abstractNum>
  <w:abstractNum w:abstractNumId="79">
    <w:nsid w:val="312167AD"/>
    <w:multiLevelType w:val="hybridMultilevel"/>
    <w:lvl w:ilvl="0">
      <w:lvlJc w:val="left"/>
      <w:lvlText w:val="%1"/>
      <w:numFmt w:val="lowerLetter"/>
      <w:start w:val="1"/>
    </w:lvl>
    <w:lvl w:ilvl="1">
      <w:lvlJc w:val="left"/>
      <w:lvlText w:val="(%2)"/>
      <w:numFmt w:val="lowerRoman"/>
      <w:start w:val="3"/>
    </w:lvl>
  </w:abstractNum>
  <w:abstractNum w:abstractNumId="80">
    <w:nsid w:val="631B64D4"/>
    <w:multiLevelType w:val="hybridMultilevel"/>
    <w:lvl w:ilvl="0">
      <w:lvlJc w:val="left"/>
      <w:lvlText w:val="(%1)"/>
      <w:numFmt w:val="lowerLetter"/>
      <w:start w:val="2"/>
    </w:lvl>
    <w:lvl w:ilvl="1">
      <w:lvlJc w:val="left"/>
      <w:lvlText w:val="%2"/>
      <w:numFmt w:val="lowerRoman"/>
      <w:start w:val="1"/>
    </w:lvl>
  </w:abstractNum>
  <w:abstractNum w:abstractNumId="81">
    <w:nsid w:val="78B5E776"/>
    <w:multiLevelType w:val="hybridMultilevel"/>
    <w:lvl w:ilvl="0">
      <w:lvlJc w:val="left"/>
      <w:lvlText w:val="(%1)"/>
      <w:numFmt w:val="lowerLetter"/>
      <w:start w:val="4"/>
    </w:lvl>
    <w:lvl w:ilvl="1">
      <w:lvlJc w:val="left"/>
      <w:lvlText w:val="(%2)"/>
      <w:numFmt w:val="lowerRoman"/>
      <w:start w:val="1"/>
    </w:lvl>
  </w:abstractNum>
  <w:abstractNum w:abstractNumId="82">
    <w:nsid w:val="75486E47"/>
    <w:multiLevelType w:val="hybridMultilevel"/>
    <w:lvl w:ilvl="0">
      <w:lvlJc w:val="left"/>
      <w:lvlText w:val="%1"/>
      <w:numFmt w:val="decimal"/>
      <w:start w:val="1"/>
    </w:lvl>
    <w:lvl w:ilvl="1">
      <w:lvlJc w:val="left"/>
      <w:lvlText w:val="(%2)"/>
      <w:numFmt w:val="lowerRoman"/>
      <w:start w:val="3"/>
    </w:lvl>
  </w:abstractNum>
  <w:abstractNum w:abstractNumId="83">
    <w:nsid w:val="6E534CDE"/>
    <w:multiLevelType w:val="hybridMultilevel"/>
    <w:lvl w:ilvl="0">
      <w:lvlJc w:val="left"/>
      <w:lvlText w:val="%1."/>
      <w:numFmt w:val="decimal"/>
      <w:start w:val="6"/>
    </w:lvl>
    <w:lvl w:ilvl="1">
      <w:lvlJc w:val="left"/>
      <w:lvlText w:val="%2"/>
      <w:numFmt w:val="lowerRoman"/>
      <w:start w:val="1"/>
    </w:lvl>
  </w:abstractNum>
  <w:abstractNum w:abstractNumId="84">
    <w:nsid w:val="1A0DDE32"/>
    <w:multiLevelType w:val="hybridMultilevel"/>
    <w:lvl w:ilvl="0">
      <w:lvlJc w:val="left"/>
      <w:lvlText w:val="%1."/>
      <w:numFmt w:val="decimal"/>
      <w:start w:val="8"/>
    </w:lvl>
    <w:lvl w:ilvl="1">
      <w:lvlJc w:val="left"/>
      <w:lvlText w:val="(%2)"/>
      <w:numFmt w:val="lowerLetter"/>
      <w:start w:val="1"/>
    </w:lvl>
  </w:abstractNum>
  <w:abstractNum w:abstractNumId="85">
    <w:nsid w:val="65968C1C"/>
    <w:multiLevelType w:val="hybridMultilevel"/>
    <w:lvl w:ilvl="0">
      <w:lvlJc w:val="left"/>
      <w:lvlText w:val="(%1)"/>
      <w:numFmt w:val="lowerRoman"/>
      <w:start w:val="1"/>
    </w:lvl>
  </w:abstractNum>
  <w:abstractNum w:abstractNumId="86">
    <w:nsid w:val="46263DEC"/>
    <w:multiLevelType w:val="hybridMultilevel"/>
    <w:lvl w:ilvl="0">
      <w:lvlJc w:val="left"/>
      <w:lvlText w:val="%1"/>
      <w:numFmt w:val="decimal"/>
      <w:start w:val="1"/>
    </w:lvl>
    <w:lvl w:ilvl="1">
      <w:lvlJc w:val="left"/>
      <w:lvlText w:val="(%2)"/>
      <w:numFmt w:val="lowerLetter"/>
      <w:start w:val="4"/>
    </w:lvl>
  </w:abstractNum>
  <w:abstractNum w:abstractNumId="87">
    <w:nsid w:val="260D8C4A"/>
    <w:multiLevelType w:val="hybridMultilevel"/>
    <w:lvl w:ilvl="0">
      <w:lvlJc w:val="left"/>
      <w:lvlText w:val="%1."/>
      <w:numFmt w:val="decimal"/>
      <w:start w:val="9"/>
    </w:lvl>
    <w:lvl w:ilvl="1">
      <w:lvlJc w:val="left"/>
      <w:lvlText w:val="(%2)"/>
      <w:numFmt w:val="lowerLetter"/>
      <w:start w:val="1"/>
    </w:lvl>
  </w:abstractNum>
  <w:abstractNum w:abstractNumId="88">
    <w:nsid w:val="73D4D3C4"/>
    <w:multiLevelType w:val="hybridMultilevel"/>
    <w:lvl w:ilvl="0">
      <w:lvlJc w:val="left"/>
      <w:lvlText w:val="%1"/>
      <w:numFmt w:val="decimal"/>
      <w:start w:val="1"/>
    </w:lvl>
    <w:lvl w:ilvl="1">
      <w:lvlJc w:val="left"/>
      <w:lvlText w:val="(%2)"/>
      <w:numFmt w:val="lowerLetter"/>
      <w:start w:val="2"/>
    </w:lvl>
  </w:abstractNum>
  <w:abstractNum w:abstractNumId="89">
    <w:nsid w:val="746F2E30"/>
    <w:multiLevelType w:val="hybridMultilevel"/>
    <w:lvl w:ilvl="0">
      <w:lvlJc w:val="left"/>
      <w:lvlText w:val="%1."/>
      <w:numFmt w:val="decimal"/>
      <w:start w:val="10"/>
    </w:lvl>
    <w:lvl w:ilvl="1">
      <w:lvlJc w:val="left"/>
      <w:lvlText w:val="(%2)"/>
      <w:numFmt w:val="lowerLetter"/>
      <w:start w:val="1"/>
    </w:lvl>
  </w:abstractNum>
  <w:abstractNum w:abstractNumId="90">
    <w:nsid w:val="6FDE8AF6"/>
    <w:multiLevelType w:val="hybridMultilevel"/>
    <w:lvl w:ilvl="0">
      <w:lvlJc w:val="left"/>
      <w:lvlText w:val="%1"/>
      <w:numFmt w:val="decimal"/>
      <w:start w:val="1"/>
    </w:lvl>
    <w:lvl w:ilvl="1">
      <w:lvlJc w:val="left"/>
      <w:lvlText w:val="(%2)"/>
      <w:numFmt w:val="lowerLetter"/>
      <w:start w:val="3"/>
    </w:lvl>
  </w:abstractNum>
  <w:abstractNum w:abstractNumId="91">
    <w:nsid w:val="3FC32E20"/>
    <w:multiLevelType w:val="hybridMultilevel"/>
    <w:lvl w:ilvl="0">
      <w:lvlJc w:val="left"/>
      <w:lvlText w:val="%1."/>
      <w:numFmt w:val="decimal"/>
      <w:start w:val="14"/>
    </w:lvl>
    <w:lvl w:ilvl="1">
      <w:lvlJc w:val="left"/>
      <w:lvlText w:val="(%2)"/>
      <w:numFmt w:val="lowerLetter"/>
      <w:start w:val="1"/>
    </w:lvl>
  </w:abstractNum>
  <w:abstractNum w:abstractNumId="92">
    <w:nsid w:val="49C0E823"/>
    <w:multiLevelType w:val="hybridMultilevel"/>
    <w:lvl w:ilvl="0">
      <w:lvlJc w:val="left"/>
      <w:lvlText w:val="%1."/>
      <w:numFmt w:val="decimal"/>
      <w:start w:val="17"/>
    </w:lvl>
    <w:lvl w:ilvl="1">
      <w:lvlJc w:val="left"/>
      <w:lvlText w:val="(%2)"/>
      <w:numFmt w:val="lowerLetter"/>
      <w:start w:val="1"/>
    </w:lvl>
  </w:abstractNum>
  <w:abstractNum w:abstractNumId="93">
    <w:nsid w:val="14D53685"/>
    <w:multiLevelType w:val="hybridMultilevel"/>
    <w:lvl w:ilvl="0">
      <w:lvlJc w:val="left"/>
      <w:lvlText w:val="%1."/>
      <w:numFmt w:val="upperLetter"/>
      <w:start w:val="1"/>
    </w:lvl>
  </w:abstractNum>
  <w:abstractNum w:abstractNumId="94">
    <w:nsid w:val="230F856C"/>
    <w:multiLevelType w:val="hybridMultilevel"/>
    <w:lvl w:ilvl="0">
      <w:lvlJc w:val="left"/>
      <w:lvlText w:val="%1."/>
      <w:numFmt w:val="upperLetter"/>
      <w:start w:val="10"/>
    </w:lvl>
  </w:abstractNum>
  <w:abstractNum w:abstractNumId="95">
    <w:nsid w:val="6EAA85FB"/>
    <w:multiLevelType w:val="hybridMultilevel"/>
    <w:lvl w:ilvl="0">
      <w:lvlJc w:val="left"/>
      <w:lvlText w:val="%1."/>
      <w:numFmt w:val="upperLetter"/>
      <w:start w:val="20"/>
    </w:lvl>
  </w:abstractNum>
  <w:abstractNum w:abstractNumId="96">
    <w:nsid w:val="3F06ECB2"/>
    <w:multiLevelType w:val="hybridMultilevel"/>
    <w:lvl w:ilvl="0">
      <w:lvlJc w:val="left"/>
      <w:lvlText w:val="(%1)"/>
      <w:numFmt w:val="lowerRoman"/>
      <w:start w:val="1"/>
    </w:lvl>
  </w:abstractNum>
  <w:abstractNum w:abstractNumId="97">
    <w:nsid w:val="3B594807"/>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98">
    <w:nsid w:val="6CAA2304"/>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99">
    <w:nsid w:val="3F7C2FF4"/>
    <w:multiLevelType w:val="hybridMultilevel"/>
    <w:lvl w:ilvl="0">
      <w:lvlJc w:val="left"/>
      <w:lvlText w:val="%1."/>
      <w:numFmt w:val="upperLetter"/>
      <w:start w:val="22"/>
    </w:lvl>
    <w:lvl w:ilvl="1">
      <w:lvlJc w:val="left"/>
      <w:lvlText w:val="%2"/>
      <w:numFmt w:val="lowerRoman"/>
      <w:start w:val="1"/>
    </w:lvl>
    <w:lvl w:ilvl="2">
      <w:lvlJc w:val="left"/>
      <w:lvlText w:val="%3"/>
      <w:numFmt w:val="lowerLetter"/>
      <w:start w:val="1"/>
    </w:lvl>
  </w:abstractNum>
  <w:abstractNum w:abstractNumId="100">
    <w:nsid w:val="25413BEC"/>
    <w:multiLevelType w:val="hybridMultilevel"/>
    <w:lvl w:ilvl="0">
      <w:lvlJc w:val="left"/>
      <w:lvlText w:val="(%1)"/>
      <w:numFmt w:val="lowerLetter"/>
      <w:start w:val="1"/>
    </w:lvl>
  </w:abstractNum>
  <w:abstractNum w:abstractNumId="101">
    <w:nsid w:val="17180B0B"/>
    <w:multiLevelType w:val="hybridMultilevel"/>
    <w:lvl w:ilvl="0">
      <w:lvlJc w:val="left"/>
      <w:lvlText w:val="(%1)"/>
      <w:numFmt w:val="lowerLetter"/>
      <w:start w:val="1"/>
    </w:lvl>
  </w:abstractNum>
  <w:abstractNum w:abstractNumId="102">
    <w:nsid w:val="579328B9"/>
    <w:multiLevelType w:val="hybridMultilevel"/>
    <w:lvl w:ilvl="0">
      <w:lvlJc w:val="left"/>
      <w:lvlText w:val="%1."/>
      <w:numFmt w:val="upperLetter"/>
      <w:start w:val="1"/>
    </w:lvl>
  </w:abstractNum>
  <w:abstractNum w:abstractNumId="103">
    <w:nsid w:val="5D205E20"/>
    <w:multiLevelType w:val="hybridMultilevel"/>
    <w:lvl w:ilvl="0">
      <w:lvlJc w:val="left"/>
      <w:lvlText w:val="%1."/>
      <w:numFmt w:val="decimal"/>
      <w:start w:val="1"/>
    </w:lvl>
  </w:abstractNum>
  <w:abstractNum w:abstractNumId="104">
    <w:nsid w:val="11CCA8BA"/>
    <w:multiLevelType w:val="hybridMultilevel"/>
    <w:lvl w:ilvl="0">
      <w:lvlJc w:val="left"/>
      <w:lvlText w:val="(%1)"/>
      <w:numFmt w:val="lowerLetter"/>
      <w:start w:val="1"/>
    </w:lvl>
    <w:lvl w:ilvl="1">
      <w:lvlJc w:val="left"/>
      <w:lvlText w:val="(%2)"/>
      <w:numFmt w:val="lowerRoman"/>
      <w:start w:val="1"/>
    </w:lvl>
  </w:abstractNum>
  <w:abstractNum w:abstractNumId="105">
    <w:nsid w:val="4D32AB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6">
    <w:nsid w:val="3F07ACC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07">
    <w:nsid w:val="6B47F63E"/>
    <w:multiLevelType w:val="hybridMultilevel"/>
    <w:lvl w:ilvl="0">
      <w:lvlJc w:val="left"/>
      <w:lvlText w:val="(%1)"/>
      <w:numFmt w:val="lowerRoman"/>
      <w:start w:val="2"/>
    </w:lvl>
  </w:abstractNum>
  <w:abstractNum w:abstractNumId="108">
    <w:nsid w:val="5CB44A05"/>
    <w:multiLevelType w:val="hybridMultilevel"/>
    <w:lvl w:ilvl="0">
      <w:lvlJc w:val="left"/>
      <w:lvlText w:val="%1"/>
      <w:numFmt w:val="lowerLetter"/>
      <w:start w:val="1"/>
    </w:lvl>
    <w:lvl w:ilvl="1">
      <w:lvlJc w:val="left"/>
      <w:lvlText w:val="(%2)"/>
      <w:numFmt w:val="lowerRoman"/>
      <w:start w:val="3"/>
    </w:lvl>
  </w:abstractNum>
  <w:abstractNum w:abstractNumId="109">
    <w:nsid w:val="16CF80F1"/>
    <w:multiLevelType w:val="hybridMultilevel"/>
    <w:lvl w:ilvl="0">
      <w:lvlJc w:val="left"/>
      <w:lvlText w:val="(%1)"/>
      <w:numFmt w:val="lowerLetter"/>
      <w:start w:val="2"/>
    </w:lvl>
    <w:lvl w:ilvl="1">
      <w:lvlJc w:val="left"/>
      <w:lvlText w:val="%2"/>
      <w:numFmt w:val="lowerRoman"/>
      <w:start w:val="1"/>
    </w:lvl>
  </w:abstractNum>
  <w:abstractNum w:abstractNumId="110">
    <w:nsid w:val="1C695DEC"/>
    <w:multiLevelType w:val="hybridMultilevel"/>
    <w:lvl w:ilvl="0">
      <w:lvlJc w:val="left"/>
      <w:lvlText w:val="(%1)"/>
      <w:numFmt w:val="lowerLetter"/>
      <w:start w:val="4"/>
    </w:lvl>
    <w:lvl w:ilvl="1">
      <w:lvlJc w:val="left"/>
      <w:lvlText w:val="(%2)"/>
      <w:numFmt w:val="lowerRoman"/>
      <w:start w:val="1"/>
    </w:lvl>
  </w:abstractNum>
  <w:abstractNum w:abstractNumId="111">
    <w:nsid w:val="3FCFAED9"/>
    <w:multiLevelType w:val="hybridMultilevel"/>
    <w:lvl w:ilvl="0">
      <w:lvlJc w:val="left"/>
      <w:lvlText w:val="%1"/>
      <w:numFmt w:val="decimal"/>
      <w:start w:val="1"/>
    </w:lvl>
    <w:lvl w:ilvl="1">
      <w:lvlJc w:val="left"/>
      <w:lvlText w:val="(%2)"/>
      <w:numFmt w:val="lowerRoman"/>
      <w:start w:val="4"/>
    </w:lvl>
  </w:abstractNum>
  <w:abstractNum w:abstractNumId="112">
    <w:nsid w:val="F856867"/>
    <w:multiLevelType w:val="hybridMultilevel"/>
    <w:lvl w:ilvl="0">
      <w:lvlJc w:val="left"/>
      <w:lvlText w:val="%1."/>
      <w:numFmt w:val="decimal"/>
      <w:start w:val="6"/>
    </w:lvl>
    <w:lvl w:ilvl="1">
      <w:lvlJc w:val="left"/>
      <w:lvlText w:val="%2"/>
      <w:numFmt w:val="lowerRoman"/>
      <w:start w:val="1"/>
    </w:lvl>
  </w:abstractNum>
  <w:abstractNum w:abstractNumId="113">
    <w:nsid w:val="11B1CC3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4">
    <w:nsid w:val="2E22FBB7"/>
    <w:multiLevelType w:val="hybridMultilevel"/>
    <w:lvl w:ilvl="0">
      <w:lvlJc w:val="left"/>
      <w:lvlText w:val="%1"/>
      <w:numFmt w:val="decimal"/>
      <w:start w:val="1"/>
    </w:lvl>
    <w:lvl w:ilvl="1">
      <w:lvlJc w:val="left"/>
      <w:lvlText w:val="(%2)"/>
      <w:numFmt w:val="lowerLetter"/>
      <w:start w:val="4"/>
    </w:lvl>
  </w:abstractNum>
  <w:abstractNum w:abstractNumId="115">
    <w:nsid w:val="29934699"/>
    <w:multiLevelType w:val="hybridMultilevel"/>
    <w:lvl w:ilvl="0">
      <w:lvlJc w:val="left"/>
      <w:lvlText w:val="%1."/>
      <w:numFmt w:val="decimal"/>
      <w:start w:val="9"/>
    </w:lvl>
    <w:lvl w:ilvl="1">
      <w:lvlJc w:val="left"/>
      <w:lvlText w:val="(%2)"/>
      <w:numFmt w:val="lowerLetter"/>
      <w:start w:val="1"/>
    </w:lvl>
  </w:abstractNum>
  <w:abstractNum w:abstractNumId="116">
    <w:nsid w:val="77485850"/>
    <w:multiLevelType w:val="hybridMultilevel"/>
    <w:lvl w:ilvl="0">
      <w:lvlJc w:val="left"/>
      <w:lvlText w:val="%1"/>
      <w:numFmt w:val="decimal"/>
      <w:start w:val="1"/>
    </w:lvl>
    <w:lvl w:ilvl="1">
      <w:lvlJc w:val="left"/>
      <w:lvlText w:val="(%2)"/>
      <w:numFmt w:val="lowerLetter"/>
      <w:start w:val="2"/>
    </w:lvl>
  </w:abstractNum>
  <w:abstractNum w:abstractNumId="117">
    <w:nsid w:val="744939A3"/>
    <w:multiLevelType w:val="hybridMultilevel"/>
    <w:lvl w:ilvl="0">
      <w:lvlJc w:val="left"/>
      <w:lvlText w:val="%1."/>
      <w:numFmt w:val="decimal"/>
      <w:start w:val="10"/>
    </w:lvl>
    <w:lvl w:ilvl="1">
      <w:lvlJc w:val="left"/>
      <w:lvlText w:val="(%2)"/>
      <w:numFmt w:val="lowerLetter"/>
      <w:start w:val="1"/>
    </w:lvl>
  </w:abstractNum>
  <w:abstractNum w:abstractNumId="118">
    <w:nsid w:val="4FA0D2E3"/>
    <w:multiLevelType w:val="hybridMultilevel"/>
    <w:lvl w:ilvl="0">
      <w:lvlJc w:val="left"/>
      <w:lvlText w:val="%1."/>
      <w:numFmt w:val="decimal"/>
      <w:start w:val="14"/>
    </w:lvl>
    <w:lvl w:ilvl="1">
      <w:lvlJc w:val="left"/>
      <w:lvlText w:val="(%2)"/>
      <w:numFmt w:val="lowerLetter"/>
      <w:start w:val="1"/>
    </w:lvl>
  </w:abstractNum>
  <w:abstractNum w:abstractNumId="119">
    <w:nsid w:val="6B1D2C14"/>
    <w:multiLevelType w:val="hybridMultilevel"/>
    <w:lvl w:ilvl="0">
      <w:lvlJc w:val="left"/>
      <w:lvlText w:val="%1."/>
      <w:numFmt w:val="decimal"/>
      <w:start w:val="17"/>
    </w:lvl>
    <w:lvl w:ilvl="1">
      <w:lvlJc w:val="left"/>
      <w:lvlText w:val="(%2)"/>
      <w:numFmt w:val="lowerLetter"/>
      <w:start w:val="1"/>
    </w:lvl>
  </w:abstractNum>
  <w:abstractNum w:abstractNumId="120">
    <w:nsid w:val="68B867D3"/>
    <w:multiLevelType w:val="hybridMultilevel"/>
    <w:lvl w:ilvl="0">
      <w:lvlJc w:val="left"/>
      <w:lvlText w:val="%1."/>
      <w:numFmt w:val="upperLetter"/>
      <w:start w:val="1"/>
    </w:lvl>
  </w:abstractNum>
  <w:abstractNum w:abstractNumId="121">
    <w:nsid w:val="3F7F5DD9"/>
    <w:multiLevelType w:val="hybridMultilevel"/>
    <w:lvl w:ilvl="0">
      <w:lvlJc w:val="left"/>
      <w:lvlText w:val="%1."/>
      <w:numFmt w:val="upperLetter"/>
      <w:start w:val="11"/>
    </w:lvl>
  </w:abstractNum>
  <w:abstractNum w:abstractNumId="122">
    <w:nsid w:val="2AE05A34"/>
    <w:multiLevelType w:val="hybridMultilevel"/>
    <w:lvl w:ilvl="0">
      <w:lvlJc w:val="left"/>
      <w:lvlText w:val="%1."/>
      <w:numFmt w:val="upperLetter"/>
      <w:start w:val="21"/>
    </w:lvl>
  </w:abstractNum>
  <w:abstractNum w:abstractNumId="123">
    <w:nsid w:val="32794FF7"/>
    <w:multiLevelType w:val="hybridMultilevel"/>
    <w:lvl w:ilvl="0">
      <w:lvlJc w:val="left"/>
      <w:lvlText w:val="(%1)"/>
      <w:numFmt w:val="lowerRoman"/>
      <w:start w:val="1"/>
    </w:lvl>
    <w:lvl w:ilvl="1">
      <w:lvlJc w:val="left"/>
      <w:lvlText w:val="%2."/>
      <w:numFmt w:val="lowerLetter"/>
      <w:start w:val="1"/>
    </w:lvl>
  </w:abstractNum>
  <w:abstractNum w:abstractNumId="124">
    <w:nsid w:val="5454945E"/>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125">
    <w:nsid w:val="4DEFDFA0"/>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126">
    <w:nsid w:val="2123D5F2"/>
    <w:multiLevelType w:val="hybridMultilevel"/>
    <w:lvl w:ilvl="0">
      <w:lvlJc w:val="left"/>
      <w:lvlText w:val="%1."/>
      <w:numFmt w:val="upperLetter"/>
      <w:start w:val="22"/>
    </w:lvl>
    <w:lvl w:ilvl="1">
      <w:lvlJc w:val="left"/>
      <w:lvlText w:val="%2"/>
      <w:numFmt w:val="lowerRoman"/>
      <w:start w:val="1"/>
    </w:lvl>
    <w:lvl w:ilvl="2">
      <w:lvlJc w:val="left"/>
      <w:lvlText w:val="%3"/>
      <w:numFmt w:val="lowerLetter"/>
      <w:start w:val="1"/>
    </w:lvl>
  </w:abstractNum>
  <w:abstractNum w:abstractNumId="127">
    <w:nsid w:val="135B8110"/>
    <w:multiLevelType w:val="hybridMultilevel"/>
    <w:lvl w:ilvl="0">
      <w:lvlJc w:val="left"/>
      <w:lvlText w:val="(%1)"/>
      <w:numFmt w:val="lowerLetter"/>
      <w:start w:val="1"/>
    </w:lvl>
  </w:abstractNum>
  <w:abstractNum w:abstractNumId="128">
    <w:nsid w:val="94927A8"/>
    <w:multiLevelType w:val="hybridMultilevel"/>
    <w:lvl w:ilvl="0">
      <w:lvlJc w:val="left"/>
      <w:lvlText w:val="(%1)"/>
      <w:numFmt w:val="lowerLetter"/>
      <w:start w:val="1"/>
    </w:lvl>
  </w:abstractNum>
  <w:abstractNum w:abstractNumId="129">
    <w:nsid w:val="DCDF8F6"/>
    <w:multiLevelType w:val="hybridMultilevel"/>
    <w:lvl w:ilvl="0">
      <w:lvlJc w:val="left"/>
      <w:lvlText w:val="*"/>
      <w:numFmt w:val="bullet"/>
      <w:start w:val="1"/>
    </w:lvl>
  </w:abstractNum>
  <w:abstractNum w:abstractNumId="130">
    <w:nsid w:val="52D7B105"/>
    <w:multiLevelType w:val="hybridMultilevel"/>
    <w:lvl w:ilvl="0">
      <w:lvlJc w:val="left"/>
      <w:lvlText w:val="**"/>
      <w:numFmt w:val="bullet"/>
      <w:start w:val="1"/>
    </w:lvl>
  </w:abstractNum>
  <w:abstractNum w:abstractNumId="131">
    <w:nsid w:val="2E8A6394"/>
    <w:multiLevelType w:val="hybridMultilevel"/>
    <w:lvl w:ilvl="0">
      <w:lvlJc w:val="left"/>
      <w:lvlText w:val="***"/>
      <w:numFmt w:val="bullet"/>
      <w:start w:val="1"/>
    </w:lvl>
  </w:abstractNum>
  <w:abstractNum w:abstractNumId="132">
    <w:nsid w:val="24E60401"/>
    <w:multiLevelType w:val="hybridMultilevel"/>
    <w:lvl w:ilvl="0">
      <w:lvlJc w:val="left"/>
      <w:lvlText w:val="(%1)"/>
      <w:numFmt w:val="lowerRoman"/>
      <w:start w:val="2"/>
    </w:lvl>
  </w:abstractNum>
  <w:abstractNum w:abstractNumId="133">
    <w:nsid w:val="2A6AD9BE"/>
    <w:multiLevelType w:val="hybridMultilevel"/>
    <w:lvl w:ilvl="0">
      <w:lvlJc w:val="left"/>
      <w:lvlText w:val="%1."/>
      <w:numFmt w:val="upperLetter"/>
      <w:start w:val="1"/>
    </w:lvl>
  </w:abstractNum>
  <w:abstractNum w:abstractNumId="134">
    <w:nsid w:val="BAAC1B4"/>
    <w:multiLevelType w:val="hybridMultilevel"/>
    <w:lvl w:ilvl="0">
      <w:lvlJc w:val="left"/>
      <w:lvlText w:val="%1."/>
      <w:numFmt w:val="decimal"/>
      <w:start w:val="1"/>
    </w:lvl>
  </w:abstractNum>
  <w:abstractNum w:abstractNumId="135">
    <w:nsid w:val="36B2ACB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6">
    <w:nsid w:val="779D854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37">
    <w:nsid w:val="4AB26E7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38">
    <w:nsid w:val="21FAA2FA"/>
    <w:multiLevelType w:val="hybridMultilevel"/>
    <w:lvl w:ilvl="0">
      <w:lvlJc w:val="left"/>
      <w:lvlText w:val="(%1)"/>
      <w:numFmt w:val="lowerRoman"/>
      <w:start w:val="2"/>
    </w:lvl>
  </w:abstractNum>
  <w:abstractNum w:abstractNumId="139">
    <w:nsid w:val="5451CF49"/>
    <w:multiLevelType w:val="hybridMultilevel"/>
    <w:lvl w:ilvl="0">
      <w:lvlJc w:val="left"/>
      <w:lvlText w:val="%1"/>
      <w:numFmt w:val="lowerLetter"/>
      <w:start w:val="1"/>
    </w:lvl>
    <w:lvl w:ilvl="1">
      <w:lvlJc w:val="left"/>
      <w:lvlText w:val="(%2)"/>
      <w:numFmt w:val="lowerRoman"/>
      <w:start w:val="3"/>
    </w:lvl>
  </w:abstractNum>
  <w:abstractNum w:abstractNumId="140">
    <w:nsid w:val="6181EF69"/>
    <w:multiLevelType w:val="hybridMultilevel"/>
    <w:lvl w:ilvl="0">
      <w:lvlJc w:val="left"/>
      <w:lvlText w:val="(%1)"/>
      <w:numFmt w:val="lowerLetter"/>
      <w:start w:val="2"/>
    </w:lvl>
    <w:lvl w:ilvl="1">
      <w:lvlJc w:val="left"/>
      <w:lvlText w:val="%2"/>
      <w:numFmt w:val="lowerRoman"/>
      <w:start w:val="1"/>
    </w:lvl>
  </w:abstractNum>
  <w:abstractNum w:abstractNumId="141">
    <w:nsid w:val="3E6400E6"/>
    <w:multiLevelType w:val="hybridMultilevel"/>
    <w:lvl w:ilvl="0">
      <w:lvlJc w:val="left"/>
      <w:lvlText w:val="(%1)"/>
      <w:numFmt w:val="lowerLetter"/>
      <w:start w:val="4"/>
    </w:lvl>
    <w:lvl w:ilvl="1">
      <w:lvlJc w:val="left"/>
      <w:lvlText w:val="(%2)"/>
      <w:numFmt w:val="lowerRoman"/>
      <w:start w:val="1"/>
    </w:lvl>
  </w:abstractNum>
  <w:abstractNum w:abstractNumId="142">
    <w:nsid w:val="14217E23"/>
    <w:multiLevelType w:val="hybridMultilevel"/>
    <w:lvl w:ilvl="0">
      <w:lvlJc w:val="left"/>
      <w:lvlText w:val="%1"/>
      <w:numFmt w:val="decimal"/>
      <w:start w:val="1"/>
    </w:lvl>
    <w:lvl w:ilvl="1">
      <w:lvlJc w:val="left"/>
      <w:lvlText w:val="(%2)"/>
      <w:numFmt w:val="lowerRoman"/>
      <w:start w:val="3"/>
    </w:lvl>
  </w:abstractNum>
  <w:abstractNum w:abstractNumId="143">
    <w:nsid w:val="710757D0"/>
    <w:multiLevelType w:val="hybridMultilevel"/>
    <w:lvl w:ilvl="0">
      <w:lvlJc w:val="left"/>
      <w:lvlText w:val="%1."/>
      <w:numFmt w:val="decimal"/>
      <w:start w:val="6"/>
    </w:lvl>
    <w:lvl w:ilvl="1">
      <w:lvlJc w:val="left"/>
      <w:lvlText w:val="%2"/>
      <w:numFmt w:val="lowerRoman"/>
      <w:start w:val="1"/>
    </w:lvl>
  </w:abstractNum>
  <w:abstractNum w:abstractNumId="144">
    <w:nsid w:val="5015CD1A"/>
    <w:multiLevelType w:val="hybridMultilevel"/>
    <w:lvl w:ilvl="0">
      <w:lvlJc w:val="left"/>
      <w:lvlText w:val="%1."/>
      <w:numFmt w:val="decimal"/>
      <w:start w:val="8"/>
    </w:lvl>
    <w:lvl w:ilvl="1">
      <w:lvlJc w:val="left"/>
      <w:lvlText w:val="(%2)"/>
      <w:numFmt w:val="lowerLetter"/>
      <w:start w:val="1"/>
    </w:lvl>
  </w:abstractNum>
  <w:abstractNum w:abstractNumId="145">
    <w:nsid w:val="424479DA"/>
    <w:multiLevelType w:val="hybridMultilevel"/>
    <w:lvl w:ilvl="0">
      <w:lvlJc w:val="left"/>
      <w:lvlText w:val="(%1)"/>
      <w:numFmt w:val="lowerRoman"/>
      <w:start w:val="1"/>
    </w:lvl>
  </w:abstractNum>
  <w:abstractNum w:abstractNumId="146">
    <w:nsid w:val="1A9A9E69"/>
    <w:multiLevelType w:val="hybridMultilevel"/>
    <w:lvl w:ilvl="0">
      <w:lvlJc w:val="left"/>
      <w:lvlText w:val="%1"/>
      <w:numFmt w:val="decimal"/>
      <w:start w:val="1"/>
    </w:lvl>
    <w:lvl w:ilvl="1">
      <w:lvlJc w:val="left"/>
      <w:lvlText w:val="(%2)"/>
      <w:numFmt w:val="lowerLetter"/>
      <w:start w:val="4"/>
    </w:lvl>
  </w:abstractNum>
  <w:abstractNum w:abstractNumId="147">
    <w:nsid w:val="475E256A"/>
    <w:multiLevelType w:val="hybridMultilevel"/>
    <w:lvl w:ilvl="0">
      <w:lvlJc w:val="left"/>
      <w:lvlText w:val="%1."/>
      <w:numFmt w:val="decimal"/>
      <w:start w:val="9"/>
    </w:lvl>
    <w:lvl w:ilvl="1">
      <w:lvlJc w:val="left"/>
      <w:lvlText w:val="(%2)"/>
      <w:numFmt w:val="lowerLetter"/>
      <w:start w:val="1"/>
    </w:lvl>
  </w:abstractNum>
  <w:abstractNum w:abstractNumId="148">
    <w:nsid w:val="368DB37E"/>
    <w:multiLevelType w:val="hybridMultilevel"/>
    <w:lvl w:ilvl="0">
      <w:lvlJc w:val="left"/>
      <w:lvlText w:val="%1"/>
      <w:numFmt w:val="decimal"/>
      <w:start w:val="1"/>
    </w:lvl>
    <w:lvl w:ilvl="1">
      <w:lvlJc w:val="left"/>
      <w:lvlText w:val="(%2)"/>
      <w:numFmt w:val="lowerLetter"/>
      <w:start w:val="2"/>
    </w:lvl>
  </w:abstractNum>
  <w:abstractNum w:abstractNumId="149">
    <w:nsid w:val="6A3B714C"/>
    <w:multiLevelType w:val="hybridMultilevel"/>
    <w:lvl w:ilvl="0">
      <w:lvlJc w:val="left"/>
      <w:lvlText w:val="%1."/>
      <w:numFmt w:val="decimal"/>
      <w:start w:val="10"/>
    </w:lvl>
    <w:lvl w:ilvl="1">
      <w:lvlJc w:val="left"/>
      <w:lvlText w:val="(%2)"/>
      <w:numFmt w:val="lowerLetter"/>
      <w:start w:val="1"/>
    </w:lvl>
  </w:abstractNum>
  <w:abstractNum w:abstractNumId="150">
    <w:nsid w:val="327B517E"/>
    <w:multiLevelType w:val="hybridMultilevel"/>
    <w:lvl w:ilvl="0">
      <w:lvlJc w:val="left"/>
      <w:lvlText w:val="%1"/>
      <w:numFmt w:val="decimal"/>
      <w:start w:val="1"/>
    </w:lvl>
    <w:lvl w:ilvl="1">
      <w:lvlJc w:val="left"/>
      <w:lvlText w:val="(%2)"/>
      <w:numFmt w:val="lowerLetter"/>
      <w:start w:val="3"/>
    </w:lvl>
  </w:abstractNum>
  <w:abstractNum w:abstractNumId="151">
    <w:nsid w:val="1F461B51"/>
    <w:multiLevelType w:val="hybridMultilevel"/>
    <w:lvl w:ilvl="0">
      <w:lvlJc w:val="left"/>
      <w:lvlText w:val="%1."/>
      <w:numFmt w:val="decimal"/>
      <w:start w:val="14"/>
    </w:lvl>
    <w:lvl w:ilvl="1">
      <w:lvlJc w:val="left"/>
      <w:lvlText w:val="(%2)"/>
      <w:numFmt w:val="lowerLetter"/>
      <w:start w:val="1"/>
    </w:lvl>
  </w:abstractNum>
  <w:abstractNum w:abstractNumId="152">
    <w:nsid w:val="29BACF25"/>
    <w:multiLevelType w:val="hybridMultilevel"/>
    <w:lvl w:ilvl="0">
      <w:lvlJc w:val="left"/>
      <w:lvlText w:val="%1."/>
      <w:numFmt w:val="decimal"/>
      <w:start w:val="17"/>
    </w:lvl>
    <w:lvl w:ilvl="1">
      <w:lvlJc w:val="left"/>
      <w:lvlText w:val="(%2)"/>
      <w:numFmt w:val="lowerLetter"/>
      <w:start w:val="1"/>
    </w:lvl>
  </w:abstractNum>
  <w:abstractNum w:abstractNumId="153">
    <w:nsid w:val="5D5BABB3"/>
    <w:multiLevelType w:val="hybridMultilevel"/>
    <w:lvl w:ilvl="0">
      <w:lvlJc w:val="left"/>
      <w:lvlText w:val="%1."/>
      <w:numFmt w:val="upperLetter"/>
      <w:start w:val="1"/>
    </w:lvl>
  </w:abstractNum>
  <w:abstractNum w:abstractNumId="154">
    <w:nsid w:val="51BF6B48"/>
    <w:multiLevelType w:val="hybridMultilevel"/>
    <w:lvl w:ilvl="0">
      <w:lvlJc w:val="left"/>
      <w:lvlText w:val="%1."/>
      <w:numFmt w:val="upperLetter"/>
      <w:start w:val="10"/>
    </w:lvl>
  </w:abstractNum>
  <w:abstractNum w:abstractNumId="155">
    <w:nsid w:val="7E0F6384"/>
    <w:multiLevelType w:val="hybridMultilevel"/>
    <w:lvl w:ilvl="0">
      <w:lvlJc w:val="left"/>
      <w:lvlText w:val="%1."/>
      <w:numFmt w:val="upperLetter"/>
      <w:start w:val="20"/>
    </w:lvl>
  </w:abstractNum>
  <w:abstractNum w:abstractNumId="156">
    <w:nsid w:val="2B4B8B53"/>
    <w:multiLevelType w:val="hybridMultilevel"/>
    <w:lvl w:ilvl="0">
      <w:lvlJc w:val="left"/>
      <w:lvlText w:val="(%1)"/>
      <w:numFmt w:val="lowerRoman"/>
      <w:start w:val="1"/>
    </w:lvl>
  </w:abstractNum>
  <w:abstractNum w:abstractNumId="157">
    <w:nsid w:val="72E3413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58">
    <w:nsid w:val="116AE494"/>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159">
    <w:nsid w:val="3494B2FB"/>
    <w:multiLevelType w:val="hybridMultilevel"/>
    <w:lvl w:ilvl="0">
      <w:lvlJc w:val="left"/>
      <w:lvlText w:val="%1."/>
      <w:numFmt w:val="upperLetter"/>
      <w:start w:val="22"/>
    </w:lvl>
    <w:lvl w:ilvl="1">
      <w:lvlJc w:val="left"/>
      <w:lvlText w:val="%2"/>
      <w:numFmt w:val="lowerRoman"/>
      <w:start w:val="1"/>
    </w:lvl>
    <w:lvl w:ilvl="2">
      <w:lvlJc w:val="left"/>
      <w:lvlText w:val="%3"/>
      <w:numFmt w:val="lowerLetter"/>
      <w:start w:val="1"/>
    </w:lvl>
  </w:abstractNum>
  <w:abstractNum w:abstractNumId="160">
    <w:nsid w:val="B13A31"/>
    <w:multiLevelType w:val="hybridMultilevel"/>
    <w:lvl w:ilvl="0">
      <w:lvlJc w:val="left"/>
      <w:lvlText w:val="(%1)"/>
      <w:numFmt w:val="lowerLetter"/>
      <w:start w:val="1"/>
    </w:lvl>
  </w:abstractNum>
  <w:abstractNum w:abstractNumId="161">
    <w:nsid w:val="64429599"/>
    <w:multiLevelType w:val="hybridMultilevel"/>
    <w:lvl w:ilvl="0">
      <w:lvlJc w:val="left"/>
      <w:lvlText w:val="(%1)"/>
      <w:numFmt w:val="lowerLetter"/>
      <w:start w:val="1"/>
    </w:lvl>
  </w:abstractNum>
  <w:abstractNum w:abstractNumId="162">
    <w:nsid w:val="631F1690"/>
    <w:multiLevelType w:val="hybridMultilevel"/>
    <w:lvl w:ilvl="0">
      <w:lvlJc w:val="left"/>
      <w:lvlText w:val="%1."/>
      <w:numFmt w:val="upperLetter"/>
      <w:start w:val="1"/>
    </w:lvl>
  </w:abstractNum>
  <w:abstractNum w:abstractNumId="163">
    <w:nsid w:val="25973E32"/>
    <w:multiLevelType w:val="hybridMultilevel"/>
    <w:lvl w:ilvl="0">
      <w:lvlJc w:val="left"/>
      <w:lvlText w:val="%1."/>
      <w:numFmt w:val="decimal"/>
      <w:start w:val="1"/>
    </w:lvl>
  </w:abstractNum>
  <w:abstractNum w:abstractNumId="164">
    <w:nsid w:val="EAD6F57"/>
    <w:multiLevelType w:val="hybridMultilevel"/>
    <w:lvl w:ilvl="0">
      <w:lvlJc w:val="left"/>
      <w:lvlText w:val="%1."/>
      <w:numFmt w:val="decimal"/>
      <w:start w:val="3"/>
    </w:lvl>
    <w:lvl w:ilvl="1">
      <w:lvlJc w:val="left"/>
      <w:lvlText w:val="(%2)"/>
      <w:numFmt w:val="lowerLetter"/>
      <w:start w:val="1"/>
    </w:lvl>
  </w:abstractNum>
  <w:abstractNum w:abstractNumId="165">
    <w:nsid w:val="6EC9D844"/>
    <w:multiLevelType w:val="hybridMultilevel"/>
    <w:lvl w:ilvl="0">
      <w:lvlJc w:val="left"/>
      <w:lvlText w:val="%1."/>
      <w:numFmt w:val="decimal"/>
      <w:start w:val="5"/>
    </w:lvl>
    <w:lvl w:ilvl="1">
      <w:lvlJc w:val="left"/>
      <w:lvlText w:val="(%2)"/>
      <w:numFmt w:val="lowerLetter"/>
      <w:start w:val="1"/>
    </w:lvl>
  </w:abstractNum>
  <w:abstractNum w:abstractNumId="166">
    <w:nsid w:val="5C49EAE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7">
    <w:nsid w:val="64AF49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8">
    <w:nsid w:val="397C46BC"/>
    <w:multiLevelType w:val="hybridMultilevel"/>
    <w:lvl w:ilvl="0">
      <w:lvlJc w:val="left"/>
      <w:lvlText w:val="(%1)"/>
      <w:numFmt w:val="lowerRoman"/>
      <w:start w:val="3"/>
    </w:lvl>
  </w:abstractNum>
  <w:abstractNum w:abstractNumId="169">
    <w:nsid w:val="7E448DE9"/>
    <w:multiLevelType w:val="hybridMultilevel"/>
    <w:lvl w:ilvl="0">
      <w:lvlJc w:val="left"/>
      <w:lvlText w:val="%1"/>
      <w:numFmt w:val="lowerLetter"/>
      <w:start w:val="1"/>
    </w:lvl>
    <w:lvl w:ilvl="1">
      <w:lvlJc w:val="left"/>
      <w:lvlText w:val="(%2)"/>
      <w:numFmt w:val="lowerRoman"/>
      <w:start w:val="7"/>
    </w:lvl>
  </w:abstractNum>
  <w:abstractNum w:abstractNumId="170">
    <w:nsid w:val="5A9CC3E5"/>
    <w:multiLevelType w:val="hybridMultilevel"/>
    <w:lvl w:ilvl="0">
      <w:lvlJc w:val="left"/>
      <w:lvlText w:val="(%1)"/>
      <w:numFmt w:val="lowerLetter"/>
      <w:start w:val="2"/>
    </w:lvl>
    <w:lvl w:ilvl="1">
      <w:lvlJc w:val="left"/>
      <w:lvlText w:val="(%2)"/>
      <w:numFmt w:val="lowerRoman"/>
      <w:start w:val="1"/>
    </w:lvl>
  </w:abstractNum>
  <w:abstractNum w:abstractNumId="171">
    <w:nsid w:val="1AFE3625"/>
    <w:multiLevelType w:val="hybridMultilevel"/>
    <w:lvl w:ilvl="0">
      <w:lvlJc w:val="left"/>
      <w:lvlText w:val="%1"/>
      <w:numFmt w:val="decimal"/>
      <w:start w:val="1"/>
    </w:lvl>
    <w:lvl w:ilvl="1">
      <w:lvlJc w:val="left"/>
      <w:lvlText w:val="(%2)"/>
      <w:numFmt w:val="lowerLetter"/>
      <w:start w:val="4"/>
    </w:lvl>
  </w:abstractNum>
  <w:abstractNum w:abstractNumId="172">
    <w:nsid w:val="3CA88ECF"/>
    <w:multiLevelType w:val="hybridMultilevel"/>
    <w:lvl w:ilvl="0">
      <w:lvlJc w:val="left"/>
      <w:lvlText w:val="%1."/>
      <w:numFmt w:val="decimal"/>
      <w:start w:val="8"/>
    </w:lvl>
    <w:lvl w:ilvl="1">
      <w:lvlJc w:val="left"/>
      <w:lvlText w:val="(%2)"/>
      <w:numFmt w:val="lowerLetter"/>
      <w:start w:val="1"/>
    </w:lvl>
  </w:abstractNum>
  <w:abstractNum w:abstractNumId="173">
    <w:nsid w:val="6EBE4208"/>
    <w:multiLevelType w:val="hybridMultilevel"/>
    <w:lvl w:ilvl="0">
      <w:lvlJc w:val="left"/>
      <w:lvlText w:val="%1"/>
      <w:numFmt w:val="decimal"/>
      <w:start w:val="1"/>
    </w:lvl>
    <w:lvl w:ilvl="1">
      <w:lvlJc w:val="left"/>
      <w:lvlText w:val="(%2)"/>
      <w:numFmt w:val="lowerLetter"/>
      <w:start w:val="2"/>
    </w:lvl>
  </w:abstractNum>
  <w:abstractNum w:abstractNumId="174">
    <w:nsid w:val="C058DF5"/>
    <w:multiLevelType w:val="hybridMultilevel"/>
    <w:lvl w:ilvl="0">
      <w:lvlJc w:val="left"/>
      <w:lvlText w:val="%1."/>
      <w:numFmt w:val="decimal"/>
      <w:start w:val="9"/>
    </w:lvl>
    <w:lvl w:ilvl="1">
      <w:lvlJc w:val="left"/>
      <w:lvlText w:val="(%2)"/>
      <w:numFmt w:val="lowerLetter"/>
      <w:start w:val="1"/>
    </w:lvl>
  </w:abstractNum>
  <w:abstractNum w:abstractNumId="175">
    <w:nsid w:val="CBE5BE9"/>
    <w:multiLevelType w:val="hybridMultilevel"/>
    <w:lvl w:ilvl="0">
      <w:lvlJc w:val="left"/>
      <w:lvlText w:val="%1"/>
      <w:numFmt w:val="decimal"/>
      <w:start w:val="1"/>
    </w:lvl>
    <w:lvl w:ilvl="1">
      <w:lvlJc w:val="left"/>
      <w:lvlText w:val="(%2)"/>
      <w:numFmt w:val="lowerLetter"/>
      <w:start w:val="2"/>
    </w:lvl>
  </w:abstractNum>
  <w:abstractNum w:abstractNumId="176">
    <w:nsid w:val="3102BBE2"/>
    <w:multiLevelType w:val="hybridMultilevel"/>
    <w:lvl w:ilvl="0">
      <w:lvlJc w:val="left"/>
      <w:lvlText w:val="%1."/>
      <w:numFmt w:val="decimal"/>
      <w:start w:val="14"/>
    </w:lvl>
    <w:lvl w:ilvl="1">
      <w:lvlJc w:val="left"/>
      <w:lvlText w:val="(%2)"/>
      <w:numFmt w:val="lowerLetter"/>
      <w:start w:val="1"/>
    </w:lvl>
  </w:abstractNum>
  <w:abstractNum w:abstractNumId="177">
    <w:nsid w:val="26A02C5E"/>
    <w:multiLevelType w:val="hybridMultilevel"/>
    <w:lvl w:ilvl="0">
      <w:lvlJc w:val="left"/>
      <w:lvlText w:val="%1"/>
      <w:numFmt w:val="decimal"/>
      <w:start w:val="1"/>
    </w:lvl>
    <w:lvl w:ilvl="1">
      <w:lvlJc w:val="left"/>
      <w:lvlText w:val="(%2)"/>
      <w:numFmt w:val="lowerLetter"/>
      <w:start w:val="2"/>
    </w:lvl>
  </w:abstractNum>
  <w:abstractNum w:abstractNumId="178">
    <w:nsid w:val="541C8153"/>
    <w:multiLevelType w:val="hybridMultilevel"/>
    <w:lvl w:ilvl="0">
      <w:lvlJc w:val="left"/>
      <w:lvlText w:val="%1."/>
      <w:numFmt w:val="decimal"/>
      <w:start w:val="16"/>
    </w:lvl>
    <w:lvl w:ilvl="1">
      <w:lvlJc w:val="left"/>
      <w:lvlText w:val="(%2)"/>
      <w:numFmt w:val="lowerLetter"/>
      <w:start w:val="1"/>
    </w:lvl>
  </w:abstractNum>
  <w:abstractNum w:abstractNumId="179">
    <w:nsid w:val="67906F60"/>
    <w:multiLevelType w:val="hybridMultilevel"/>
    <w:lvl w:ilvl="0">
      <w:lvlJc w:val="left"/>
      <w:lvlText w:val="%1."/>
      <w:numFmt w:val="decimal"/>
      <w:start w:val="20"/>
    </w:lvl>
  </w:abstractNum>
  <w:abstractNum w:abstractNumId="180">
    <w:nsid w:val="10DB9DAA"/>
    <w:multiLevelType w:val="hybridMultilevel"/>
    <w:lvl w:ilvl="0">
      <w:lvlJc w:val="left"/>
      <w:lvlText w:val="%1."/>
      <w:numFmt w:val="upperLetter"/>
      <w:start w:val="1"/>
    </w:lvl>
  </w:abstractNum>
  <w:abstractNum w:abstractNumId="181">
    <w:nsid w:val="697D2D2"/>
    <w:multiLevelType w:val="hybridMultilevel"/>
    <w:lvl w:ilvl="0">
      <w:lvlJc w:val="left"/>
      <w:lvlText w:val="%1."/>
      <w:numFmt w:val="upperLetter"/>
      <w:start w:val="10"/>
    </w:lvl>
  </w:abstractNum>
  <w:abstractNum w:abstractNumId="182">
    <w:nsid w:val="6D68AB2"/>
    <w:multiLevelType w:val="hybridMultilevel"/>
    <w:lvl w:ilvl="0">
      <w:lvlJc w:val="left"/>
      <w:lvlText w:val="(%1)"/>
      <w:numFmt w:val="lowerRoman"/>
      <w:start w:val="1"/>
    </w:lvl>
    <w:lvl w:ilvl="1">
      <w:lvlJc w:val="left"/>
      <w:lvlText w:val="%2."/>
      <w:numFmt w:val="lowerLetter"/>
      <w:start w:val="1"/>
    </w:lvl>
  </w:abstractNum>
  <w:abstractNum w:abstractNumId="183">
    <w:nsid w:val="3A966CD0"/>
    <w:multiLevelType w:val="hybridMultilevel"/>
    <w:lvl w:ilvl="0">
      <w:lvlJc w:val="left"/>
      <w:lvlText w:val="(%1)"/>
      <w:numFmt w:val="lowerLetter"/>
      <w:start w:val="1"/>
    </w:lvl>
  </w:abstractNum>
  <w:abstractNum w:abstractNumId="184">
    <w:nsid w:val="63F37E85"/>
    <w:multiLevelType w:val="hybridMultilevel"/>
    <w:lvl w:ilvl="0">
      <w:lvlJc w:val="left"/>
      <w:lvlText w:val="(%1)"/>
      <w:numFmt w:val="lowerLetter"/>
      <w:start w:val="2"/>
    </w:lvl>
  </w:abstractNum>
  <w:abstractNum w:abstractNumId="185">
    <w:nsid w:val="5895F5FA"/>
    <w:multiLevelType w:val="hybridMultilevel"/>
    <w:lvl w:ilvl="0">
      <w:lvlJc w:val="left"/>
      <w:lvlText w:val="%1."/>
      <w:numFmt w:val="upperLetter"/>
      <w:start w:val="1"/>
    </w:lvl>
  </w:abstractNum>
  <w:abstractNum w:abstractNumId="186">
    <w:nsid w:val="38A5D054"/>
    <w:multiLevelType w:val="hybridMultilevel"/>
    <w:lvl w:ilvl="0">
      <w:lvlJc w:val="left"/>
      <w:lvlText w:val="%1."/>
      <w:numFmt w:val="decimal"/>
      <w:start w:val="1"/>
    </w:lvl>
  </w:abstractNum>
  <w:abstractNum w:abstractNumId="187">
    <w:nsid w:val="F3F09D8"/>
    <w:multiLevelType w:val="hybridMultilevel"/>
    <w:lvl w:ilvl="0">
      <w:lvlJc w:val="left"/>
      <w:lvlText w:val="%1."/>
      <w:numFmt w:val="decimal"/>
      <w:start w:val="3"/>
    </w:lvl>
    <w:lvl w:ilvl="1">
      <w:lvlJc w:val="left"/>
      <w:lvlText w:val="(%2)"/>
      <w:numFmt w:val="lowerLetter"/>
      <w:start w:val="1"/>
    </w:lvl>
  </w:abstractNum>
  <w:abstractNum w:abstractNumId="188">
    <w:nsid w:val="4B793735"/>
    <w:multiLevelType w:val="hybridMultilevel"/>
    <w:lvl w:ilvl="0">
      <w:lvlJc w:val="left"/>
      <w:lvlText w:val="%1."/>
      <w:numFmt w:val="decimal"/>
      <w:start w:val="5"/>
    </w:lvl>
    <w:lvl w:ilvl="1">
      <w:lvlJc w:val="left"/>
      <w:lvlText w:val="(%2)"/>
      <w:numFmt w:val="lowerLetter"/>
      <w:start w:val="1"/>
    </w:lvl>
  </w:abstractNum>
  <w:abstractNum w:abstractNumId="189">
    <w:nsid w:val="4A10B4E8"/>
    <w:multiLevelType w:val="hybridMultilevel"/>
    <w:lvl w:ilvl="0">
      <w:lvlJc w:val="left"/>
      <w:lvlText w:val="(%1)"/>
      <w:numFmt w:val="decimal"/>
      <w:start w:val="12"/>
    </w:lvl>
    <w:lvl w:ilvl="1">
      <w:lvlJc w:val="left"/>
      <w:lvlText w:val="%2."/>
      <w:numFmt w:val="decimal"/>
      <w:start w:val="5"/>
    </w:lvl>
    <w:lvl w:ilvl="2">
      <w:lvlJc w:val="left"/>
      <w:lvlText w:val="(%3)"/>
      <w:numFmt w:val="lowerLetter"/>
      <w:start w:val="4"/>
    </w:lvl>
    <w:lvl w:ilvl="3">
      <w:lvlJc w:val="left"/>
      <w:lvlText w:val="%4"/>
      <w:numFmt w:val="lowerRoman"/>
      <w:start w:val="1"/>
    </w:lvl>
  </w:abstractNum>
  <w:abstractNum w:abstractNumId="190">
    <w:nsid w:val="43D3BC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91">
    <w:nsid w:val="4C2A7166"/>
    <w:multiLevelType w:val="hybridMultilevel"/>
    <w:lvl w:ilvl="0">
      <w:lvlJc w:val="left"/>
      <w:lvlText w:val="(%1)"/>
      <w:numFmt w:val="lowerRoman"/>
      <w:start w:val="3"/>
    </w:lvl>
  </w:abstractNum>
  <w:abstractNum w:abstractNumId="192">
    <w:nsid w:val="2E534A82"/>
    <w:multiLevelType w:val="hybridMultilevel"/>
    <w:lvl w:ilvl="0">
      <w:lvlJc w:val="left"/>
      <w:lvlText w:val="%1"/>
      <w:numFmt w:val="lowerLetter"/>
      <w:start w:val="1"/>
    </w:lvl>
    <w:lvl w:ilvl="1">
      <w:lvlJc w:val="left"/>
      <w:lvlText w:val="(%2)"/>
      <w:numFmt w:val="lowerRoman"/>
      <w:start w:val="7"/>
    </w:lvl>
  </w:abstractNum>
  <w:abstractNum w:abstractNumId="193">
    <w:nsid w:val="26F2D364"/>
    <w:multiLevelType w:val="hybridMultilevel"/>
    <w:lvl w:ilvl="0">
      <w:lvlJc w:val="left"/>
      <w:lvlText w:val="(%1)"/>
      <w:numFmt w:val="lowerLetter"/>
      <w:start w:val="2"/>
    </w:lvl>
    <w:lvl w:ilvl="1">
      <w:lvlJc w:val="left"/>
      <w:lvlText w:val="(%2)"/>
      <w:numFmt w:val="lowerRoman"/>
      <w:start w:val="1"/>
    </w:lvl>
  </w:abstractNum>
  <w:abstractNum w:abstractNumId="194">
    <w:nsid w:val="71C1AF98"/>
    <w:multiLevelType w:val="hybridMultilevel"/>
    <w:lvl w:ilvl="0">
      <w:lvlJc w:val="left"/>
      <w:lvlText w:val="(%1)"/>
      <w:numFmt w:val="lowerRoman"/>
      <w:start w:val="2"/>
    </w:lvl>
  </w:abstractNum>
  <w:abstractNum w:abstractNumId="195">
    <w:nsid w:val="3D00B9D9"/>
    <w:multiLevelType w:val="hybridMultilevel"/>
    <w:lvl w:ilvl="0">
      <w:lvlJc w:val="left"/>
      <w:lvlText w:val="%1"/>
      <w:numFmt w:val="decimal"/>
      <w:start w:val="1"/>
    </w:lvl>
    <w:lvl w:ilvl="1">
      <w:lvlJc w:val="left"/>
      <w:lvlText w:val="(%2)"/>
      <w:numFmt w:val="lowerLetter"/>
      <w:start w:val="4"/>
    </w:lvl>
  </w:abstractNum>
  <w:abstractNum w:abstractNumId="196">
    <w:nsid w:val="15BCABA8"/>
    <w:multiLevelType w:val="hybridMultilevel"/>
    <w:lvl w:ilvl="0">
      <w:lvlJc w:val="left"/>
      <w:lvlText w:val="%1."/>
      <w:numFmt w:val="decimal"/>
      <w:start w:val="8"/>
    </w:lvl>
    <w:lvl w:ilvl="1">
      <w:lvlJc w:val="left"/>
      <w:lvlText w:val="(%2)"/>
      <w:numFmt w:val="lowerLetter"/>
      <w:start w:val="1"/>
    </w:lvl>
  </w:abstractNum>
  <w:abstractNum w:abstractNumId="197">
    <w:nsid w:val="4E0B9A87"/>
    <w:multiLevelType w:val="hybridMultilevel"/>
    <w:lvl w:ilvl="0">
      <w:lvlJc w:val="left"/>
      <w:lvlText w:val="%1"/>
      <w:numFmt w:val="decimal"/>
      <w:start w:val="1"/>
    </w:lvl>
    <w:lvl w:ilvl="1">
      <w:lvlJc w:val="left"/>
      <w:lvlText w:val="(%2)"/>
      <w:numFmt w:val="lowerLetter"/>
      <w:start w:val="2"/>
    </w:lvl>
  </w:abstractNum>
  <w:abstractNum w:abstractNumId="198">
    <w:nsid w:val="434BAE75"/>
    <w:multiLevelType w:val="hybridMultilevel"/>
    <w:lvl w:ilvl="0">
      <w:lvlJc w:val="left"/>
      <w:lvlText w:val="%1."/>
      <w:numFmt w:val="decimal"/>
      <w:start w:val="9"/>
    </w:lvl>
    <w:lvl w:ilvl="1">
      <w:lvlJc w:val="left"/>
      <w:lvlText w:val="(%2)"/>
      <w:numFmt w:val="lowerLetter"/>
      <w:start w:val="1"/>
    </w:lvl>
  </w:abstractNum>
  <w:abstractNum w:abstractNumId="199">
    <w:nsid w:val="4F38F265"/>
    <w:multiLevelType w:val="hybridMultilevel"/>
    <w:lvl w:ilvl="0">
      <w:lvlJc w:val="left"/>
      <w:lvlText w:val="%1"/>
      <w:numFmt w:val="decimal"/>
      <w:start w:val="1"/>
    </w:lvl>
    <w:lvl w:ilvl="1">
      <w:lvlJc w:val="left"/>
      <w:lvlText w:val="(%2)"/>
      <w:numFmt w:val="lowerLetter"/>
      <w:start w:val="2"/>
    </w:lvl>
  </w:abstractNum>
  <w:abstractNum w:abstractNumId="200">
    <w:nsid w:val="4C502870"/>
    <w:multiLevelType w:val="hybridMultilevel"/>
    <w:lvl w:ilvl="0">
      <w:lvlJc w:val="left"/>
      <w:lvlText w:val="%1."/>
      <w:numFmt w:val="decimal"/>
      <w:start w:val="14"/>
    </w:lvl>
    <w:lvl w:ilvl="1">
      <w:lvlJc w:val="left"/>
      <w:lvlText w:val="(%2)"/>
      <w:numFmt w:val="lowerLetter"/>
      <w:start w:val="1"/>
    </w:lvl>
  </w:abstractNum>
  <w:abstractNum w:abstractNumId="201">
    <w:nsid w:val="1DE8725A"/>
    <w:multiLevelType w:val="hybridMultilevel"/>
    <w:lvl w:ilvl="0">
      <w:lvlJc w:val="left"/>
      <w:lvlText w:val="%1"/>
      <w:numFmt w:val="decimal"/>
      <w:start w:val="1"/>
    </w:lvl>
    <w:lvl w:ilvl="1">
      <w:lvlJc w:val="left"/>
      <w:lvlText w:val="(%2)"/>
      <w:numFmt w:val="lowerLetter"/>
      <w:start w:val="2"/>
    </w:lvl>
  </w:abstractNum>
  <w:abstractNum w:abstractNumId="202">
    <w:nsid w:val="6A37288A"/>
    <w:multiLevelType w:val="hybridMultilevel"/>
    <w:lvl w:ilvl="0">
      <w:lvlJc w:val="left"/>
      <w:lvlText w:val="%1."/>
      <w:numFmt w:val="decimal"/>
      <w:start w:val="16"/>
    </w:lvl>
    <w:lvl w:ilvl="1">
      <w:lvlJc w:val="left"/>
      <w:lvlText w:val="(%2)"/>
      <w:numFmt w:val="lowerLetter"/>
      <w:start w:val="1"/>
    </w:lvl>
  </w:abstractNum>
  <w:abstractNum w:abstractNumId="203">
    <w:nsid w:val="8F8B73F"/>
    <w:multiLevelType w:val="hybridMultilevel"/>
    <w:lvl w:ilvl="0">
      <w:lvlJc w:val="left"/>
      <w:lvlText w:val="%1."/>
      <w:numFmt w:val="decimal"/>
      <w:start w:val="20"/>
    </w:lvl>
  </w:abstractNum>
  <w:abstractNum w:abstractNumId="204">
    <w:nsid w:val="CA6B462"/>
    <w:multiLevelType w:val="hybridMultilevel"/>
    <w:lvl w:ilvl="0">
      <w:lvlJc w:val="left"/>
      <w:lvlText w:val="%1."/>
      <w:numFmt w:val="upperLetter"/>
      <w:start w:val="1"/>
    </w:lvl>
  </w:abstractNum>
  <w:abstractNum w:abstractNumId="205">
    <w:nsid w:val="763CB680"/>
    <w:multiLevelType w:val="hybridMultilevel"/>
    <w:lvl w:ilvl="0">
      <w:lvlJc w:val="left"/>
      <w:lvlText w:val="%1."/>
      <w:numFmt w:val="upperLetter"/>
      <w:start w:val="10"/>
    </w:lvl>
  </w:abstractNum>
  <w:abstractNum w:abstractNumId="206">
    <w:nsid w:val="15B71329"/>
    <w:multiLevelType w:val="hybridMultilevel"/>
    <w:lvl w:ilvl="0">
      <w:lvlJc w:val="left"/>
      <w:lvlText w:val="(%1)"/>
      <w:numFmt w:val="lowerRoman"/>
      <w:start w:val="1"/>
    </w:lvl>
    <w:lvl w:ilvl="1">
      <w:lvlJc w:val="left"/>
      <w:lvlText w:val="%2."/>
      <w:numFmt w:val="lowerLetter"/>
      <w:start w:val="1"/>
    </w:lvl>
  </w:abstractNum>
  <w:abstractNum w:abstractNumId="207">
    <w:nsid w:val="3DA97044"/>
    <w:multiLevelType w:val="hybridMultilevel"/>
    <w:lvl w:ilvl="0">
      <w:lvlJc w:val="left"/>
      <w:lvlText w:val="%1."/>
      <w:numFmt w:val="decimal"/>
      <w:start w:val="1"/>
    </w:lvl>
    <w:lvl w:ilvl="1">
      <w:lvlJc w:val="left"/>
      <w:lvlText w:val="(%2)"/>
      <w:numFmt w:val="lowerLetter"/>
      <w:start w:val="1"/>
    </w:lvl>
  </w:abstractNum>
  <w:abstractNum w:abstractNumId="208">
    <w:nsid w:val="1CDCE2DE"/>
    <w:multiLevelType w:val="hybridMultilevel"/>
    <w:lvl w:ilvl="0">
      <w:lvlJc w:val="left"/>
      <w:lvlText w:val="%1."/>
      <w:numFmt w:val="decimal"/>
      <w:start w:val="1"/>
    </w:lvl>
    <w:lvl w:ilvl="1">
      <w:lvlJc w:val="left"/>
      <w:lvlText w:val="(%2)"/>
      <w:numFmt w:val="lowerLetter"/>
      <w:start w:val="1"/>
    </w:lvl>
  </w:abstractNum>
  <w:abstractNum w:abstractNumId="209">
    <w:nsid w:val="69D3947C"/>
    <w:multiLevelType w:val="hybridMultilevel"/>
    <w:lvl w:ilvl="0">
      <w:lvlJc w:val="left"/>
      <w:lvlText w:val="(%1)"/>
      <w:numFmt w:val="decimal"/>
      <w:start w:val="1"/>
    </w:lvl>
  </w:abstractNum>
  <w:abstractNum w:abstractNumId="210">
    <w:nsid w:val="2539DFA5"/>
    <w:multiLevelType w:val="hybridMultilevel"/>
    <w:lvl w:ilvl="0">
      <w:lvlJc w:val="left"/>
      <w:lvlText w:val="%1."/>
      <w:numFmt w:val="decimal"/>
      <w:start w:val="1"/>
    </w:lvl>
  </w:abstractNum>
  <w:abstractNum w:abstractNumId="211">
    <w:nsid w:val="2DB88089"/>
    <w:multiLevelType w:val="hybridMultilevel"/>
    <w:lvl w:ilvl="0">
      <w:lvlJc w:val="left"/>
      <w:lvlText w:val="(%1)"/>
      <w:numFmt w:val="lowerLetter"/>
      <w:start w:val="1"/>
    </w:lvl>
  </w:abstractNum>
  <w:abstractNum w:abstractNumId="212">
    <w:nsid w:val="706B674E"/>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12" Type="http://schemas.openxmlformats.org/officeDocument/2006/relationships/image" Target="media/image96.png"/><Relationship Id="rId127" Type="http://schemas.openxmlformats.org/officeDocument/2006/relationships/image" Target="media/image97.png"/><Relationship Id="rId144"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267" Type="http://schemas.openxmlformats.org/officeDocument/2006/relationships/image" Target="media/image207.png"/><Relationship Id="rId268" Type="http://schemas.openxmlformats.org/officeDocument/2006/relationships/image" Target="media/image208.png"/><Relationship Id="rId269" Type="http://schemas.openxmlformats.org/officeDocument/2006/relationships/image" Target="media/image209.png"/><Relationship Id="rId270"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4" Type="http://schemas.openxmlformats.org/officeDocument/2006/relationships/image" Target="media/image214.png"/><Relationship Id="rId275"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284" Type="http://schemas.openxmlformats.org/officeDocument/2006/relationships/image" Target="media/image224.png"/><Relationship Id="rId285" Type="http://schemas.openxmlformats.org/officeDocument/2006/relationships/image" Target="media/image225.png"/><Relationship Id="rId286" Type="http://schemas.openxmlformats.org/officeDocument/2006/relationships/image" Target="media/image226.png"/><Relationship Id="rId287" Type="http://schemas.openxmlformats.org/officeDocument/2006/relationships/image" Target="media/image227.png"/><Relationship Id="rId288" Type="http://schemas.openxmlformats.org/officeDocument/2006/relationships/image" Target="media/image228.png"/><Relationship Id="rId289" Type="http://schemas.openxmlformats.org/officeDocument/2006/relationships/image" Target="media/image229.png"/><Relationship Id="rId290" Type="http://schemas.openxmlformats.org/officeDocument/2006/relationships/image" Target="media/image230.png"/><Relationship Id="rId291" Type="http://schemas.openxmlformats.org/officeDocument/2006/relationships/image" Target="media/image231.png"/><Relationship Id="rId292" Type="http://schemas.openxmlformats.org/officeDocument/2006/relationships/image" Target="media/image232.png"/><Relationship Id="rId293" Type="http://schemas.openxmlformats.org/officeDocument/2006/relationships/image" Target="media/image233.jpeg"/><Relationship Id="rId294" Type="http://schemas.openxmlformats.org/officeDocument/2006/relationships/image" Target="media/image234.png"/><Relationship Id="rId295" Type="http://schemas.openxmlformats.org/officeDocument/2006/relationships/image" Target="media/image235.png"/><Relationship Id="rId50" Type="http://schemas.openxmlformats.org/officeDocument/2006/relationships/hyperlink" Target="https://www.sec.gov/ix?doc=/Archives/edgar/data/3453/000155837023001961/matx-20221231x10k.htm" TargetMode="External"/><Relationship Id="rId104" Type="http://schemas.openxmlformats.org/officeDocument/2006/relationships/hyperlink" Target="http://www.sec.gov/Archives/edgar/data/3453/000110465914079225/a14-24264_1ex2d1.htm" TargetMode="External"/><Relationship Id="rId105" Type="http://schemas.openxmlformats.org/officeDocument/2006/relationships/hyperlink" Target="http://www.sec.gov/Archives/edgar/data/3453/000110465915011288/a15-4783_1ex2d1.htm" TargetMode="External"/><Relationship Id="rId106" Type="http://schemas.openxmlformats.org/officeDocument/2006/relationships/hyperlink" Target="http://www.sec.gov/Archives/edgar/data/1302707/000119312514411216/d820290dex22.htm" TargetMode="External"/><Relationship Id="rId107" Type="http://schemas.openxmlformats.org/officeDocument/2006/relationships/hyperlink" Target="http://www.sec.gov/Archives/edgar/data/3453/000110465915056414/a15-12015_1ex2d2.htm" TargetMode="External"/><Relationship Id="rId108" Type="http://schemas.openxmlformats.org/officeDocument/2006/relationships/hyperlink" Target="http://www.sec.gov/Archives/edgar/data/3453/000110465912056234/a12-16487_1ex3d1.htm" TargetMode="External"/><Relationship Id="rId109" Type="http://schemas.openxmlformats.org/officeDocument/2006/relationships/hyperlink" Target="http://www.sec.gov/Archives/edgar/data/3453/000110465912071639/a12-24769_1ex4d2.htm" TargetMode="External"/><Relationship Id="rId110" Type="http://schemas.openxmlformats.org/officeDocument/2006/relationships/hyperlink" Target="http://www.sec.gov/Archives/edgar/data/3453/000110465913082371/a13-19562_1ex3d1.htm" TargetMode="External"/><Relationship Id="rId111" Type="http://schemas.openxmlformats.org/officeDocument/2006/relationships/hyperlink" Target="https://www.sec.gov/Archives/edgar/data/3453/000155837020001757/ex-4.htm" TargetMode="External"/><Relationship Id="rId113" Type="http://schemas.openxmlformats.org/officeDocument/2006/relationships/hyperlink" Target="https://www.sec.gov/Archives/edgar/data/3453/000155837023001961/matx-20221231xex10d1.htm" TargetMode="External"/><Relationship Id="rId114" Type="http://schemas.openxmlformats.org/officeDocument/2006/relationships/hyperlink" Target="http://www.sec.gov/Archives/edgar/data/3453/000110465917043034/a17-15994_1ex10d4.htm" TargetMode="External"/><Relationship Id="rId115" Type="http://schemas.openxmlformats.org/officeDocument/2006/relationships/hyperlink" Target="http://www.sec.gov/Archives/edgar/data/3453/000110465917043034/a17-15994_1ex10d5.htm" TargetMode="External"/><Relationship Id="rId116" Type="http://schemas.openxmlformats.org/officeDocument/2006/relationships/hyperlink" Target="http://www.sec.gov/Archives/edgar/data/3453/000110465916163397/a16-23408_1ex10d1.htm" TargetMode="External"/><Relationship Id="rId117" Type="http://schemas.openxmlformats.org/officeDocument/2006/relationships/hyperlink" Target="http://www.sec.gov/Archives/edgar/data/3453/000110465916144681/a16-18469_1ex10d1.htm" TargetMode="External"/><Relationship Id="rId118" Type="http://schemas.openxmlformats.org/officeDocument/2006/relationships/hyperlink" Target="https://www.sec.gov/Archives/edgar/data/3453/000155837020003631/ex-10d4.htm" TargetMode="External"/><Relationship Id="rId119" Type="http://schemas.openxmlformats.org/officeDocument/2006/relationships/hyperlink" Target="https://www.sec.gov/Archives/edgar/data/3453/000155837020003631/ex-10d5.htm" TargetMode="External"/><Relationship Id="rId120" Type="http://schemas.openxmlformats.org/officeDocument/2006/relationships/hyperlink" Target="http://www.sec.gov/Archives/edgar/data/3453/000110465912056234/a12-16487_1ex10d1.htm" TargetMode="External"/><Relationship Id="rId121" Type="http://schemas.openxmlformats.org/officeDocument/2006/relationships/hyperlink" Target="http://www.sec.gov/Archives/edgar/data/3453/000110465912056234/a12-16487_1ex10d2.htm" TargetMode="External"/><Relationship Id="rId122" Type="http://schemas.openxmlformats.org/officeDocument/2006/relationships/hyperlink" Target="http://www.sec.gov/Archives/edgar/data/3453/000110465913016637/a12-29099_1ex10d34.htm" TargetMode="External"/><Relationship Id="rId123" Type="http://schemas.openxmlformats.org/officeDocument/2006/relationships/hyperlink" Target="https://www.sec.gov/Archives/edgar/data/3453/000155837020004825/matx-20200427xex10d1.htm" TargetMode="External"/><Relationship Id="rId124" Type="http://schemas.openxmlformats.org/officeDocument/2006/relationships/hyperlink" Target="https://www.sec.gov/Archives/edgar/data/3453/000155837020004825/matx-20200427xex10d2.htm" TargetMode="External"/><Relationship Id="rId125" Type="http://schemas.openxmlformats.org/officeDocument/2006/relationships/hyperlink" Target="https://www.sec.gov/Archives/edgar/data/3453/000155837020004825/matx-20200427xex10d3.htm" TargetMode="External"/><Relationship Id="rId126" Type="http://schemas.openxmlformats.org/officeDocument/2006/relationships/hyperlink" Target="https://www.sec.gov/Archives/edgar/data/3453/000155837020007781/matx-20200622xex10d1.htm" TargetMode="External"/><Relationship Id="rId128" Type="http://schemas.openxmlformats.org/officeDocument/2006/relationships/hyperlink" Target="https://www.sec.gov/Archives/edgar/data/3453/000155837020007781/matx-20200622xex10d2.htm" TargetMode="External"/><Relationship Id="rId129" Type="http://schemas.openxmlformats.org/officeDocument/2006/relationships/hyperlink" Target="https://www.sec.gov/Archives/edgar/data/3453/000155837020007781/matx-20200622xex10d3.htm" TargetMode="External"/><Relationship Id="rId130" Type="http://schemas.openxmlformats.org/officeDocument/2006/relationships/hyperlink" Target="http://www.sec.gov/Archives/edgar/data/3453/000110465914063623/a14-20075_1ex10d1.htm" TargetMode="External"/><Relationship Id="rId131" Type="http://schemas.openxmlformats.org/officeDocument/2006/relationships/hyperlink" Target="http://www.sec.gov/Archives/edgar/data/3453/000110465913016637/a12-29099_1ex10d45.htm" TargetMode="External"/><Relationship Id="rId132" Type="http://schemas.openxmlformats.org/officeDocument/2006/relationships/hyperlink" Target="http://www.sec.gov/Archives/edgar/data/3453/000110465915014988/a14-26312_1ex10d42.htm" TargetMode="External"/><Relationship Id="rId133" Type="http://schemas.openxmlformats.org/officeDocument/2006/relationships/hyperlink" Target="http://www.sec.gov/Archives/edgar/data/3453/000110465914073470/a14-22649_1ex10d1.htm" TargetMode="External"/><Relationship Id="rId134" Type="http://schemas.openxmlformats.org/officeDocument/2006/relationships/hyperlink" Target="https://www.sec.gov/Archives/edgar/data/3453/000155837023001961/matx-20221231xex10d23.htm" TargetMode="External"/><Relationship Id="rId135" Type="http://schemas.openxmlformats.org/officeDocument/2006/relationships/hyperlink" Target="https://www.sec.gov/Archives/edgar/data/3453/000155837021001909/matx-20201231xex10d28.htm" TargetMode="External"/><Relationship Id="rId136" Type="http://schemas.openxmlformats.org/officeDocument/2006/relationships/hyperlink" Target="http://www.sec.gov/Archives/edgar/data/3453/000110465913016637/a12-29099_1ex10d51.htm" TargetMode="External"/><Relationship Id="rId137" Type="http://schemas.openxmlformats.org/officeDocument/2006/relationships/hyperlink" Target="https://www.sec.gov/Archives/edgar/data/3453/000155837021001909/matx-20201231xex10d30.htm" TargetMode="External"/><Relationship Id="rId138" Type="http://schemas.openxmlformats.org/officeDocument/2006/relationships/hyperlink" Target="http://www.sec.gov/Archives/edgar/data/3453/000155837016009602/matx-20160930ex10159fc02.htm" TargetMode="External"/><Relationship Id="rId139" Type="http://schemas.openxmlformats.org/officeDocument/2006/relationships/hyperlink" Target="http://www.sec.gov/Archives/edgar/data/3453/000155837016009602/matx-20160930ex1025f5188.htm" TargetMode="External"/><Relationship Id="rId140" Type="http://schemas.openxmlformats.org/officeDocument/2006/relationships/hyperlink" Target="http://www.sec.gov/Archives/edgar/data/3453/000155837016009602/matx-20160930ex10396752a.htm" TargetMode="External"/><Relationship Id="rId141" Type="http://schemas.openxmlformats.org/officeDocument/2006/relationships/hyperlink" Target="https://www.sec.gov/Archives/edgar/data/3453/000155837022002040/matx-20211231xex10d35.htm" TargetMode="External"/><Relationship Id="rId142" Type="http://schemas.openxmlformats.org/officeDocument/2006/relationships/hyperlink" Target="http://www.sec.gov/Archives/edgar/data/3453/000110465914079225/a14-24264_1ex10d1.htm" TargetMode="External"/><Relationship Id="rId143" Type="http://schemas.openxmlformats.org/officeDocument/2006/relationships/hyperlink" Target="https://www.sec.gov/Archives/edgar/data/3453/000155837021009648/tmb-20210730xex99d1.htm" TargetMode="External"/><Relationship Id="rId145" Type="http://schemas.openxmlformats.org/officeDocument/2006/relationships/hyperlink" Target="http://www.sec.gov/Archives/edgar/data/3453/000155837017000947/matx-20161231ex1063a7bab.htm" TargetMode="External"/><Relationship Id="rId146" Type="http://schemas.openxmlformats.org/officeDocument/2006/relationships/hyperlink" Target="http://www.sec.gov/Archives/edgar/data/3453/000155837017000947/matx-20161231ex1065f8a3a.htm" TargetMode="External"/><Relationship Id="rId147" Type="http://schemas.openxmlformats.org/officeDocument/2006/relationships/hyperlink" Target="https://www.sec.gov/Archives/edgar/data/3453/000155837021001909/matx-20201231xex10d47.htm" TargetMode="External"/><Relationship Id="rId148" Type="http://schemas.openxmlformats.org/officeDocument/2006/relationships/hyperlink" Target="https://www.sec.gov/Archives/edgar/data/3453/000155837021001909/matx-20201231xex10d48.htm" TargetMode="External"/><Relationship Id="rId149" Type="http://schemas.openxmlformats.org/officeDocument/2006/relationships/hyperlink" Target="https://www.sec.gov/Archives/edgar/data/3453/000155837021001909/matx-20201231xex10d49.htm" TargetMode="External"/><Relationship Id="rId150" Type="http://schemas.openxmlformats.org/officeDocument/2006/relationships/hyperlink" Target="https://www.sec.gov/Archives/edgar/data/3453/000155837021001909/matx-20201231xex10d50.htm" TargetMode="External"/><Relationship Id="rId151" Type="http://schemas.openxmlformats.org/officeDocument/2006/relationships/hyperlink" Target="https://www.sec.gov/Archives/edgar/data/3453/000155837021001909/matx-20201231xex10d51.htm" TargetMode="External"/><Relationship Id="rId152" Type="http://schemas.openxmlformats.org/officeDocument/2006/relationships/hyperlink" Target="https://www.sec.gov/Archives/edgar/data/3453/000155837021001909/matx-20201231xex10d52.htm" TargetMode="External"/><Relationship Id="rId153" Type="http://schemas.openxmlformats.org/officeDocument/2006/relationships/hyperlink" Target="https://www.sec.gov/Archives/edgar/data/3453/000155837021001909/matx-20201231xex10d53.htm" TargetMode="External"/><Relationship Id="rId154" Type="http://schemas.openxmlformats.org/officeDocument/2006/relationships/hyperlink" Target="https://www.sec.gov/Archives/edgar/data/3453/000155837021003980/matx-20210331xex10d2.htm" TargetMode="External"/><Relationship Id="rId155" Type="http://schemas.openxmlformats.org/officeDocument/2006/relationships/hyperlink" Target="https://www.sec.gov/Archives/edgar/data/3453/000155837021003980/matx-20210331xex10d3.htm" TargetMode="External"/><Relationship Id="rId156" Type="http://schemas.openxmlformats.org/officeDocument/2006/relationships/hyperlink" Target="https://www.sec.gov/Archives/edgar/data/3453/000155837023001961/matx-20221231xex10d48.htm" TargetMode="External"/><Relationship Id="rId157" Type="http://schemas.openxmlformats.org/officeDocument/2006/relationships/hyperlink" Target="https://www.sec.gov/Archives/edgar/data/3453/000155837023001961/matx-20221231xex10d49.htm" TargetMode="External"/><Relationship Id="rId158" Type="http://schemas.openxmlformats.org/officeDocument/2006/relationships/hyperlink" Target="https://www.sec.gov/Archives/edgar/data/3453/000155837023001961/matx-20221231xex10d5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2024-02-23T05:36:53Z</dcterms:created>
  <dcterms:modified xsi:type="dcterms:W3CDTF">2024-02-23T05:36:53Z</dcterms:modified>
</cp:coreProperties>
</file>