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atx-20260630x10q.htm"/>
        <w:bookmarkStart w:id="1" w:name="ksmatx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left"/>
        <w:rPr/>
      </w:pPr>
      <w:r>
        <w:rPr/>
        <w: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1ac2fe8b_5494_4aa5_9137_b6875754d1de"/>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pBdr/>
        <w:bidi w:val="0"/>
        <w:spacing w:before="0" w:after="0"/>
        <w:ind w:left="0" w:right="0" w:hanging="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001-34187</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Matson,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8e9TBhrH3EeYF31c4iq3lA_4_1"/>
      <w:bookmarkStart w:id="4" w:name="Tc_u_dfx7_xNUaB2LwYZ98iJw_4_0"/>
      <w:bookmarkStart w:id="5" w:name="Tc_-trLDTihTkiH48xoiW_CBA_2_1"/>
      <w:bookmarkStart w:id="6" w:name="Tc_BNtXeh8H6UOFK8qVlq2L-g_2_0"/>
      <w:bookmarkStart w:id="7" w:name="_af43c18c_e622_4da7_b8c0_a30e09a9a76f"/>
      <w:bookmarkStart w:id="8" w:name="Tc_8e9TBhrH3EeYF31c4iq3lA_4_1"/>
      <w:bookmarkStart w:id="9" w:name="Tc_u_dfx7_xNUaB2LwYZ98iJw_4_0"/>
      <w:bookmarkStart w:id="10" w:name="Tc_-trLDTihTkiH48xoiW_CBA_2_1"/>
      <w:bookmarkStart w:id="11" w:name="Tc_BNtXeh8H6UOFK8qVlq2L-g_2_0"/>
      <w:bookmarkStart w:id="12" w:name="_af43c18c_e622_4da7_b8c0_a30e09a9a76f"/>
      <w:bookmarkEnd w:id="8"/>
      <w:bookmarkEnd w:id="9"/>
      <w:bookmarkEnd w:id="10"/>
      <w:bookmarkEnd w:id="11"/>
      <w:bookmarkEnd w:id="12"/>
    </w:p>
    <w:tbl>
      <w:tblPr>
        <w:tblW w:w="4952" w:type="dxa"/>
        <w:jc w:val="left"/>
        <w:tblInd w:w="0" w:type="dxa"/>
        <w:tblLayout w:type="fixed"/>
        <w:tblCellMar>
          <w:top w:w="0" w:type="dxa"/>
          <w:left w:w="0" w:type="dxa"/>
          <w:bottom w:w="0" w:type="dxa"/>
          <w:right w:w="0" w:type="dxa"/>
        </w:tblCellMar>
      </w:tblPr>
      <w:tblGrid>
        <w:gridCol w:w="3301"/>
        <w:gridCol w:w="1651"/>
      </w:tblGrid>
      <w:tr>
        <w:trPr/>
        <w:tc>
          <w:tcPr>
            <w:tcW w:w="3301" w:type="dxa"/>
            <w:tcBorders/>
            <w:vAlign w:val="center"/>
          </w:tcPr>
          <w:p>
            <w:pPr>
              <w:pStyle w:val="TableContents"/>
              <w:bidi w:val="0"/>
              <w:spacing w:lineRule="atLeast" w:line="220" w:before="0" w:after="0"/>
              <w:ind w:left="0" w:right="0" w:hanging="0"/>
              <w:jc w:val="left"/>
              <w:rPr/>
            </w:pPr>
            <w:r>
              <w:rPr/>
              <w:t>​</w:t>
            </w:r>
          </w:p>
        </w:tc>
        <w:tc>
          <w:tcPr>
            <w:tcW w:w="1651" w:type="dxa"/>
            <w:tcBorders/>
            <w:vAlign w:val="center"/>
          </w:tcPr>
          <w:p>
            <w:pPr>
              <w:pStyle w:val="TableContents"/>
              <w:bidi w:val="0"/>
              <w:spacing w:lineRule="atLeast" w:line="220" w:before="0" w:after="0"/>
              <w:ind w:left="0" w:right="0" w:hanging="0"/>
              <w:jc w:val="left"/>
              <w:rPr/>
            </w:pPr>
            <w:r>
              <w:rPr/>
              <w:t>​</w:t>
            </w:r>
          </w:p>
        </w:tc>
      </w:tr>
      <w:tr>
        <w:trPr/>
        <w:tc>
          <w:tcPr>
            <w:tcW w:w="3301" w:type="dxa"/>
            <w:tcBorders/>
            <w:vAlign w:val="center"/>
          </w:tcPr>
          <w:p>
            <w:pPr>
              <w:pStyle w:val="TableContents"/>
              <w:pBdr/>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Hawaii</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99-0032630</w:t>
            </w:r>
          </w:p>
        </w:tc>
      </w:tr>
      <w:tr>
        <w:trPr/>
        <w:tc>
          <w:tcPr>
            <w:tcW w:w="3301" w:type="dxa"/>
            <w:tcBorders/>
            <w:vAlign w:val="center"/>
          </w:tcPr>
          <w:p>
            <w:pPr>
              <w:pStyle w:val="TableContents"/>
              <w:pBdr/>
              <w:bidi w:val="0"/>
              <w:spacing w:lineRule="atLeast" w:line="220" w:before="0" w:after="0"/>
              <w:ind w:left="0" w:right="0" w:hanging="144"/>
              <w:jc w:val="center"/>
              <w:rPr>
                <w:rFonts w:ascii="Times New Roman;Times;serif" w:hAnsi="Times New Roman;Times;serif"/>
                <w:sz w:val="20"/>
              </w:rPr>
            </w:pPr>
            <w:r>
              <w:rPr>
                <w:rFonts w:ascii="Times New Roman;Times;serif" w:hAnsi="Times New Roman;Times;serif"/>
                <w:sz w:val="20"/>
              </w:rPr>
              <w:t>(State or other jurisdiction of</w:t>
            </w:r>
          </w:p>
          <w:p>
            <w:pPr>
              <w:pStyle w:val="TableContents"/>
              <w:pBdr/>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301" w:type="dxa"/>
            <w:tcBorders/>
            <w:vAlign w:val="center"/>
          </w:tcPr>
          <w:p>
            <w:pPr>
              <w:pStyle w:val="TableContents"/>
              <w:bidi w:val="0"/>
              <w:spacing w:lineRule="atLeast" w:line="160" w:before="0" w:after="0"/>
              <w:ind w:left="0" w:right="0" w:hanging="0"/>
              <w:jc w:val="center"/>
              <w:rPr/>
            </w:pPr>
            <w:r>
              <w:rPr/>
              <w:t>​</w:t>
            </w:r>
          </w:p>
        </w:tc>
        <w:tc>
          <w:tcPr>
            <w:tcW w:w="1651" w:type="dxa"/>
            <w:tcBorders/>
            <w:vAlign w:val="center"/>
          </w:tcPr>
          <w:p>
            <w:pPr>
              <w:pStyle w:val="TableContents"/>
              <w:bidi w:val="0"/>
              <w:spacing w:lineRule="atLeast" w:line="160" w:before="0" w:after="0"/>
              <w:ind w:left="0" w:right="0" w:hanging="0"/>
              <w:jc w:val="center"/>
              <w:rPr/>
            </w:pPr>
            <w:r>
              <w:rPr/>
              <w:t>​</w:t>
            </w:r>
          </w:p>
        </w:tc>
      </w:tr>
      <w:tr>
        <w:trPr/>
        <w:tc>
          <w:tcPr>
            <w:tcW w:w="3301" w:type="dxa"/>
            <w:tcBorders/>
            <w:vAlign w:val="center"/>
          </w:tcPr>
          <w:p>
            <w:pPr>
              <w:pStyle w:val="TableContents"/>
              <w:pBdr/>
              <w:bidi w:val="0"/>
              <w:spacing w:lineRule="atLeast" w:line="220" w:before="0" w:after="0"/>
              <w:ind w:left="0" w:right="0" w:hanging="144"/>
              <w:jc w:val="center"/>
              <w:rPr>
                <w:rFonts w:ascii="Times New Roman;Times;serif" w:hAnsi="Times New Roman;Times;serif"/>
                <w:b/>
                <w:sz w:val="20"/>
              </w:rPr>
            </w:pPr>
            <w:r>
              <w:rPr>
                <w:rFonts w:ascii="Times New Roman;Times;serif" w:hAnsi="Times New Roman;Times;serif"/>
                <w:b/>
                <w:sz w:val="20"/>
              </w:rPr>
              <w:t>1411 Sand Island Parkway</w:t>
            </w:r>
          </w:p>
          <w:p>
            <w:pPr>
              <w:pStyle w:val="TableContents"/>
              <w:pBdr/>
              <w:bidi w:val="0"/>
              <w:spacing w:lineRule="atLeast" w:line="220" w:before="0" w:after="0"/>
              <w:ind w:left="0" w:right="0" w:hanging="144"/>
              <w:jc w:val="center"/>
              <w:rPr>
                <w:rFonts w:ascii="Times New Roman;Times;serif" w:hAnsi="Times New Roman;Times;serif"/>
                <w:b/>
                <w:sz w:val="20"/>
              </w:rPr>
            </w:pPr>
            <w:r>
              <w:rPr>
                <w:rFonts w:ascii="Times New Roman;Times;serif" w:hAnsi="Times New Roman;Times;serif"/>
                <w:b/>
                <w:sz w:val="20"/>
              </w:rPr>
              <w:t>Honolulu, HI</w:t>
            </w:r>
          </w:p>
          <w:p>
            <w:pPr>
              <w:pStyle w:val="TableContents"/>
              <w:pBdr/>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96819</w:t>
            </w:r>
          </w:p>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(808) 848-1211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lineRule="atLeast" w:line="160" w:before="0" w:after="0"/>
        <w:ind w:left="0" w:right="0" w:hanging="0"/>
        <w:jc w:val="center"/>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3" w:name="Tc_HNZk1p3lN0eCrfWiWMUyFQ_1_2"/>
      <w:bookmarkStart w:id="14" w:name="Tc_z48sLeOYm0CQf4nhfdow3w_1_1"/>
      <w:bookmarkStart w:id="15" w:name="Tc_JEObBXg46EC1dC5sflyn-g_1_0"/>
      <w:bookmarkStart w:id="16" w:name="_9ec5e65e_c459_445f_8eeb_4921fa4e128f"/>
      <w:bookmarkStart w:id="17" w:name="Tc_HNZk1p3lN0eCrfWiWMUyFQ_1_2"/>
      <w:bookmarkStart w:id="18" w:name="Tc_z48sLeOYm0CQf4nhfdow3w_1_1"/>
      <w:bookmarkStart w:id="19" w:name="Tc_JEObBXg46EC1dC5sflyn-g_1_0"/>
      <w:bookmarkStart w:id="20" w:name="_9ec5e65e_c459_445f_8eeb_4921fa4e128f"/>
      <w:bookmarkEnd w:id="17"/>
      <w:bookmarkEnd w:id="18"/>
      <w:bookmarkEnd w:id="19"/>
      <w:bookmarkEnd w:id="20"/>
    </w:p>
    <w:tbl>
      <w:tblPr>
        <w:tblW w:w="8223" w:type="dxa"/>
        <w:jc w:val="left"/>
        <w:tblInd w:w="0" w:type="dxa"/>
        <w:tblLayout w:type="fixed"/>
        <w:tblCellMar>
          <w:top w:w="0" w:type="dxa"/>
          <w:left w:w="0" w:type="dxa"/>
          <w:bottom w:w="0" w:type="dxa"/>
          <w:right w:w="0" w:type="dxa"/>
        </w:tblCellMar>
      </w:tblPr>
      <w:tblGrid>
        <w:gridCol w:w="2896"/>
        <w:gridCol w:w="1621"/>
        <w:gridCol w:w="370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28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8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without par value</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MATX</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60"/>
        <w:ind w:left="0" w:right="0" w:hanging="0"/>
        <w:jc w:val="left"/>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tLeast" w:line="160" w:before="0" w:after="0"/>
        <w:ind w:left="0" w:right="0" w:hanging="0"/>
        <w:jc w:val="left"/>
        <w:rPr/>
      </w:pPr>
      <w:r>
        <w:rPr/>
        <w:t>​</w:t>
      </w:r>
    </w:p>
    <w:tbl>
      <w:tblPr>
        <w:tblW w:w="4727" w:type="dxa"/>
        <w:jc w:val="left"/>
        <w:tblInd w:w="0" w:type="dxa"/>
        <w:tblLayout w:type="fixed"/>
        <w:tblCellMar>
          <w:top w:w="0" w:type="dxa"/>
          <w:left w:w="0" w:type="dxa"/>
          <w:bottom w:w="0" w:type="dxa"/>
          <w:right w:w="0" w:type="dxa"/>
        </w:tblCellMar>
      </w:tblPr>
      <w:tblGrid>
        <w:gridCol w:w="2146"/>
        <w:gridCol w:w="2581"/>
      </w:tblGrid>
      <w:tr>
        <w:trPr/>
        <w:tc>
          <w:tcPr>
            <w:tcW w:w="2146" w:type="dxa"/>
            <w:tcBorders/>
            <w:vAlign w:val="center"/>
          </w:tcPr>
          <w:p>
            <w:pPr>
              <w:pStyle w:val="TableContents"/>
              <w:bidi w:val="0"/>
              <w:spacing w:lineRule="atLeast" w:line="142" w:before="0" w:after="0"/>
              <w:ind w:left="0" w:right="0" w:hanging="0"/>
              <w:jc w:val="left"/>
              <w:rPr/>
            </w:pPr>
            <w:r>
              <w:rPr/>
              <w:t>​</w:t>
            </w:r>
          </w:p>
        </w:tc>
        <w:tc>
          <w:tcPr>
            <w:tcW w:w="2581" w:type="dxa"/>
            <w:tcBorders/>
            <w:vAlign w:val="center"/>
          </w:tcPr>
          <w:p>
            <w:pPr>
              <w:pStyle w:val="TableContents"/>
              <w:bidi w:val="0"/>
              <w:spacing w:lineRule="atLeast" w:line="142" w:before="0" w:after="0"/>
              <w:ind w:left="0" w:right="0" w:hanging="0"/>
              <w:jc w:val="left"/>
              <w:rPr/>
            </w:pPr>
            <w:r>
              <w:rPr/>
              <w:t>​</w:t>
            </w:r>
          </w:p>
        </w:tc>
      </w:tr>
      <w:tr>
        <w:trPr/>
        <w:tc>
          <w:tcPr>
            <w:tcW w:w="21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pBdr/>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pBdr/>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center"/>
        <w:rPr/>
      </w:pPr>
      <w:r>
        <w:rPr/>
        <w:t>​</w:t>
      </w:r>
    </w:p>
    <w:p>
      <w:pPr>
        <w:pStyle w:val="TextBody"/>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Number of shares of common stock outstanding as of June 30, 2026: 29,903,458</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 w:name="_0e590374_32d3_4c54_9c9c_2ea31a567d07"/>
      <w:bookmarkEnd w:id="21"/>
      <w:r>
        <w:rPr>
          <w:rFonts w:ascii="Times New Roman;Times;serif" w:hAnsi="Times New Roman;Times;serif"/>
          <w:b/>
          <w:sz w:val="20"/>
        </w:rPr>
        <w:t>MATSON, INC. AND SUBSIDIARIES</w:t>
      </w:r>
    </w:p>
    <w:p>
      <w:pPr>
        <w:pStyle w:val="TextBody"/>
        <w:shd w:fill="FFFFFF" w:val="clear"/>
        <w:bidi w:val="0"/>
        <w:spacing w:before="24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p>
      <w:pPr>
        <w:pStyle w:val="TextBody"/>
        <w:shd w:fill="FFFFFF" w:val="clear"/>
        <w:bidi w:val="0"/>
        <w:spacing w:before="0" w:after="0"/>
        <w:ind w:left="0" w:right="0" w:hanging="0"/>
        <w:jc w:val="center"/>
        <w:rPr/>
      </w:pPr>
      <w:r>
        <w:rPr/>
        <w:t>​</w:t>
      </w:r>
    </w:p>
    <w:tbl>
      <w:tblPr>
        <w:tblW w:w="8944" w:type="dxa"/>
        <w:jc w:val="left"/>
        <w:tblInd w:w="0" w:type="dxa"/>
        <w:tblLayout w:type="fixed"/>
        <w:tblCellMar>
          <w:top w:w="0" w:type="dxa"/>
          <w:left w:w="0" w:type="dxa"/>
          <w:bottom w:w="0" w:type="dxa"/>
          <w:right w:w="0" w:type="dxa"/>
        </w:tblCellMar>
      </w:tblPr>
      <w:tblGrid>
        <w:gridCol w:w="811"/>
        <w:gridCol w:w="7366"/>
        <w:gridCol w:w="226"/>
        <w:gridCol w:w="541"/>
      </w:tblGrid>
      <w:tr>
        <w:trPr/>
        <w:tc>
          <w:tcPr>
            <w:tcW w:w="811" w:type="dxa"/>
            <w:tcBorders/>
            <w:shd w:fill="FFFFFF" w:val="clear"/>
            <w:vAlign w:val="center"/>
          </w:tcPr>
          <w:p>
            <w:pPr>
              <w:pStyle w:val="TableContents"/>
              <w:bidi w:val="0"/>
              <w:spacing w:lineRule="atLeast" w:line="240" w:before="0" w:after="0"/>
              <w:ind w:left="0" w:right="0" w:hanging="0"/>
              <w:jc w:val="left"/>
              <w:rPr/>
            </w:pPr>
            <w:r>
              <w:rPr/>
              <w:t>​</w:t>
            </w:r>
          </w:p>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26" w:type="dxa"/>
            <w:tcBorders/>
            <w:shd w:fill="FFFFFF" w:val="clear"/>
            <w:vAlign w:val="center"/>
          </w:tcPr>
          <w:p>
            <w:pPr>
              <w:pStyle w:val="TableContents"/>
              <w:bidi w:val="0"/>
              <w:spacing w:lineRule="atLeast" w:line="240" w:before="0" w:after="0"/>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8177" w:type="dxa"/>
            <w:gridSpan w:val="2"/>
            <w:tcBorders/>
            <w:shd w:fill="FFFFFF" w:val="clear"/>
            <w:vAlign w:val="center"/>
          </w:tcPr>
          <w:p>
            <w:pPr>
              <w:pStyle w:val="TableContents"/>
              <w:pBdr/>
              <w:bidi w:val="0"/>
              <w:spacing w:lineRule="atLeast" w:line="240" w:before="0" w:after="0"/>
              <w:ind w:left="0" w:right="0" w:hanging="0"/>
              <w:jc w:val="left"/>
              <w:rPr/>
            </w:pPr>
            <w:hyperlink w:anchor="PART_I_FINANCIAL_INFORMATION">
              <w:r>
                <w:rPr>
                  <w:rStyle w:val="InternetLink"/>
                  <w:rFonts w:ascii="Times New Roman;Times;serif" w:hAnsi="Times New Roman;Times;serif"/>
                  <w:b w:val="false"/>
                  <w:i w:val="false"/>
                  <w:caps w:val="false"/>
                  <w:smallCaps w:val="false"/>
                  <w:sz w:val="20"/>
                  <w:shd w:fill="FFFFFF" w:val="clear"/>
                </w:rPr>
                <w:t>Part I—FINANCIAL INFORMATION</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top w:val="single" w:sz="2" w:space="0" w:color="000000"/>
            </w:tcBorders>
            <w:shd w:fill="FFFFFF" w:val="clear"/>
            <w:tcMar>
              <w:top w:w="28" w:type="dxa"/>
            </w:tcM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bidi w:val="0"/>
              <w:spacing w:lineRule="atLeast" w:line="240" w:before="0" w:after="0"/>
              <w:ind w:left="0" w:right="0" w:hanging="0"/>
              <w:jc w:val="left"/>
              <w:rPr/>
            </w:pPr>
            <w:r>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left"/>
              <w:rPr/>
            </w:pPr>
            <w:r>
              <w:rPr/>
              <w:t>​</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_1_FINANCIAL_STATEMENTS">
              <w:r>
                <w:rPr>
                  <w:rStyle w:val="InternetLink"/>
                  <w:rFonts w:ascii="Times New Roman;Times;serif" w:hAnsi="Times New Roman;Times;serif"/>
                  <w:b w:val="false"/>
                  <w:i w:val="false"/>
                  <w:caps w:val="false"/>
                  <w:smallCaps w:val="false"/>
                  <w:sz w:val="20"/>
                </w:rPr>
                <w:t>Item 1.</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_1_FINANCIAL_STATEMENTS">
              <w:r>
                <w:rPr>
                  <w:rStyle w:val="InternetLink"/>
                  <w:rFonts w:ascii="Times New Roman;Times;serif" w:hAnsi="Times New Roman;Times;serif"/>
                  <w:b w:val="false"/>
                  <w:i w:val="false"/>
                  <w:caps w:val="false"/>
                  <w:smallCaps w:val="false"/>
                  <w:sz w:val="20"/>
                  <w:shd w:fill="FFFFFF" w:val="clear"/>
                </w:rPr>
                <w:t>Financial Statements (Unaudited)</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pBdr/>
              <w:bidi w:val="0"/>
              <w:spacing w:lineRule="atLeast" w:line="240" w:before="0" w:after="0"/>
              <w:ind w:left="0" w:right="0" w:hanging="0"/>
              <w:jc w:val="left"/>
              <w:rPr/>
            </w:pPr>
            <w:hyperlink w:anchor="Consolidated_Statements_of_Income">
              <w:r>
                <w:rPr>
                  <w:rStyle w:val="InternetLink"/>
                  <w:rFonts w:ascii="Times New Roman;Times;serif" w:hAnsi="Times New Roman;Times;serif"/>
                  <w:b w:val="false"/>
                  <w:i w:val="false"/>
                  <w:caps w:val="false"/>
                  <w:smallCaps w:val="false"/>
                  <w:sz w:val="20"/>
                  <w:shd w:fill="FFFFFF" w:val="clear"/>
                </w:rPr>
                <w:t>Condensed Consolidated Statements of Income and Comprehensive Income</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pBdr/>
              <w:bidi w:val="0"/>
              <w:spacing w:lineRule="atLeast" w:line="240" w:before="0" w:after="0"/>
              <w:ind w:left="0" w:right="0" w:hanging="0"/>
              <w:jc w:val="left"/>
              <w:rPr/>
            </w:pPr>
            <w:hyperlink w:anchor="ConsolidatedBalanceSheets_846706">
              <w:r>
                <w:rPr>
                  <w:rStyle w:val="InternetLink"/>
                  <w:rFonts w:ascii="Times New Roman;Times;serif" w:hAnsi="Times New Roman;Times;serif"/>
                  <w:b w:val="false"/>
                  <w:i w:val="false"/>
                  <w:caps w:val="false"/>
                  <w:smallCaps w:val="false"/>
                  <w:sz w:val="20"/>
                  <w:shd w:fill="FFFFFF" w:val="clear"/>
                </w:rPr>
                <w:t>Condensed Consolidated Balance Sheets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pBdr/>
              <w:bidi w:val="0"/>
              <w:spacing w:lineRule="atLeast" w:line="240" w:before="0" w:after="0"/>
              <w:ind w:left="0" w:right="0" w:hanging="0"/>
              <w:jc w:val="left"/>
              <w:rPr/>
            </w:pPr>
            <w:hyperlink w:anchor="StatementsofCashFlows_473640">
              <w:r>
                <w:rPr>
                  <w:rStyle w:val="InternetLink"/>
                  <w:rFonts w:ascii="Times New Roman;Times;serif" w:hAnsi="Times New Roman;Times;serif"/>
                  <w:b w:val="false"/>
                  <w:i w:val="false"/>
                  <w:caps w:val="false"/>
                  <w:smallCaps w:val="false"/>
                  <w:sz w:val="20"/>
                  <w:shd w:fill="FFFFFF" w:val="clear"/>
                </w:rPr>
                <w:t>Condensed Consolidated Statements of Cash Flows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shd w:fill="FFFFFF" w:val="clear"/>
            <w:vAlign w:val="center"/>
          </w:tcPr>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pBdr/>
              <w:bidi w:val="0"/>
              <w:spacing w:lineRule="atLeast" w:line="240" w:before="0" w:after="0"/>
              <w:ind w:left="0" w:right="0" w:hanging="0"/>
              <w:jc w:val="left"/>
              <w:rPr/>
            </w:pPr>
            <w:hyperlink w:anchor="StatementsofShareholdersEquity">
              <w:r>
                <w:rPr>
                  <w:rStyle w:val="InternetLink"/>
                  <w:rFonts w:ascii="Times New Roman;Times;serif" w:hAnsi="Times New Roman;Times;serif"/>
                  <w:b w:val="false"/>
                  <w:i w:val="false"/>
                  <w:caps w:val="false"/>
                  <w:smallCaps w:val="false"/>
                  <w:sz w:val="20"/>
                  <w:shd w:fill="FFFFFF" w:val="clear"/>
                </w:rPr>
                <w:t>Condensed Consolidated Statements of Shareholders’ Equity</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pBdr/>
              <w:bidi w:val="0"/>
              <w:spacing w:lineRule="atLeast" w:line="240" w:before="0" w:after="0"/>
              <w:ind w:left="0" w:right="0" w:hanging="0"/>
              <w:jc w:val="left"/>
              <w:rPr/>
            </w:pPr>
            <w:hyperlink w:anchor="NOTESTOTHECONDENSEDCONSOLIDATEDFINANICAL">
              <w:r>
                <w:rPr>
                  <w:rStyle w:val="InternetLink"/>
                  <w:rFonts w:ascii="Times New Roman;Times;serif" w:hAnsi="Times New Roman;Times;serif"/>
                  <w:b w:val="false"/>
                  <w:i w:val="false"/>
                  <w:caps w:val="false"/>
                  <w:smallCaps w:val="false"/>
                  <w:sz w:val="20"/>
                  <w:shd w:fill="FFFFFF" w:val="clear"/>
                </w:rPr>
                <w:t>Notes to the Condensed Consolidated Financial Statements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Item 2.</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shd w:fill="FFFFFF" w:val="clear"/>
                </w:rPr>
                <w:t>Management’s Discussion and Analysis of Financial Condition and Results of Operations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18</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shd w:fill="FFFFFF" w:val="clear"/>
                </w:rPr>
                <w:t>Quantitative and Qualitative Disclosures about Market Risk</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4CONTROLSANDPROCEDURES_278454">
              <w:r>
                <w:rPr>
                  <w:rStyle w:val="InternetLink"/>
                  <w:rFonts w:ascii="Times New Roman;Times;serif" w:hAnsi="Times New Roman;Times;serif"/>
                  <w:b w:val="false"/>
                  <w:i w:val="false"/>
                  <w:caps w:val="false"/>
                  <w:smallCaps w:val="false"/>
                  <w:sz w:val="20"/>
                </w:rPr>
                <w:t>Item 4.</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4CONTROLSANDPROCEDURES_278454">
              <w:r>
                <w:rPr>
                  <w:rStyle w:val="InternetLink"/>
                  <w:rFonts w:ascii="Times New Roman;Times;serif" w:hAnsi="Times New Roman;Times;serif"/>
                  <w:b w:val="false"/>
                  <w:i w:val="false"/>
                  <w:caps w:val="false"/>
                  <w:smallCaps w:val="false"/>
                  <w:sz w:val="20"/>
                  <w:shd w:fill="FFFFFF" w:val="clear"/>
                </w:rPr>
                <w:t>Controls and Procedures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11" w:type="dxa"/>
            <w:tcBorders/>
            <w:shd w:fill="FFFFFF" w:val="clear"/>
            <w:vAlign w:val="center"/>
          </w:tcPr>
          <w:p>
            <w:pPr>
              <w:pStyle w:val="TableContents"/>
              <w:bidi w:val="0"/>
              <w:spacing w:lineRule="atLeast" w:line="240" w:before="0" w:after="0"/>
              <w:ind w:left="0" w:right="0" w:hanging="0"/>
              <w:jc w:val="left"/>
              <w:rPr>
                <w:shd w:fill="FFFF00" w:val="clear"/>
              </w:rPr>
            </w:pPr>
            <w:r>
              <w:rPr>
                <w:shd w:fill="FFFF00" w:val="clear"/>
              </w:rPr>
              <w:t>​</w:t>
            </w:r>
          </w:p>
        </w:tc>
        <w:tc>
          <w:tcPr>
            <w:tcW w:w="7366" w:type="dxa"/>
            <w:tcBorders/>
            <w:shd w:fill="FFFFFF" w:val="clear"/>
            <w:vAlign w:val="center"/>
          </w:tcPr>
          <w:p>
            <w:pPr>
              <w:pStyle w:val="TableContents"/>
              <w:bidi w:val="0"/>
              <w:spacing w:lineRule="atLeast" w:line="240" w:before="0" w:after="0"/>
              <w:ind w:left="0" w:right="0" w:hanging="0"/>
              <w:jc w:val="left"/>
              <w:rPr>
                <w:shd w:fill="FFFF00" w:val="clear"/>
              </w:rPr>
            </w:pPr>
            <w:r>
              <w:rPr>
                <w:shd w:fill="FFFF00" w:val="clear"/>
              </w:rPr>
              <w:t>​</w:t>
            </w:r>
          </w:p>
        </w:tc>
        <w:tc>
          <w:tcPr>
            <w:tcW w:w="226" w:type="dxa"/>
            <w:tcBorders/>
            <w:shd w:fill="FFFFFF" w:val="clear"/>
            <w:vAlign w:val="center"/>
          </w:tcPr>
          <w:p>
            <w:pPr>
              <w:pStyle w:val="TableContents"/>
              <w:bidi w:val="0"/>
              <w:spacing w:lineRule="atLeast" w:line="240" w:before="0" w:after="0"/>
              <w:ind w:left="0" w:right="0" w:hanging="0"/>
              <w:jc w:val="right"/>
              <w:rPr>
                <w:shd w:fill="FFFF00" w:val="clear"/>
              </w:rPr>
            </w:pPr>
            <w:r>
              <w:rPr>
                <w:shd w:fill="FFFF00" w:val="clear"/>
              </w:rPr>
              <w:t>​</w:t>
            </w:r>
          </w:p>
        </w:tc>
        <w:tc>
          <w:tcPr>
            <w:tcW w:w="541" w:type="dxa"/>
            <w:tcBorders/>
            <w:shd w:fill="FFFFFF" w:val="clear"/>
            <w:vAlign w:val="center"/>
          </w:tcPr>
          <w:p>
            <w:pPr>
              <w:pStyle w:val="TableContents"/>
              <w:bidi w:val="0"/>
              <w:spacing w:lineRule="atLeast" w:line="240" w:before="0" w:after="0"/>
              <w:ind w:left="0" w:right="0" w:hanging="0"/>
              <w:jc w:val="center"/>
              <w:rPr>
                <w:shd w:fill="FFFF00" w:val="clear"/>
              </w:rPr>
            </w:pPr>
            <w:r>
              <w:rPr>
                <w:shd w:fill="FFFF00" w:val="clear"/>
              </w:rPr>
              <w:t>​</w:t>
            </w:r>
          </w:p>
        </w:tc>
      </w:tr>
      <w:tr>
        <w:trPr/>
        <w:tc>
          <w:tcPr>
            <w:tcW w:w="8177" w:type="dxa"/>
            <w:gridSpan w:val="2"/>
            <w:tcBorders/>
            <w:shd w:fill="FFFFFF" w:val="clear"/>
            <w:vAlign w:val="center"/>
          </w:tcPr>
          <w:p>
            <w:pPr>
              <w:pStyle w:val="TableContents"/>
              <w:pBdr/>
              <w:bidi w:val="0"/>
              <w:spacing w:lineRule="atLeast" w:line="240" w:before="0" w:after="0"/>
              <w:ind w:left="0" w:right="0" w:hanging="0"/>
              <w:jc w:val="left"/>
              <w:rPr/>
            </w:pPr>
            <w:hyperlink w:anchor="PARTIIOTHERINFORMATION_744928">
              <w:r>
                <w:rPr>
                  <w:rStyle w:val="InternetLink"/>
                  <w:rFonts w:ascii="Times New Roman;Times;serif" w:hAnsi="Times New Roman;Times;serif"/>
                  <w:b w:val="false"/>
                  <w:i w:val="false"/>
                  <w:caps w:val="false"/>
                  <w:smallCaps w:val="false"/>
                  <w:sz w:val="20"/>
                  <w:shd w:fill="FFFFFF" w:val="clear"/>
                </w:rPr>
                <w:t>Part II—OTHER INFORMATION</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177" w:type="dxa"/>
            <w:gridSpan w:val="2"/>
            <w:tcBorders/>
            <w:shd w:fill="FFFFFF" w:val="clear"/>
            <w:vAlign w:val="center"/>
          </w:tcPr>
          <w:p>
            <w:pPr>
              <w:pStyle w:val="TableContents"/>
              <w:bidi w:val="0"/>
              <w:spacing w:lineRule="atLeast" w:line="240" w:before="0" w:after="0"/>
              <w:ind w:left="0" w:right="0" w:hanging="0"/>
              <w:jc w:val="left"/>
              <w:rPr/>
            </w:pPr>
            <w:r>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pPr>
            <w:r>
              <w:rPr/>
              <w:t>​</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1LEGALPROCEEDINGS_436162">
              <w:r>
                <w:rPr>
                  <w:rStyle w:val="InternetLink"/>
                  <w:rFonts w:ascii="Times New Roman;Times;serif" w:hAnsi="Times New Roman;Times;serif"/>
                  <w:b w:val="false"/>
                  <w:i w:val="false"/>
                  <w:caps w:val="false"/>
                  <w:smallCaps w:val="false"/>
                  <w:sz w:val="20"/>
                </w:rPr>
                <w:t>Item 1.</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1LEGALPROCEEDINGS_436162">
              <w:r>
                <w:rPr>
                  <w:rStyle w:val="InternetLink"/>
                  <w:rFonts w:ascii="Times New Roman;Times;serif" w:hAnsi="Times New Roman;Times;serif"/>
                  <w:b w:val="false"/>
                  <w:i w:val="false"/>
                  <w:caps w:val="false"/>
                  <w:smallCaps w:val="false"/>
                  <w:sz w:val="20"/>
                  <w:shd w:fill="FFFFFF" w:val="clear"/>
                </w:rPr>
                <w:t>Legal Proceedings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1ARISKFACTORS_897747">
              <w:r>
                <w:rPr>
                  <w:rStyle w:val="InternetLink"/>
                  <w:rFonts w:ascii="Times New Roman;Times;serif" w:hAnsi="Times New Roman;Times;serif"/>
                  <w:b w:val="false"/>
                  <w:i w:val="false"/>
                  <w:caps w:val="false"/>
                  <w:smallCaps w:val="false"/>
                  <w:sz w:val="20"/>
                </w:rPr>
                <w:t>Item 1A.</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1ARISKFACTORS_897747">
              <w:r>
                <w:rPr>
                  <w:rStyle w:val="InternetLink"/>
                  <w:rFonts w:ascii="Times New Roman;Times;serif" w:hAnsi="Times New Roman;Times;serif"/>
                  <w:b w:val="false"/>
                  <w:i w:val="false"/>
                  <w:caps w:val="false"/>
                  <w:smallCaps w:val="false"/>
                  <w:sz w:val="20"/>
                  <w:shd w:fill="FFFFFF" w:val="clear"/>
                </w:rPr>
                <w:t>Risk Factors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shd w:fill="FFFFFF" w:val="clear"/>
                </w:rPr>
                <w:t>Unregistered Sales of Equity Securities and Use of Proceeds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3DEFAULTSUPONSENIORSECURITIES_766025">
              <w:r>
                <w:rPr>
                  <w:rStyle w:val="InternetLink"/>
                  <w:rFonts w:ascii="Times New Roman;Times;serif" w:hAnsi="Times New Roman;Times;serif"/>
                  <w:b w:val="false"/>
                  <w:i w:val="false"/>
                  <w:caps w:val="false"/>
                  <w:smallCaps w:val="false"/>
                  <w:sz w:val="20"/>
                </w:rPr>
                <w:t>Item 3.</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3DEFAULTSUPONSENIORSECURITIES_766025">
              <w:r>
                <w:rPr>
                  <w:rStyle w:val="InternetLink"/>
                  <w:rFonts w:ascii="Times New Roman;Times;serif" w:hAnsi="Times New Roman;Times;serif"/>
                  <w:b w:val="false"/>
                  <w:i w:val="false"/>
                  <w:caps w:val="false"/>
                  <w:smallCaps w:val="false"/>
                  <w:sz w:val="20"/>
                  <w:shd w:fill="FFFFFF" w:val="clear"/>
                </w:rPr>
                <w:t>Defaults Upon Senior Securities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4MINESAFETYDISCLOSURES_922547">
              <w:r>
                <w:rPr>
                  <w:rStyle w:val="InternetLink"/>
                  <w:rFonts w:ascii="Times New Roman;Times;serif" w:hAnsi="Times New Roman;Times;serif"/>
                  <w:b w:val="false"/>
                  <w:i w:val="false"/>
                  <w:caps w:val="false"/>
                  <w:smallCaps w:val="false"/>
                  <w:sz w:val="20"/>
                </w:rPr>
                <w:t>Item 4.</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4MINESAFETYDISCLOSURES_922547">
              <w:r>
                <w:rPr>
                  <w:rStyle w:val="InternetLink"/>
                  <w:rFonts w:ascii="Times New Roman;Times;serif" w:hAnsi="Times New Roman;Times;serif"/>
                  <w:b w:val="false"/>
                  <w:i w:val="false"/>
                  <w:caps w:val="false"/>
                  <w:smallCaps w:val="false"/>
                  <w:sz w:val="20"/>
                  <w:shd w:fill="FFFFFF" w:val="clear"/>
                </w:rPr>
                <w:t>Mine Safety Disclosures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5OTHERINFORMATION_110834">
              <w:r>
                <w:rPr>
                  <w:rStyle w:val="InternetLink"/>
                  <w:rFonts w:ascii="Times New Roman;Times;serif" w:hAnsi="Times New Roman;Times;serif"/>
                  <w:b w:val="false"/>
                  <w:i w:val="false"/>
                  <w:caps w:val="false"/>
                  <w:smallCaps w:val="false"/>
                  <w:sz w:val="20"/>
                </w:rPr>
                <w:t>Item 5.</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5OTHERINFORMATION_110834">
              <w:r>
                <w:rPr>
                  <w:rStyle w:val="InternetLink"/>
                  <w:rFonts w:ascii="Times New Roman;Times;serif" w:hAnsi="Times New Roman;Times;serif"/>
                  <w:b w:val="false"/>
                  <w:i w:val="false"/>
                  <w:caps w:val="false"/>
                  <w:smallCaps w:val="false"/>
                  <w:sz w:val="20"/>
                  <w:shd w:fill="FFFFFF" w:val="clear"/>
                </w:rPr>
                <w:t>Other Information</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6EXHIBITS_599668">
              <w:r>
                <w:rPr>
                  <w:rStyle w:val="InternetLink"/>
                  <w:rFonts w:ascii="Times New Roman;Times;serif" w:hAnsi="Times New Roman;Times;serif"/>
                  <w:b w:val="false"/>
                  <w:i w:val="false"/>
                  <w:caps w:val="false"/>
                  <w:smallCaps w:val="false"/>
                  <w:sz w:val="20"/>
                </w:rPr>
                <w:t>Item 6.</w:t>
              </w:r>
            </w:hyperlink>
          </w:p>
        </w:tc>
        <w:tc>
          <w:tcPr>
            <w:tcW w:w="7366" w:type="dxa"/>
            <w:tcBorders/>
            <w:shd w:fill="FFFFFF" w:val="clear"/>
            <w:vAlign w:val="center"/>
          </w:tcPr>
          <w:p>
            <w:pPr>
              <w:pStyle w:val="TableContents"/>
              <w:pBdr/>
              <w:bidi w:val="0"/>
              <w:spacing w:lineRule="atLeast" w:line="240" w:before="0" w:after="0"/>
              <w:ind w:left="0" w:right="0" w:hanging="0"/>
              <w:jc w:val="left"/>
              <w:rPr/>
            </w:pPr>
            <w:hyperlink w:anchor="ITEM6EXHIBITS_599668">
              <w:r>
                <w:rPr>
                  <w:rStyle w:val="InternetLink"/>
                  <w:rFonts w:ascii="Times New Roman;Times;serif" w:hAnsi="Times New Roman;Times;serif"/>
                  <w:b w:val="false"/>
                  <w:i w:val="false"/>
                  <w:caps w:val="false"/>
                  <w:smallCaps w:val="false"/>
                  <w:sz w:val="20"/>
                  <w:shd w:fill="FFFFFF" w:val="clear"/>
                </w:rPr>
                <w:t>Exhibits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pBdr/>
              <w:bidi w:val="0"/>
              <w:spacing w:lineRule="atLeast" w:line="240" w:before="0" w:after="0"/>
              <w:ind w:left="0" w:right="0" w:hanging="0"/>
              <w:jc w:val="left"/>
              <w:rPr/>
            </w:pPr>
            <w:hyperlink w:anchor="SIGNATURES_841218">
              <w:r>
                <w:rPr>
                  <w:rStyle w:val="InternetLink"/>
                  <w:rFonts w:ascii="Times New Roman;Times;serif" w:hAnsi="Times New Roman;Times;serif"/>
                  <w:b w:val="false"/>
                  <w:i w:val="false"/>
                  <w:caps w:val="false"/>
                  <w:smallCaps w:val="false"/>
                  <w:sz w:val="20"/>
                  <w:shd w:fill="FFFFFF" w:val="clear"/>
                </w:rPr>
                <w:t>Signatures</w:t>
              </w:r>
            </w:hyperlink>
            <w:r>
              <w:rPr>
                <w:rFonts w:ascii="Times New Roman;Times;serif" w:hAnsi="Times New Roman;Times;serif"/>
                <w:sz w:val="20"/>
              </w:rPr>
              <w:t>‌</w:t>
            </w:r>
          </w:p>
        </w:tc>
        <w:tc>
          <w:tcPr>
            <w:tcW w:w="22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 w:name="PART_I_FINANCIAL_INFORMATION"/>
      <w:bookmarkStart w:id="24" w:name="_46146c58_9da8_46e4_afd1_11340f02ffdf"/>
      <w:bookmarkEnd w:id="23"/>
      <w:bookmarkEnd w:id="24"/>
      <w:r>
        <w:rPr>
          <w:rFonts w:ascii="Times New Roman;Times;serif" w:hAnsi="Times New Roman;Times;serif"/>
          <w:b/>
          <w:sz w:val="20"/>
        </w:rPr>
        <w:t>PART I.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25" w:name="ITEM_1_FINANCIAL_STATEMENTS"/>
      <w:bookmarkEnd w:id="25"/>
      <w:r>
        <w:rPr>
          <w:rFonts w:ascii="Times New Roman;Times;serif" w:hAnsi="Times New Roman;Times;serif"/>
          <w:b/>
          <w:sz w:val="20"/>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26" w:name="Consolidated_Statements_of_Income"/>
      <w:bookmarkEnd w:id="26"/>
      <w:r>
        <w:rPr>
          <w:rFonts w:ascii="Times New Roman;Times;serif" w:hAnsi="Times New Roman;Times;serif"/>
          <w:b/>
          <w:sz w:val="20"/>
        </w:rPr>
        <w:t>Condensed Consolidated Statements of Income and Comprehensive Income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7" w:name="Tc_LROAAKegwUCzscOI9-hfKQ_36_0"/>
      <w:bookmarkStart w:id="28" w:name="Tc_hP3hS5O9ckOmRLOBoMGkKw_35_0"/>
      <w:bookmarkStart w:id="29" w:name="Tc_ygVhLgSXx0-15nIXpCa0Ew_34_0"/>
      <w:bookmarkStart w:id="30" w:name="Tc_wqMR7gFC10mPQcm79mkRHg_32_11"/>
      <w:bookmarkStart w:id="31" w:name="Tc_co1lZbGMUUeTh2jqxunFMQ_32_8"/>
      <w:bookmarkStart w:id="32" w:name="Tc_Nl4Zs5R8y0aHqkA43wRwFA_32_5"/>
      <w:bookmarkStart w:id="33" w:name="Tc_OVuAXVmkpkOJ8BzQxoP3hg_32_2"/>
      <w:bookmarkStart w:id="34" w:name="Tc_hOSCQMqEgkW5gFXQB1qO8g_32_0"/>
      <w:bookmarkStart w:id="35" w:name="Tc_fy47EKG3hUKWtutrQESvUg_31_11"/>
      <w:bookmarkStart w:id="36" w:name="Tc_XrsPqIwKakuxSBw89Yqq-A_31_8"/>
      <w:bookmarkStart w:id="37" w:name="Tc_Uf871g-ml0SejVKa-K7ajQ_31_5"/>
      <w:bookmarkStart w:id="38" w:name="Tc_UwOn4EzRnkSk6e9HCNQEaw_31_2"/>
      <w:bookmarkStart w:id="39" w:name="Tc_i2WxNiHSu0mQlElueAZVrg_31_0"/>
      <w:bookmarkStart w:id="40" w:name="Tc_ah4djNgHAkCHoMZ7MGM-QQ_29_11"/>
      <w:bookmarkStart w:id="41" w:name="Tc_ZzKEWx0iPkSZzoPACnJMMA_29_8"/>
      <w:bookmarkStart w:id="42" w:name="Tc_9M9nLNIytkCcXQLlBcFLdA_29_5"/>
      <w:bookmarkStart w:id="43" w:name="Tc_6QmECuTT0kaKa2FZOY1vWg_29_2"/>
      <w:bookmarkStart w:id="44" w:name="Tc_NlONijshcUy1PIThFJHI1Q_29_0"/>
      <w:bookmarkStart w:id="45" w:name="Tc_kEQ74BSFc0a58-zXPCff2A_28_0"/>
      <w:bookmarkStart w:id="46" w:name="Tc_xg0ZfrQwEUmq4OoZgDerRw_27_0"/>
      <w:bookmarkStart w:id="47" w:name="Tc_WNSjjShCNUSoxKt21oWTWA_26_0"/>
      <w:bookmarkStart w:id="48" w:name="Tc_5LOCCTxDv0CwpBPeAFz_8w_25_0"/>
      <w:bookmarkStart w:id="49" w:name="Tc_PnFgSAI6skyFUCrsDtPmNQ_24_11"/>
      <w:bookmarkStart w:id="50" w:name="Tc_DxY2DCs7wUyZntLGQkeNKg_24_8"/>
      <w:bookmarkStart w:id="51" w:name="Tc_fGtatHRBbEGLx4Ot3lY1Tw_24_5"/>
      <w:bookmarkStart w:id="52" w:name="Tc_8EUO64qJ-EmMeYRqr4zpJQ_24_2"/>
      <w:bookmarkStart w:id="53" w:name="Tc_eCj5T2AyOU-vU_iYM0KpXw_24_0"/>
      <w:bookmarkStart w:id="54" w:name="Tc_uZmJm685UEi-cOh5T6W1aw_23_0"/>
      <w:bookmarkStart w:id="55" w:name="Tc_cGR3o83BhUKq-baIqMmrIg_21_11"/>
      <w:bookmarkStart w:id="56" w:name="Tc_b6L7dy7gKUyX2gqdBsir_w_21_8"/>
      <w:bookmarkStart w:id="57" w:name="Tc_0YDW2gIB3kGJHA0QkJNJGQ_21_5"/>
      <w:bookmarkStart w:id="58" w:name="Tc_LfSJp05lXEuuHmjRMahOXQ_21_2"/>
      <w:bookmarkStart w:id="59" w:name="Tc_lDhP8WtmWEOPtcQ-oXPQIg_21_0"/>
      <w:bookmarkStart w:id="60" w:name="Tc_uyrqgfOP_U-fiWPfWnfwow_20_0"/>
      <w:bookmarkStart w:id="61" w:name="Tc_gJZm796Y-k6IZ7gbyjAvSg_19_0"/>
      <w:bookmarkStart w:id="62" w:name="Tc_Bmn1uD5gEkO4A9jAhd7Bzg_18_0"/>
      <w:bookmarkStart w:id="63" w:name="Tc_2Q4xmAl9G0Sag_BXbY3SMg_17_0"/>
      <w:bookmarkStart w:id="64" w:name="Tc_DDTE6YjKqkC2GnN1_gVKYQ_16_0"/>
      <w:bookmarkStart w:id="65" w:name="Tc_hTyVZf0Jd0Sy5Ax_DUNQ5A_15_0"/>
      <w:bookmarkStart w:id="66" w:name="Tc_IOPS6u9pjUWpanlg9GCHkA_13_0"/>
      <w:bookmarkStart w:id="67" w:name="Tc_QiPTdh-vRESigLhPpAI09w_12_0"/>
      <w:bookmarkStart w:id="68" w:name="Tc_MiB6_aSJe0mNOHqvAO6e1w_11_0"/>
      <w:bookmarkStart w:id="69" w:name="Tc_g4vkh9RWjkKDe-vQwrRbGA_10_0"/>
      <w:bookmarkStart w:id="70" w:name="Tc_Dd4ix17DY0qwfxD0XJWtBg_9_0"/>
      <w:bookmarkStart w:id="71" w:name="Tc_ZTN-fTC12kuaQhDti1ZdFA_7_0"/>
      <w:bookmarkStart w:id="72" w:name="Tc_7CpyHTjjYU6OKlIyrTNJEw_6_0"/>
      <w:bookmarkStart w:id="73" w:name="Tc_taPj_mD4KEeLnmZCcjb2VA_5_11"/>
      <w:bookmarkStart w:id="74" w:name="Tc_5up9_GAg3EqmQl9zrx0kSA_5_8"/>
      <w:bookmarkStart w:id="75" w:name="Tc_mHGgJxlVRkW-HMwIWEiJCQ_5_5"/>
      <w:bookmarkStart w:id="76" w:name="Tc_SM40VwBtB0qhyO0pCoKmog_5_2"/>
      <w:bookmarkStart w:id="77" w:name="Tc_lPij-HyF80OUTntWSDSsAw_5_0"/>
      <w:bookmarkStart w:id="78" w:name="Tc_lKpgtuUSUUabZcwg2x7XEA_4_0"/>
      <w:bookmarkStart w:id="79" w:name="Tc_66zAyClbt0-w3xlAxWALSA_3_11"/>
      <w:bookmarkStart w:id="80" w:name="Tc_HQzSPW1UGEuHr_F4seYLJA_3_8"/>
      <w:bookmarkStart w:id="81" w:name="Tc_LfYBlSepfEy__1I4dDPAng_3_5"/>
      <w:bookmarkStart w:id="82" w:name="Tc_51Oi8nWnLkWiWDtXet6M8w_3_2"/>
      <w:bookmarkStart w:id="83" w:name="Tc_EXg41Bn06UKnWeFdnsI7QA_3_0"/>
      <w:bookmarkStart w:id="84" w:name="Tc_XZYUYCyoxkyoDxGOfmbm8w_2_8"/>
      <w:bookmarkStart w:id="85" w:name="Tc_tW5JkMtBdkKiMM5GWgk9Ew_2_2"/>
      <w:bookmarkStart w:id="86" w:name="Tc_LaikBSVSwE244gQaHufzQA_1_8"/>
      <w:bookmarkStart w:id="87" w:name="Tc_n8AeGE_KZk6U1np2-o3jfQ_1_2"/>
      <w:bookmarkStart w:id="88" w:name="_40632128_9b38_41f2_99c4_634cee63da95"/>
      <w:bookmarkStart w:id="89" w:name="Tc_LROAAKegwUCzscOI9-hfKQ_36_0"/>
      <w:bookmarkStart w:id="90" w:name="Tc_hP3hS5O9ckOmRLOBoMGkKw_35_0"/>
      <w:bookmarkStart w:id="91" w:name="Tc_ygVhLgSXx0-15nIXpCa0Ew_34_0"/>
      <w:bookmarkStart w:id="92" w:name="Tc_wqMR7gFC10mPQcm79mkRHg_32_11"/>
      <w:bookmarkStart w:id="93" w:name="Tc_co1lZbGMUUeTh2jqxunFMQ_32_8"/>
      <w:bookmarkStart w:id="94" w:name="Tc_Nl4Zs5R8y0aHqkA43wRwFA_32_5"/>
      <w:bookmarkStart w:id="95" w:name="Tc_OVuAXVmkpkOJ8BzQxoP3hg_32_2"/>
      <w:bookmarkStart w:id="96" w:name="Tc_hOSCQMqEgkW5gFXQB1qO8g_32_0"/>
      <w:bookmarkStart w:id="97" w:name="Tc_fy47EKG3hUKWtutrQESvUg_31_11"/>
      <w:bookmarkStart w:id="98" w:name="Tc_XrsPqIwKakuxSBw89Yqq-A_31_8"/>
      <w:bookmarkStart w:id="99" w:name="Tc_Uf871g-ml0SejVKa-K7ajQ_31_5"/>
      <w:bookmarkStart w:id="100" w:name="Tc_UwOn4EzRnkSk6e9HCNQEaw_31_2"/>
      <w:bookmarkStart w:id="101" w:name="Tc_i2WxNiHSu0mQlElueAZVrg_31_0"/>
      <w:bookmarkStart w:id="102" w:name="Tc_ah4djNgHAkCHoMZ7MGM-QQ_29_11"/>
      <w:bookmarkStart w:id="103" w:name="Tc_ZzKEWx0iPkSZzoPACnJMMA_29_8"/>
      <w:bookmarkStart w:id="104" w:name="Tc_9M9nLNIytkCcXQLlBcFLdA_29_5"/>
      <w:bookmarkStart w:id="105" w:name="Tc_6QmECuTT0kaKa2FZOY1vWg_29_2"/>
      <w:bookmarkStart w:id="106" w:name="Tc_NlONijshcUy1PIThFJHI1Q_29_0"/>
      <w:bookmarkStart w:id="107" w:name="Tc_kEQ74BSFc0a58-zXPCff2A_28_0"/>
      <w:bookmarkStart w:id="108" w:name="Tc_xg0ZfrQwEUmq4OoZgDerRw_27_0"/>
      <w:bookmarkStart w:id="109" w:name="Tc_WNSjjShCNUSoxKt21oWTWA_26_0"/>
      <w:bookmarkStart w:id="110" w:name="Tc_5LOCCTxDv0CwpBPeAFz_8w_25_0"/>
      <w:bookmarkStart w:id="111" w:name="Tc_PnFgSAI6skyFUCrsDtPmNQ_24_11"/>
      <w:bookmarkStart w:id="112" w:name="Tc_DxY2DCs7wUyZntLGQkeNKg_24_8"/>
      <w:bookmarkStart w:id="113" w:name="Tc_fGtatHRBbEGLx4Ot3lY1Tw_24_5"/>
      <w:bookmarkStart w:id="114" w:name="Tc_8EUO64qJ-EmMeYRqr4zpJQ_24_2"/>
      <w:bookmarkStart w:id="115" w:name="Tc_eCj5T2AyOU-vU_iYM0KpXw_24_0"/>
      <w:bookmarkStart w:id="116" w:name="Tc_uZmJm685UEi-cOh5T6W1aw_23_0"/>
      <w:bookmarkStart w:id="117" w:name="Tc_cGR3o83BhUKq-baIqMmrIg_21_11"/>
      <w:bookmarkStart w:id="118" w:name="Tc_b6L7dy7gKUyX2gqdBsir_w_21_8"/>
      <w:bookmarkStart w:id="119" w:name="Tc_0YDW2gIB3kGJHA0QkJNJGQ_21_5"/>
      <w:bookmarkStart w:id="120" w:name="Tc_LfSJp05lXEuuHmjRMahOXQ_21_2"/>
      <w:bookmarkStart w:id="121" w:name="Tc_lDhP8WtmWEOPtcQ-oXPQIg_21_0"/>
      <w:bookmarkStart w:id="122" w:name="Tc_uyrqgfOP_U-fiWPfWnfwow_20_0"/>
      <w:bookmarkStart w:id="123" w:name="Tc_gJZm796Y-k6IZ7gbyjAvSg_19_0"/>
      <w:bookmarkStart w:id="124" w:name="Tc_Bmn1uD5gEkO4A9jAhd7Bzg_18_0"/>
      <w:bookmarkStart w:id="125" w:name="Tc_2Q4xmAl9G0Sag_BXbY3SMg_17_0"/>
      <w:bookmarkStart w:id="126" w:name="Tc_DDTE6YjKqkC2GnN1_gVKYQ_16_0"/>
      <w:bookmarkStart w:id="127" w:name="Tc_hTyVZf0Jd0Sy5Ax_DUNQ5A_15_0"/>
      <w:bookmarkStart w:id="128" w:name="Tc_IOPS6u9pjUWpanlg9GCHkA_13_0"/>
      <w:bookmarkStart w:id="129" w:name="Tc_QiPTdh-vRESigLhPpAI09w_12_0"/>
      <w:bookmarkStart w:id="130" w:name="Tc_MiB6_aSJe0mNOHqvAO6e1w_11_0"/>
      <w:bookmarkStart w:id="131" w:name="Tc_g4vkh9RWjkKDe-vQwrRbGA_10_0"/>
      <w:bookmarkStart w:id="132" w:name="Tc_Dd4ix17DY0qwfxD0XJWtBg_9_0"/>
      <w:bookmarkStart w:id="133" w:name="Tc_ZTN-fTC12kuaQhDti1ZdFA_7_0"/>
      <w:bookmarkStart w:id="134" w:name="Tc_7CpyHTjjYU6OKlIyrTNJEw_6_0"/>
      <w:bookmarkStart w:id="135" w:name="Tc_taPj_mD4KEeLnmZCcjb2VA_5_11"/>
      <w:bookmarkStart w:id="136" w:name="Tc_5up9_GAg3EqmQl9zrx0kSA_5_8"/>
      <w:bookmarkStart w:id="137" w:name="Tc_mHGgJxlVRkW-HMwIWEiJCQ_5_5"/>
      <w:bookmarkStart w:id="138" w:name="Tc_SM40VwBtB0qhyO0pCoKmog_5_2"/>
      <w:bookmarkStart w:id="139" w:name="Tc_lPij-HyF80OUTntWSDSsAw_5_0"/>
      <w:bookmarkStart w:id="140" w:name="Tc_lKpgtuUSUUabZcwg2x7XEA_4_0"/>
      <w:bookmarkStart w:id="141" w:name="Tc_66zAyClbt0-w3xlAxWALSA_3_11"/>
      <w:bookmarkStart w:id="142" w:name="Tc_HQzSPW1UGEuHr_F4seYLJA_3_8"/>
      <w:bookmarkStart w:id="143" w:name="Tc_LfYBlSepfEy__1I4dDPAng_3_5"/>
      <w:bookmarkStart w:id="144" w:name="Tc_51Oi8nWnLkWiWDtXet6M8w_3_2"/>
      <w:bookmarkStart w:id="145" w:name="Tc_EXg41Bn06UKnWeFdnsI7QA_3_0"/>
      <w:bookmarkStart w:id="146" w:name="Tc_XZYUYCyoxkyoDxGOfmbm8w_2_8"/>
      <w:bookmarkStart w:id="147" w:name="Tc_tW5JkMtBdkKiMM5GWgk9Ew_2_2"/>
      <w:bookmarkStart w:id="148" w:name="Tc_LaikBSVSwE244gQaHufzQA_1_8"/>
      <w:bookmarkStart w:id="149" w:name="Tc_n8AeGE_KZk6U1np2-o3jfQ_1_2"/>
      <w:bookmarkStart w:id="150" w:name="_40632128_9b38_41f2_99c4_634cee63da95"/>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tbl>
      <w:tblPr>
        <w:tblW w:w="10205" w:type="dxa"/>
        <w:jc w:val="left"/>
        <w:tblInd w:w="0" w:type="dxa"/>
        <w:tblLayout w:type="fixed"/>
        <w:tblCellMar>
          <w:top w:w="0" w:type="dxa"/>
          <w:left w:w="0" w:type="dxa"/>
          <w:bottom w:w="0" w:type="dxa"/>
          <w:right w:w="0" w:type="dxa"/>
        </w:tblCellMar>
      </w:tblPr>
      <w:tblGrid>
        <w:gridCol w:w="4893"/>
        <w:gridCol w:w="346"/>
        <w:gridCol w:w="211"/>
        <w:gridCol w:w="684"/>
        <w:gridCol w:w="346"/>
        <w:gridCol w:w="211"/>
        <w:gridCol w:w="684"/>
        <w:gridCol w:w="346"/>
        <w:gridCol w:w="211"/>
        <w:gridCol w:w="834"/>
        <w:gridCol w:w="346"/>
        <w:gridCol w:w="211"/>
        <w:gridCol w:w="882"/>
      </w:tblGrid>
      <w:tr>
        <w:trPr/>
        <w:tc>
          <w:tcPr>
            <w:tcW w:w="4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107055" cy="175260"/>
                      <wp:effectExtent l="0" t="0" r="0" b="0"/>
                      <wp:wrapNone/>
                      <wp:docPr id="1" name="Frame1"/>
                      <a:graphic xmlns:a="http://schemas.openxmlformats.org/drawingml/2006/main">
                        <a:graphicData uri="http://schemas.microsoft.com/office/word/2010/wordprocessingShape">
                          <wps:wsp>
                            <wps:cNvSpPr txBox="1"/>
                            <wps:spPr>
                              <a:xfrm>
                                <a:off x="0" y="0"/>
                                <a:ext cx="310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34340" cy="175260"/>
                      <wp:effectExtent l="0" t="0" r="0" b="0"/>
                      <wp:wrapNone/>
                      <wp:docPr id="4" name="Frame4"/>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34340" cy="175260"/>
                      <wp:effectExtent l="0" t="0" r="0" b="0"/>
                      <wp:wrapNone/>
                      <wp:docPr id="7" name="Frame7"/>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29590" cy="175260"/>
                      <wp:effectExtent l="0" t="0" r="0" b="0"/>
                      <wp:wrapNone/>
                      <wp:docPr id="10" name="Frame10"/>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60070" cy="175260"/>
                      <wp:effectExtent l="0" t="0" r="0" b="0"/>
                      <wp:wrapNone/>
                      <wp:docPr id="13" name="Frame13"/>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48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8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4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8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346" w:type="dxa"/>
            <w:tcBorders/>
            <w:vAlign w:val="center"/>
          </w:tcPr>
          <w:p>
            <w:pPr>
              <w:pStyle w:val="TableContents"/>
              <w:bidi w:val="0"/>
              <w:spacing w:before="0" w:after="0"/>
              <w:ind w:left="0" w:right="0" w:hanging="0"/>
              <w:jc w:val="left"/>
              <w:rPr/>
            </w:pPr>
            <w:r>
              <w:rPr/>
              <w:t>  ​ ​ ​</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pPr>
            <w:r>
              <w:rPr/>
              <w:t>​</w:t>
            </w:r>
          </w:p>
        </w:tc>
      </w:tr>
      <w:tr>
        <w:trPr/>
        <w:tc>
          <w:tcPr>
            <w:tcW w:w="4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1,313.0</w:t>
            </w:r>
          </w:p>
        </w:tc>
      </w:tr>
      <w:tr>
        <w:trPr/>
        <w:tc>
          <w:tcPr>
            <w:tcW w:w="4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w:t>
            </w:r>
          </w:p>
        </w:tc>
      </w:tr>
      <w:tr>
        <w:trPr/>
        <w:tc>
          <w:tcPr>
            <w:tcW w:w="4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1,612.5</w:t>
            </w:r>
          </w:p>
        </w:tc>
      </w:tr>
      <w:tr>
        <w:trPr/>
        <w:tc>
          <w:tcPr>
            <w:tcW w:w="489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pPr>
            <w:r>
              <w:rPr/>
              <w:t>​</w:t>
            </w:r>
          </w:p>
        </w:tc>
      </w:tr>
      <w:tr>
        <w:trPr/>
        <w:tc>
          <w:tcPr>
            <w:tcW w:w="4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right"/>
              <w:rPr/>
            </w:pPr>
            <w:r>
              <w:rPr/>
              <w:t>​</w:t>
            </w:r>
          </w:p>
        </w:tc>
      </w:tr>
      <w:tr>
        <w:trPr/>
        <w:tc>
          <w:tcPr>
            <w:tcW w:w="4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(1,281.5)</w:t>
            </w:r>
          </w:p>
        </w:tc>
      </w:tr>
      <w:tr>
        <w:trPr/>
        <w:tc>
          <w:tcPr>
            <w:tcW w:w="4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SSAT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4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w:t>
            </w:r>
          </w:p>
        </w:tc>
      </w:tr>
      <w:tr>
        <w:trPr/>
        <w:tc>
          <w:tcPr>
            <w:tcW w:w="4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(1,417.4)</w:t>
            </w:r>
          </w:p>
        </w:tc>
      </w:tr>
      <w:tr>
        <w:trPr/>
        <w:tc>
          <w:tcPr>
            <w:tcW w:w="489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pPr>
            <w:r>
              <w:rPr/>
              <w:t>​</w:t>
            </w:r>
          </w:p>
        </w:tc>
      </w:tr>
      <w:tr>
        <w:trPr/>
        <w:tc>
          <w:tcPr>
            <w:tcW w:w="4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w:t>
            </w:r>
          </w:p>
        </w:tc>
      </w:tr>
      <w:tr>
        <w:trPr/>
        <w:tc>
          <w:tcPr>
            <w:tcW w:w="4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4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4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4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213.9</w:t>
            </w:r>
          </w:p>
        </w:tc>
      </w:tr>
      <w:tr>
        <w:trPr/>
        <w:tc>
          <w:tcPr>
            <w:tcW w:w="4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r>
      <w:tr>
        <w:trPr/>
        <w:tc>
          <w:tcPr>
            <w:tcW w:w="4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r>
      <w:tr>
        <w:trPr/>
        <w:tc>
          <w:tcPr>
            <w:tcW w:w="489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pPr>
            <w:r>
              <w:rPr/>
              <w:t>​</w:t>
            </w:r>
          </w:p>
        </w:tc>
      </w:tr>
      <w:tr>
        <w:trPr/>
        <w:tc>
          <w:tcPr>
            <w:tcW w:w="4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Net of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right"/>
              <w:rPr/>
            </w:pPr>
            <w:r>
              <w:rPr/>
              <w:t>​</w:t>
            </w:r>
          </w:p>
        </w:tc>
      </w:tr>
      <w:tr>
        <w:trPr/>
        <w:tc>
          <w:tcPr>
            <w:tcW w:w="4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r>
      <w:tr>
        <w:trPr/>
        <w:tc>
          <w:tcPr>
            <w:tcW w:w="4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right"/>
              <w:rPr/>
            </w:pPr>
            <w:r>
              <w:rPr/>
              <w:t>​</w:t>
            </w:r>
          </w:p>
        </w:tc>
      </w:tr>
      <w:tr>
        <w:trPr/>
        <w:tc>
          <w:tcPr>
            <w:tcW w:w="4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pension and post-retirement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4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 of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w:t>
            </w:r>
          </w:p>
        </w:tc>
      </w:tr>
      <w:tr>
        <w:trPr/>
        <w:tc>
          <w:tcPr>
            <w:tcW w:w="489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pPr>
            <w:r>
              <w:rPr/>
              <w:t>​</w:t>
            </w:r>
          </w:p>
        </w:tc>
      </w:tr>
      <w:tr>
        <w:trPr/>
        <w:tc>
          <w:tcPr>
            <w:tcW w:w="4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r>
      <w:tr>
        <w:trPr/>
        <w:tc>
          <w:tcPr>
            <w:tcW w:w="4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r>
      <w:tr>
        <w:trPr/>
        <w:tc>
          <w:tcPr>
            <w:tcW w:w="48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right"/>
              <w:rPr/>
            </w:pPr>
            <w:r>
              <w:rPr/>
              <w:t>​</w:t>
            </w:r>
          </w:p>
        </w:tc>
      </w:tr>
      <w:tr>
        <w:trPr/>
        <w:tc>
          <w:tcPr>
            <w:tcW w:w="4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pPr>
            <w:r>
              <w:rPr/>
              <w:t>​</w:t>
            </w:r>
          </w:p>
        </w:tc>
      </w:tr>
      <w:tr>
        <w:trPr/>
        <w:tc>
          <w:tcPr>
            <w:tcW w:w="48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48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1" w:name="_552316a2_3e61_4acb_856a_837fd7321f83"/>
      <w:bookmarkEnd w:id="151"/>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152" w:name="ConsolidatedBalanceSheets_846706"/>
      <w:bookmarkEnd w:id="152"/>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53" w:name="Tc_l08fypRs8U-lRAVz89kNSQ_41_5"/>
      <w:bookmarkStart w:id="154" w:name="Tc_169IyEr7HU-9KrmN9blFuQ_41_2"/>
      <w:bookmarkStart w:id="155" w:name="Tc_srCseO1xFUeCVGZRKDIY7A_41_0"/>
      <w:bookmarkStart w:id="156" w:name="Tc_42f5oqEnxkGi0zV6-SQoZA_40_0"/>
      <w:bookmarkStart w:id="157" w:name="Tc_bCS8nm-tb0ClC8TiPn_SBg_39_0"/>
      <w:bookmarkStart w:id="158" w:name="Tc_iVZlzrGtBE6P6MSGauk8Bw_38_0"/>
      <w:bookmarkStart w:id="159" w:name="Tc_om7NFo4m60ywYXTDWSJJ5w_37_0"/>
      <w:bookmarkStart w:id="160" w:name="Tc_BswxQkCW4U-LcjtwXZptQw_36_0"/>
      <w:bookmarkStart w:id="161" w:name="Tc_bDMbhcvJ1UCTeUd5MpqLQA_35_0"/>
      <w:bookmarkStart w:id="162" w:name="Tc_ein99YsNDkKPOrL4eo7Pbg_34_0"/>
      <w:bookmarkStart w:id="163" w:name="Tc_OyjtzTfknUa_p0N9JBnm2w_33_0"/>
      <w:bookmarkStart w:id="164" w:name="Tc_Uj3YtEXCmEer8D6PhxZtpg_32_0"/>
      <w:bookmarkStart w:id="165" w:name="Tc_m-sSPVEXg06QdtIZqsbLKQ_31_0"/>
      <w:bookmarkStart w:id="166" w:name="Tc_7lphHjz9pkGHZQjAdEoGOQ_30_0"/>
      <w:bookmarkStart w:id="167" w:name="Tc_d99gfgsGPke5icMcU-KijQ_29_0"/>
      <w:bookmarkStart w:id="168" w:name="Tc_4-MbK97-pU-rP1SKYOlcBg_28_0"/>
      <w:bookmarkStart w:id="169" w:name="Tc_olWaZ6-0L0SlK9C40JMhTg_27_0"/>
      <w:bookmarkStart w:id="170" w:name="Tc_mXK4Hc-hB06toaXvwfr4Hg_26_0"/>
      <w:bookmarkStart w:id="171" w:name="Tc_UlDwiTyaCEa04cfg1dwNXQ_25_0"/>
      <w:bookmarkStart w:id="172" w:name="Tc_65KEaXUAHUqhN4iR3pc88Q_24_0"/>
      <w:bookmarkStart w:id="173" w:name="Tc_hXp6XXLUQ0SUyhtNQPefGg_23_5"/>
      <w:bookmarkStart w:id="174" w:name="Tc_CDERm8O5IEqqyO4PIBDVAA_23_2"/>
      <w:bookmarkStart w:id="175" w:name="Tc_07Rnsna_f0SYlAMuScFZBg_23_0"/>
      <w:bookmarkStart w:id="176" w:name="Tc_0qDnoF8Ed0W7VL14MBhVrg_22_0"/>
      <w:bookmarkStart w:id="177" w:name="Tc_Q386vscRVUiKFS4y7oujdw_21_0"/>
      <w:bookmarkStart w:id="178" w:name="Tc_gf939KWbtEK438Y8Lso0rQ_19_5"/>
      <w:bookmarkStart w:id="179" w:name="Tc_UbohOqiyfEGem7hIND3KPw_19_2"/>
      <w:bookmarkStart w:id="180" w:name="Tc_8WG5lDZUvEmSG4rBTUEBMA_19_0"/>
      <w:bookmarkStart w:id="181" w:name="Tc_vf5qnslP3UmtMqdbuG0l2A_18_0"/>
      <w:bookmarkStart w:id="182" w:name="Tc_n5qoK4a8TEa6ALLbOIc5wQ_17_0"/>
      <w:bookmarkStart w:id="183" w:name="Tc_qdxZzo-1Rky4xwMxVGsCkQ_16_0"/>
      <w:bookmarkStart w:id="184" w:name="Tc_kTsjviAb_k261_L0saYHlg_15_0"/>
      <w:bookmarkStart w:id="185" w:name="Tc_bHvsGCthVEqcu8BA898SjQ_14_0"/>
      <w:bookmarkStart w:id="186" w:name="Tc_2n9L4ZUFqEiZGdoYTnUVwQ_13_0"/>
      <w:bookmarkStart w:id="187" w:name="Tc_iucSWUMN1USjl3wp52larA_12_0"/>
      <w:bookmarkStart w:id="188" w:name="Tc_S_v2_28WMk2hjdsLPgbGeA_11_0"/>
      <w:bookmarkStart w:id="189" w:name="Tc_B9DgQHgTo0qEXPljujuVQA_10_0"/>
      <w:bookmarkStart w:id="190" w:name="Tc_PHii6glJeEyXkqETRf6NgQ_9_0"/>
      <w:bookmarkStart w:id="191" w:name="Tc_RyEPrUvUpU6EuwxJEkyNsw_8_0"/>
      <w:bookmarkStart w:id="192" w:name="Tc_VAtxWlAVh0qEVmb-OyoxMQ_7_0"/>
      <w:bookmarkStart w:id="193" w:name="Tc_1OgHWVcN80WMJkcQ4G248Q_6_0"/>
      <w:bookmarkStart w:id="194" w:name="Tc_XWVdWedgLUumqoCir-xAhA_5_5"/>
      <w:bookmarkStart w:id="195" w:name="Tc_ARrTxmBu60-s2Pac_7Sy8w_5_2"/>
      <w:bookmarkStart w:id="196" w:name="Tc_Nqr6OipCoEGrdGUp4pMweQ_5_0"/>
      <w:bookmarkStart w:id="197" w:name="Tc_5U6S36M88Ei1TMEsSxC9EQ_4_0"/>
      <w:bookmarkStart w:id="198" w:name="Tc_vDVJjOWQMEqU0h5Dw-GUtQ_3_0"/>
      <w:bookmarkStart w:id="199" w:name="Tc_SNOH37CnY0-uPyb1VzSt4A_2_5"/>
      <w:bookmarkStart w:id="200" w:name="Tc_RNcTtQbI4063VpKypzFHRg_2_2"/>
      <w:bookmarkStart w:id="201" w:name="Tc_0GRKstReJ0W6kZMp-4gkNQ_2_0"/>
      <w:bookmarkStart w:id="202" w:name="Tc_vkqLOx97G0mkAHwrpQfC7w_1_5"/>
      <w:bookmarkStart w:id="203" w:name="Tc_Acx7Z1Zt0EGKJu3MCPyoqg_1_2"/>
      <w:bookmarkStart w:id="204" w:name="_4e639415_3bef_4e1f_89c3_54bf7449adc0"/>
      <w:bookmarkStart w:id="205" w:name="Tc_l08fypRs8U-lRAVz89kNSQ_41_5"/>
      <w:bookmarkStart w:id="206" w:name="Tc_169IyEr7HU-9KrmN9blFuQ_41_2"/>
      <w:bookmarkStart w:id="207" w:name="Tc_srCseO1xFUeCVGZRKDIY7A_41_0"/>
      <w:bookmarkStart w:id="208" w:name="Tc_42f5oqEnxkGi0zV6-SQoZA_40_0"/>
      <w:bookmarkStart w:id="209" w:name="Tc_bCS8nm-tb0ClC8TiPn_SBg_39_0"/>
      <w:bookmarkStart w:id="210" w:name="Tc_iVZlzrGtBE6P6MSGauk8Bw_38_0"/>
      <w:bookmarkStart w:id="211" w:name="Tc_om7NFo4m60ywYXTDWSJJ5w_37_0"/>
      <w:bookmarkStart w:id="212" w:name="Tc_BswxQkCW4U-LcjtwXZptQw_36_0"/>
      <w:bookmarkStart w:id="213" w:name="Tc_bDMbhcvJ1UCTeUd5MpqLQA_35_0"/>
      <w:bookmarkStart w:id="214" w:name="Tc_ein99YsNDkKPOrL4eo7Pbg_34_0"/>
      <w:bookmarkStart w:id="215" w:name="Tc_OyjtzTfknUa_p0N9JBnm2w_33_0"/>
      <w:bookmarkStart w:id="216" w:name="Tc_Uj3YtEXCmEer8D6PhxZtpg_32_0"/>
      <w:bookmarkStart w:id="217" w:name="Tc_m-sSPVEXg06QdtIZqsbLKQ_31_0"/>
      <w:bookmarkStart w:id="218" w:name="Tc_7lphHjz9pkGHZQjAdEoGOQ_30_0"/>
      <w:bookmarkStart w:id="219" w:name="Tc_d99gfgsGPke5icMcU-KijQ_29_0"/>
      <w:bookmarkStart w:id="220" w:name="Tc_4-MbK97-pU-rP1SKYOlcBg_28_0"/>
      <w:bookmarkStart w:id="221" w:name="Tc_olWaZ6-0L0SlK9C40JMhTg_27_0"/>
      <w:bookmarkStart w:id="222" w:name="Tc_mXK4Hc-hB06toaXvwfr4Hg_26_0"/>
      <w:bookmarkStart w:id="223" w:name="Tc_UlDwiTyaCEa04cfg1dwNXQ_25_0"/>
      <w:bookmarkStart w:id="224" w:name="Tc_65KEaXUAHUqhN4iR3pc88Q_24_0"/>
      <w:bookmarkStart w:id="225" w:name="Tc_hXp6XXLUQ0SUyhtNQPefGg_23_5"/>
      <w:bookmarkStart w:id="226" w:name="Tc_CDERm8O5IEqqyO4PIBDVAA_23_2"/>
      <w:bookmarkStart w:id="227" w:name="Tc_07Rnsna_f0SYlAMuScFZBg_23_0"/>
      <w:bookmarkStart w:id="228" w:name="Tc_0qDnoF8Ed0W7VL14MBhVrg_22_0"/>
      <w:bookmarkStart w:id="229" w:name="Tc_Q386vscRVUiKFS4y7oujdw_21_0"/>
      <w:bookmarkStart w:id="230" w:name="Tc_gf939KWbtEK438Y8Lso0rQ_19_5"/>
      <w:bookmarkStart w:id="231" w:name="Tc_UbohOqiyfEGem7hIND3KPw_19_2"/>
      <w:bookmarkStart w:id="232" w:name="Tc_8WG5lDZUvEmSG4rBTUEBMA_19_0"/>
      <w:bookmarkStart w:id="233" w:name="Tc_vf5qnslP3UmtMqdbuG0l2A_18_0"/>
      <w:bookmarkStart w:id="234" w:name="Tc_n5qoK4a8TEa6ALLbOIc5wQ_17_0"/>
      <w:bookmarkStart w:id="235" w:name="Tc_qdxZzo-1Rky4xwMxVGsCkQ_16_0"/>
      <w:bookmarkStart w:id="236" w:name="Tc_kTsjviAb_k261_L0saYHlg_15_0"/>
      <w:bookmarkStart w:id="237" w:name="Tc_bHvsGCthVEqcu8BA898SjQ_14_0"/>
      <w:bookmarkStart w:id="238" w:name="Tc_2n9L4ZUFqEiZGdoYTnUVwQ_13_0"/>
      <w:bookmarkStart w:id="239" w:name="Tc_iucSWUMN1USjl3wp52larA_12_0"/>
      <w:bookmarkStart w:id="240" w:name="Tc_S_v2_28WMk2hjdsLPgbGeA_11_0"/>
      <w:bookmarkStart w:id="241" w:name="Tc_B9DgQHgTo0qEXPljujuVQA_10_0"/>
      <w:bookmarkStart w:id="242" w:name="Tc_PHii6glJeEyXkqETRf6NgQ_9_0"/>
      <w:bookmarkStart w:id="243" w:name="Tc_RyEPrUvUpU6EuwxJEkyNsw_8_0"/>
      <w:bookmarkStart w:id="244" w:name="Tc_VAtxWlAVh0qEVmb-OyoxMQ_7_0"/>
      <w:bookmarkStart w:id="245" w:name="Tc_1OgHWVcN80WMJkcQ4G248Q_6_0"/>
      <w:bookmarkStart w:id="246" w:name="Tc_XWVdWedgLUumqoCir-xAhA_5_5"/>
      <w:bookmarkStart w:id="247" w:name="Tc_ARrTxmBu60-s2Pac_7Sy8w_5_2"/>
      <w:bookmarkStart w:id="248" w:name="Tc_Nqr6OipCoEGrdGUp4pMweQ_5_0"/>
      <w:bookmarkStart w:id="249" w:name="Tc_5U6S36M88Ei1TMEsSxC9EQ_4_0"/>
      <w:bookmarkStart w:id="250" w:name="Tc_vDVJjOWQMEqU0h5Dw-GUtQ_3_0"/>
      <w:bookmarkStart w:id="251" w:name="Tc_SNOH37CnY0-uPyb1VzSt4A_2_5"/>
      <w:bookmarkStart w:id="252" w:name="Tc_RNcTtQbI4063VpKypzFHRg_2_2"/>
      <w:bookmarkStart w:id="253" w:name="Tc_0GRKstReJ0W6kZMp-4gkNQ_2_0"/>
      <w:bookmarkStart w:id="254" w:name="Tc_vkqLOx97G0mkAHwrpQfC7w_1_5"/>
      <w:bookmarkStart w:id="255" w:name="Tc_Acx7Z1Zt0EGKJu3MCPyoqg_1_2"/>
      <w:bookmarkStart w:id="256" w:name="_4e639415_3bef_4e1f_89c3_54bf7449adc0"/>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tbl>
      <w:tblPr>
        <w:tblW w:w="10205" w:type="dxa"/>
        <w:jc w:val="left"/>
        <w:tblInd w:w="0" w:type="dxa"/>
        <w:tblLayout w:type="fixed"/>
        <w:tblCellMar>
          <w:top w:w="0" w:type="dxa"/>
          <w:left w:w="0" w:type="dxa"/>
          <w:bottom w:w="0" w:type="dxa"/>
          <w:right w:w="0" w:type="dxa"/>
        </w:tblCellMar>
      </w:tblPr>
      <w:tblGrid>
        <w:gridCol w:w="7407"/>
        <w:gridCol w:w="346"/>
        <w:gridCol w:w="211"/>
        <w:gridCol w:w="721"/>
        <w:gridCol w:w="346"/>
        <w:gridCol w:w="238"/>
        <w:gridCol w:w="936"/>
      </w:tblGrid>
      <w:tr>
        <w:trPr/>
        <w:tc>
          <w:tcPr>
            <w:tcW w:w="7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703445" cy="175260"/>
                      <wp:effectExtent l="0" t="0" r="0" b="0"/>
                      <wp:wrapNone/>
                      <wp:docPr id="14" name="Frame14"/>
                      <a:graphic xmlns:a="http://schemas.openxmlformats.org/drawingml/2006/main">
                        <a:graphicData uri="http://schemas.microsoft.com/office/word/2010/wordprocessingShape">
                          <wps:wsp>
                            <wps:cNvSpPr txBox="1"/>
                            <wps:spPr>
                              <a:xfrm>
                                <a:off x="0" y="0"/>
                                <a:ext cx="4703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57835" cy="175260"/>
                      <wp:effectExtent l="0" t="0" r="0" b="0"/>
                      <wp:wrapNone/>
                      <wp:docPr id="17" name="Frame1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51130" cy="175260"/>
                      <wp:effectExtent l="0" t="0" r="0" b="0"/>
                      <wp:wrapNone/>
                      <wp:docPr id="19" name="Frame19"/>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94360" cy="175260"/>
                      <wp:effectExtent l="0" t="0" r="0" b="0"/>
                      <wp:wrapNone/>
                      <wp:docPr id="20" name="Frame20"/>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credit losses of $7.9 million and $8.6 million,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256.8</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536.0</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471.9</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SSAT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2,680.3</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2,499.4</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373.0</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Construction Fund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345.8</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dry-docking costs,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4,177.5</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4,163.7</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4,713.5</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4,635.6</w:t>
            </w:r>
          </w:p>
        </w:tc>
      </w:tr>
      <w:tr>
        <w:trPr/>
        <w:tc>
          <w:tcPr>
            <w:tcW w:w="74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297.9</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244.9</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603.8</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 of deferred loan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312.1</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251.2</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704.4</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701.9</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1,336.6</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1,349.2</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(see Note 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295.2</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2,472.0</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2,439.4</w:t>
            </w:r>
          </w:p>
        </w:tc>
      </w:tr>
      <w:tr>
        <w:trPr/>
        <w:tc>
          <w:tcPr>
            <w:tcW w:w="7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2,773.1</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2,759.0</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4,713.5</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4,635.6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7" w:name="_66189bb4_05af_400d_aed2_9e5aabcda2a5"/>
      <w:bookmarkEnd w:id="257"/>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258" w:name="StatementsofCashFlows_473640"/>
      <w:bookmarkEnd w:id="258"/>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259" w:name="Tc_RICDaJ5BzkeBwUnE4PHWwg_47_5"/>
      <w:bookmarkStart w:id="260" w:name="Tc_rjGWmSmHXEeaObee_hXlug_47_2"/>
      <w:bookmarkStart w:id="261" w:name="Tc_PyBGXUBuwUubd1slTZ5rrw_47_0"/>
      <w:bookmarkStart w:id="262" w:name="Tc_tsi7kYK6WEqSXgFhokfE3g_46_5"/>
      <w:bookmarkStart w:id="263" w:name="Tc_53QVsvJIS06B_5zRt4N1GQ_46_2"/>
      <w:bookmarkStart w:id="264" w:name="Tc_mGMu6hDwWkWPbzTSWQPy6w_46_0"/>
      <w:bookmarkStart w:id="265" w:name="Tc_xV6tbd1MXUCpl5ZN3HQ51g_45_0"/>
      <w:bookmarkStart w:id="266" w:name="Tc_NQJqWWNjdkqDjR1qicH2Nw_43_5"/>
      <w:bookmarkStart w:id="267" w:name="Tc_JvKC88_8ZkysCPMUoiJVzg_43_2"/>
      <w:bookmarkStart w:id="268" w:name="Tc_Q3IiLKaEiky5xlbqWFO2aQ_43_0"/>
      <w:bookmarkStart w:id="269" w:name="Tc_SsU4qqoBaEWjWShBKcZaHQ_42_5"/>
      <w:bookmarkStart w:id="270" w:name="Tc_upHunarLyUSPI5ZvXW0KNg_42_2"/>
      <w:bookmarkStart w:id="271" w:name="Tc_6gbXPlt400Wosya88nF_Qw_42_0"/>
      <w:bookmarkStart w:id="272" w:name="Tc_crd_rshl7kS4SROdF-oQog_41_0"/>
      <w:bookmarkStart w:id="273" w:name="Tc_DGkZ52H-Pk2XwmyclQGBZQ_39_5"/>
      <w:bookmarkStart w:id="274" w:name="Tc_U_5GWpGclkygqkhHQgV7bQ_39_2"/>
      <w:bookmarkStart w:id="275" w:name="Tc_RXzzWymSK06q_Lfqybro3g_39_0"/>
      <w:bookmarkStart w:id="276" w:name="Tc_w5j-a9hidU-JyAhs9ETE8A_38_0"/>
      <w:bookmarkStart w:id="277" w:name="Tc_ilAWPMhd70inoSR2f_q_RQ_37_0"/>
      <w:bookmarkStart w:id="278" w:name="Tc_QJ35kTxcNkWLlylB1ddOqQ_35_0"/>
      <w:bookmarkStart w:id="279" w:name="Tc_aVGoDusAhECOeWaokDuJ4A_34_0"/>
      <w:bookmarkStart w:id="280" w:name="Tc_54khpLBe_0GXP37sOic_1g_33_0"/>
      <w:bookmarkStart w:id="281" w:name="Tc_XbQVzz9RxE6bapWmeBs_fQ_32_0"/>
      <w:bookmarkStart w:id="282" w:name="Tc_OlcJgHSA8k6IxhiHpjBcZA_31_0"/>
      <w:bookmarkStart w:id="283" w:name="Tc__nEth9lB5EWJNoeaTRtrBA_30_0"/>
      <w:bookmarkStart w:id="284" w:name="Tc_TwvY5BqPSUme0gVeMe8eyA_28_0"/>
      <w:bookmarkStart w:id="285" w:name="Tc_y5t5QCBZe0uqaKS0lG72Pw_27_0"/>
      <w:bookmarkStart w:id="286" w:name="Tc_xkoulYyg-U6Kutr4ZsTe3g_26_0"/>
      <w:bookmarkStart w:id="287" w:name="Tc_vogXsWnGNUCcoBkDLbMOJg_25_0"/>
      <w:bookmarkStart w:id="288" w:name="Tc_KQ3ehNge-EeHpxaVsbdEZA_24_0"/>
      <w:bookmarkStart w:id="289" w:name="Tc_8tkdk2ieDEiTAF2Nl9bjLg_23_0"/>
      <w:bookmarkStart w:id="290" w:name="Tc_aly5i98RdEGFCXOJVAlTTw_22_0"/>
      <w:bookmarkStart w:id="291" w:name="Tc_FDgeuZjPS0-3fTa6R4q25g_20_0"/>
      <w:bookmarkStart w:id="292" w:name="Tc_4QB3oo78z0WcQu0rxy15qg_19_0"/>
      <w:bookmarkStart w:id="293" w:name="Tc_Le_H7SSO9EqUgzS3-N7czA_18_0"/>
      <w:bookmarkStart w:id="294" w:name="Tc_hQuy70Qr7U-WtYuIVXA3uA_17_0"/>
      <w:bookmarkStart w:id="295" w:name="Tc_QZoEY_24RkSBYlN9aftSAQ_16_0"/>
      <w:bookmarkStart w:id="296" w:name="Tc_5fxEXhyNtEe_H5o1_Ik3eA_15_0"/>
      <w:bookmarkStart w:id="297" w:name="Tc_bxiqoopeoEGNF5NNPs0zdg_14_0"/>
      <w:bookmarkStart w:id="298" w:name="Tc_LiPTqbmydkKXAJr7KUfgRw_13_0"/>
      <w:bookmarkStart w:id="299" w:name="Tc_p2jQGFE1pEunltwkbd5lbA_12_0"/>
      <w:bookmarkStart w:id="300" w:name="Tc_jNaJ6ysORkij0-pVFlJESQ_11_0"/>
      <w:bookmarkStart w:id="301" w:name="Tc_Ei5ymOuJ4k-btuGXFoPmDg_10_0"/>
      <w:bookmarkStart w:id="302" w:name="Tc_eigI2Uhf10GCnHofpeCzYg_9_0"/>
      <w:bookmarkStart w:id="303" w:name="Tc_IVupKPVOKkW54d8a_6-Kgg_8_0"/>
      <w:bookmarkStart w:id="304" w:name="Tc_1s3-DzsKvUq3aD9vou4hzQ_7_0"/>
      <w:bookmarkStart w:id="305" w:name="Tc_Ki9GR4LBHU-zwpEQZVMLGA_6_0"/>
      <w:bookmarkStart w:id="306" w:name="Tc_c7EIT8UXG0uUbngCqsGSWA_5_0"/>
      <w:bookmarkStart w:id="307" w:name="Tc_XiNK43hhAUC1KTfa-J5U_A_4_5"/>
      <w:bookmarkStart w:id="308" w:name="Tc_I9pbnQIPC0q_R285Kiq6bA_4_2"/>
      <w:bookmarkStart w:id="309" w:name="Tc_f-65Pel2u0WqxLPouhjOvw_4_0"/>
      <w:bookmarkStart w:id="310" w:name="Tc_YxRCgY4sSkedtPM2xax5Uw_3_0"/>
      <w:bookmarkStart w:id="311" w:name="Tc_9Z1eJ7nQXEmbkwOsZeF1-A_2_5"/>
      <w:bookmarkStart w:id="312" w:name="Tc_y_hyCHZIKUySJe-NzN04fA_2_2"/>
      <w:bookmarkStart w:id="313" w:name="Tc_4mMtwD2OkU2FfSPlKdB29w_2_0"/>
      <w:bookmarkStart w:id="314" w:name="Tc_xjLHdp7DnE2gWzWPXo77sw_1_2"/>
      <w:bookmarkStart w:id="315" w:name="_dcb652cd_b01d_4c77_8295_5774b4278ea0"/>
      <w:bookmarkStart w:id="316" w:name="Tc_RICDaJ5BzkeBwUnE4PHWwg_47_5"/>
      <w:bookmarkStart w:id="317" w:name="Tc_rjGWmSmHXEeaObee_hXlug_47_2"/>
      <w:bookmarkStart w:id="318" w:name="Tc_PyBGXUBuwUubd1slTZ5rrw_47_0"/>
      <w:bookmarkStart w:id="319" w:name="Tc_tsi7kYK6WEqSXgFhokfE3g_46_5"/>
      <w:bookmarkStart w:id="320" w:name="Tc_53QVsvJIS06B_5zRt4N1GQ_46_2"/>
      <w:bookmarkStart w:id="321" w:name="Tc_mGMu6hDwWkWPbzTSWQPy6w_46_0"/>
      <w:bookmarkStart w:id="322" w:name="Tc_xV6tbd1MXUCpl5ZN3HQ51g_45_0"/>
      <w:bookmarkStart w:id="323" w:name="Tc_NQJqWWNjdkqDjR1qicH2Nw_43_5"/>
      <w:bookmarkStart w:id="324" w:name="Tc_JvKC88_8ZkysCPMUoiJVzg_43_2"/>
      <w:bookmarkStart w:id="325" w:name="Tc_Q3IiLKaEiky5xlbqWFO2aQ_43_0"/>
      <w:bookmarkStart w:id="326" w:name="Tc_SsU4qqoBaEWjWShBKcZaHQ_42_5"/>
      <w:bookmarkStart w:id="327" w:name="Tc_upHunarLyUSPI5ZvXW0KNg_42_2"/>
      <w:bookmarkStart w:id="328" w:name="Tc_6gbXPlt400Wosya88nF_Qw_42_0"/>
      <w:bookmarkStart w:id="329" w:name="Tc_crd_rshl7kS4SROdF-oQog_41_0"/>
      <w:bookmarkStart w:id="330" w:name="Tc_DGkZ52H-Pk2XwmyclQGBZQ_39_5"/>
      <w:bookmarkStart w:id="331" w:name="Tc_U_5GWpGclkygqkhHQgV7bQ_39_2"/>
      <w:bookmarkStart w:id="332" w:name="Tc_RXzzWymSK06q_Lfqybro3g_39_0"/>
      <w:bookmarkStart w:id="333" w:name="Tc_w5j-a9hidU-JyAhs9ETE8A_38_0"/>
      <w:bookmarkStart w:id="334" w:name="Tc_ilAWPMhd70inoSR2f_q_RQ_37_0"/>
      <w:bookmarkStart w:id="335" w:name="Tc_QJ35kTxcNkWLlylB1ddOqQ_35_0"/>
      <w:bookmarkStart w:id="336" w:name="Tc_aVGoDusAhECOeWaokDuJ4A_34_0"/>
      <w:bookmarkStart w:id="337" w:name="Tc_54khpLBe_0GXP37sOic_1g_33_0"/>
      <w:bookmarkStart w:id="338" w:name="Tc_XbQVzz9RxE6bapWmeBs_fQ_32_0"/>
      <w:bookmarkStart w:id="339" w:name="Tc_OlcJgHSA8k6IxhiHpjBcZA_31_0"/>
      <w:bookmarkStart w:id="340" w:name="Tc__nEth9lB5EWJNoeaTRtrBA_30_0"/>
      <w:bookmarkStart w:id="341" w:name="Tc_TwvY5BqPSUme0gVeMe8eyA_28_0"/>
      <w:bookmarkStart w:id="342" w:name="Tc_y5t5QCBZe0uqaKS0lG72Pw_27_0"/>
      <w:bookmarkStart w:id="343" w:name="Tc_xkoulYyg-U6Kutr4ZsTe3g_26_0"/>
      <w:bookmarkStart w:id="344" w:name="Tc_vogXsWnGNUCcoBkDLbMOJg_25_0"/>
      <w:bookmarkStart w:id="345" w:name="Tc_KQ3ehNge-EeHpxaVsbdEZA_24_0"/>
      <w:bookmarkStart w:id="346" w:name="Tc_8tkdk2ieDEiTAF2Nl9bjLg_23_0"/>
      <w:bookmarkStart w:id="347" w:name="Tc_aly5i98RdEGFCXOJVAlTTw_22_0"/>
      <w:bookmarkStart w:id="348" w:name="Tc_FDgeuZjPS0-3fTa6R4q25g_20_0"/>
      <w:bookmarkStart w:id="349" w:name="Tc_4QB3oo78z0WcQu0rxy15qg_19_0"/>
      <w:bookmarkStart w:id="350" w:name="Tc_Le_H7SSO9EqUgzS3-N7czA_18_0"/>
      <w:bookmarkStart w:id="351" w:name="Tc_hQuy70Qr7U-WtYuIVXA3uA_17_0"/>
      <w:bookmarkStart w:id="352" w:name="Tc_QZoEY_24RkSBYlN9aftSAQ_16_0"/>
      <w:bookmarkStart w:id="353" w:name="Tc_5fxEXhyNtEe_H5o1_Ik3eA_15_0"/>
      <w:bookmarkStart w:id="354" w:name="Tc_bxiqoopeoEGNF5NNPs0zdg_14_0"/>
      <w:bookmarkStart w:id="355" w:name="Tc_LiPTqbmydkKXAJr7KUfgRw_13_0"/>
      <w:bookmarkStart w:id="356" w:name="Tc_p2jQGFE1pEunltwkbd5lbA_12_0"/>
      <w:bookmarkStart w:id="357" w:name="Tc_jNaJ6ysORkij0-pVFlJESQ_11_0"/>
      <w:bookmarkStart w:id="358" w:name="Tc_Ei5ymOuJ4k-btuGXFoPmDg_10_0"/>
      <w:bookmarkStart w:id="359" w:name="Tc_eigI2Uhf10GCnHofpeCzYg_9_0"/>
      <w:bookmarkStart w:id="360" w:name="Tc_IVupKPVOKkW54d8a_6-Kgg_8_0"/>
      <w:bookmarkStart w:id="361" w:name="Tc_1s3-DzsKvUq3aD9vou4hzQ_7_0"/>
      <w:bookmarkStart w:id="362" w:name="Tc_Ki9GR4LBHU-zwpEQZVMLGA_6_0"/>
      <w:bookmarkStart w:id="363" w:name="Tc_c7EIT8UXG0uUbngCqsGSWA_5_0"/>
      <w:bookmarkStart w:id="364" w:name="Tc_XiNK43hhAUC1KTfa-J5U_A_4_5"/>
      <w:bookmarkStart w:id="365" w:name="Tc_I9pbnQIPC0q_R285Kiq6bA_4_2"/>
      <w:bookmarkStart w:id="366" w:name="Tc_f-65Pel2u0WqxLPouhjOvw_4_0"/>
      <w:bookmarkStart w:id="367" w:name="Tc_YxRCgY4sSkedtPM2xax5Uw_3_0"/>
      <w:bookmarkStart w:id="368" w:name="Tc_9Z1eJ7nQXEmbkwOsZeF1-A_2_5"/>
      <w:bookmarkStart w:id="369" w:name="Tc_y_hyCHZIKUySJe-NzN04fA_2_2"/>
      <w:bookmarkStart w:id="370" w:name="Tc_4mMtwD2OkU2FfSPlKdB29w_2_0"/>
      <w:bookmarkStart w:id="371" w:name="Tc_xjLHdp7DnE2gWzWPXo77sw_1_2"/>
      <w:bookmarkStart w:id="372" w:name="_dcb652cd_b01d_4c77_8295_5774b4278ea0"/>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tbl>
      <w:tblPr>
        <w:tblW w:w="8522" w:type="dxa"/>
        <w:jc w:val="left"/>
        <w:tblInd w:w="0" w:type="dxa"/>
        <w:tblLayout w:type="fixed"/>
        <w:tblCellMar>
          <w:top w:w="0" w:type="dxa"/>
          <w:left w:w="0" w:type="dxa"/>
          <w:bottom w:w="0" w:type="dxa"/>
          <w:right w:w="0" w:type="dxa"/>
        </w:tblCellMar>
      </w:tblPr>
      <w:tblGrid>
        <w:gridCol w:w="5671"/>
        <w:gridCol w:w="346"/>
        <w:gridCol w:w="207"/>
        <w:gridCol w:w="667"/>
        <w:gridCol w:w="366"/>
        <w:gridCol w:w="207"/>
        <w:gridCol w:w="667"/>
        <w:gridCol w:w="391"/>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601085" cy="175260"/>
                      <wp:effectExtent l="0" t="0" r="0" b="0"/>
                      <wp:wrapNone/>
                      <wp:docPr id="21" name="Frame21"/>
                      <a:graphic xmlns:a="http://schemas.openxmlformats.org/drawingml/2006/main">
                        <a:graphicData uri="http://schemas.microsoft.com/office/word/2010/wordprocessingShape">
                          <wps:wsp>
                            <wps:cNvSpPr txBox="1"/>
                            <wps:spPr>
                              <a:xfrm>
                                <a:off x="0" y="0"/>
                                <a:ext cx="3601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1445" cy="175260"/>
                      <wp:effectExtent l="0" t="0" r="0" b="0"/>
                      <wp:wrapNone/>
                      <wp:docPr id="23" name="Frame23"/>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23545" cy="175260"/>
                      <wp:effectExtent l="0" t="0" r="0" b="0"/>
                      <wp:wrapNone/>
                      <wp:docPr id="24" name="Frame24"/>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32410" cy="175260"/>
                      <wp:effectExtent l="0" t="0" r="0" b="0"/>
                      <wp:wrapNone/>
                      <wp:docPr id="25" name="Frame25"/>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1445" cy="175260"/>
                      <wp:effectExtent l="0" t="0" r="0" b="0"/>
                      <wp:wrapNone/>
                      <wp:docPr id="26" name="Frame26"/>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23545" cy="175260"/>
                      <wp:effectExtent l="0" t="0" r="0" b="0"/>
                      <wp:wrapNone/>
                      <wp:docPr id="27" name="Frame27"/>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48285" cy="175260"/>
                      <wp:effectExtent l="0" t="0" r="0" b="0"/>
                      <wp:wrapNone/>
                      <wp:docPr id="28" name="Frame2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6" w:type="dxa"/>
            <w:tcBorders/>
            <w:vAlign w:val="center"/>
          </w:tcPr>
          <w:p>
            <w:pPr>
              <w:pStyle w:val="TableContents"/>
              <w:bidi w:val="0"/>
              <w:spacing w:before="0" w:after="0"/>
              <w:ind w:left="0" w:right="0" w:hanging="0"/>
              <w:jc w:val="left"/>
              <w:rPr/>
            </w:pPr>
            <w:r>
              <w:rPr/>
              <w:t>  ​ ​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186.0</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167.0</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Reconciling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84.3</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81.8</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68.8</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from SSAT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assets and liabilities:</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(78.6)</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dry-docking payments</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dry-docking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assets</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accruals and 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50.3</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assets and liabilities, net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(63.6)</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(67.8)</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231.6</w:t>
            </w:r>
          </w:p>
        </w:tc>
        <w:tc>
          <w:tcPr>
            <w:tcW w:w="36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194.6</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Vessel construction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(199.8)</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 (excluding vessel construction expenditures)</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(55.7)</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(71.4)</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disposal of 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interest deposited into the Capital Construction Fund</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(109.1)</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Withdrawals from Capital Construction Fund</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197.7</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w:t>
            </w:r>
          </w:p>
        </w:tc>
        <w:tc>
          <w:tcPr>
            <w:tcW w:w="36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(183.4)</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Repayments of debt</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paid</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 </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Matson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(119.8)</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 withholding related to net share settlements of restricted stock units</w:t>
            </w:r>
          </w:p>
        </w:tc>
        <w:tc>
          <w:tcPr>
            <w:tcW w:w="34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w:t>
            </w:r>
          </w:p>
        </w:tc>
        <w:tc>
          <w:tcPr>
            <w:tcW w:w="36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(186.8)</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center"/>
              <w:rPr/>
            </w:pPr>
            <w:r>
              <w:rPr/>
              <w:t> </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Beginning of the Period</w:t>
            </w:r>
          </w:p>
        </w:tc>
        <w:tc>
          <w:tcPr>
            <w:tcW w:w="34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141.9</w:t>
            </w:r>
          </w:p>
        </w:tc>
        <w:tc>
          <w:tcPr>
            <w:tcW w:w="36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266.8</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End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119.3</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paid, net of capitalized interest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paid, net of income tax refunds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 included in accounts payable, accruals and other liabilities</w:t>
            </w:r>
          </w:p>
        </w:tc>
        <w:tc>
          <w:tcPr>
            <w:tcW w:w="34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36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c>
          <w:tcPr>
            <w:tcW w:w="3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dividends</w:t>
            </w:r>
          </w:p>
        </w:tc>
        <w:tc>
          <w:tcPr>
            <w:tcW w:w="34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w:t>
            </w:r>
          </w:p>
        </w:tc>
        <w:tc>
          <w:tcPr>
            <w:tcW w:w="36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73" w:name="_9cda5f57_71b5_4d34_913e_2057ffda4262"/>
      <w:bookmarkEnd w:id="373"/>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374" w:name="StatementsofShareholdersEquity"/>
      <w:bookmarkEnd w:id="374"/>
      <w:r>
        <w:rPr>
          <w:rFonts w:ascii="Times New Roman;Times;serif" w:hAnsi="Times New Roman;Times;serif"/>
          <w:b/>
          <w:sz w:val="20"/>
        </w:rPr>
        <w:t>Condensed Consolidated Statements of Shareholders’ Equity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75" w:name="Tc_nYTPLkqE30abRCMOU5VcOg_19_16"/>
      <w:bookmarkStart w:id="376" w:name="Tc_94iJBSdbIkemm6Lh-nuBpA_19_13"/>
      <w:bookmarkStart w:id="377" w:name="Tc_CXKwVCj5X0CXK_FcYB7-Pg_19_10"/>
      <w:bookmarkStart w:id="378" w:name="Tc_BCdaRuSLqEOPTz1YcfpQag_19_7"/>
      <w:bookmarkStart w:id="379" w:name="Tc_1UwhS8blDUqvsmTkVkwjHA_19_4"/>
      <w:bookmarkStart w:id="380" w:name="Tc_BzeKoahU1U-1zCH2q7_gMA_19_0"/>
      <w:bookmarkStart w:id="381" w:name="Tc_dJfWK-SAXEa-8Gzbu67wJA_18_11"/>
      <w:bookmarkStart w:id="382" w:name="Tc_BlHjU4y9EU--pHLp0aZSjg_18_8"/>
      <w:bookmarkStart w:id="383" w:name="Tc_dmZfJYHQnEGBx4U0Lwpz3g_18_5"/>
      <w:bookmarkStart w:id="384" w:name="Tc_DGjU1FIbT0q4suyF_u_WpA_18_2"/>
      <w:bookmarkStart w:id="385" w:name="Tc_Q4mQ1msMh02jtsi-a-H0uQ_18_0"/>
      <w:bookmarkStart w:id="386" w:name="Tc_ccKnHh0B1k25TcmFwKQ2hw_17_11"/>
      <w:bookmarkStart w:id="387" w:name="Tc_abuzLUHnnUqdq3hBSE0JDg_17_0"/>
      <w:bookmarkStart w:id="388" w:name="Tc_iErUZcF5SUe7VB_-wrR7-Q_16_17"/>
      <w:bookmarkStart w:id="389" w:name="Tc_jlvgWSlff0SrCf7zizx-ig_16_14"/>
      <w:bookmarkStart w:id="390" w:name="Tc_vwozh0WEt06aJtLPVz3LHQ_16_11"/>
      <w:bookmarkStart w:id="391" w:name="Tc__bBqIKHH7km8Os1l7PFziA_16_8"/>
      <w:bookmarkStart w:id="392" w:name="Tc_wUKwQSeo6U2zCpy90sTEhQ_16_5"/>
      <w:bookmarkStart w:id="393" w:name="Tc_FMu_yQq-DkufiKvAmXIamw_16_0"/>
      <w:bookmarkStart w:id="394" w:name="Tc_KwlxvWktokqGMDJeYSisZA_15_14"/>
      <w:bookmarkStart w:id="395" w:name="Tc_9cVnbvFqE0eVNj_AFpi7xw_15_11"/>
      <w:bookmarkStart w:id="396" w:name="Tc_LAdoYganhUSmunlAYQ9jDQ_15_5"/>
      <w:bookmarkStart w:id="397" w:name="Tc_dtcDAO9Mr0-o_fmnFO8ZDA_15_2"/>
      <w:bookmarkStart w:id="398" w:name="Tc_5jWxRoIps0CRgXRkSYrX4g_15_0"/>
      <w:bookmarkStart w:id="399" w:name="Tc_rAmQvpZw1Uq9AeYxDzg9Qg_14_14"/>
      <w:bookmarkStart w:id="400" w:name="Tc__vCB9vXzpUSc6E3hD9LqLg_14_8"/>
      <w:bookmarkStart w:id="401" w:name="Tc_rXQZ8w7R90SKfnzZcax_8A_14_5"/>
      <w:bookmarkStart w:id="402" w:name="Tc_g-2CRcsKwEGI8QVKPQ8EnA_14_2"/>
      <w:bookmarkStart w:id="403" w:name="Tc_dhkXrG3FnEew4yFm77zKSQ_14_0"/>
      <w:bookmarkStart w:id="404" w:name="Tc_xRQCdP7oaUSPzY1ORuyQZw_13_11"/>
      <w:bookmarkStart w:id="405" w:name="Tc_9g86xvs57ECFPS11LdivZg_13_8"/>
      <w:bookmarkStart w:id="406" w:name="Tc_-fIdflLsPUezzeWci3iyhw_13_5"/>
      <w:bookmarkStart w:id="407" w:name="Tc_vW1Hx23iyE2eRqwRSe0sYg_13_2"/>
      <w:bookmarkStart w:id="408" w:name="Tc_4SiBv093CUCnm7dULb2d0A_13_0"/>
      <w:bookmarkStart w:id="409" w:name="Tc_2Nrc0dEvb065kgW5ZUYK-g_12_0"/>
      <w:bookmarkStart w:id="410" w:name="Tc_nnTaZVGXXE-KDb31xgrKRQ_11_11"/>
      <w:bookmarkStart w:id="411" w:name="Tc_0rWrnBGAeEGs0zuzOdCFAw_11_8"/>
      <w:bookmarkStart w:id="412" w:name="Tc_MuYBjHowBkioW2cv1xbj3g_11_5"/>
      <w:bookmarkStart w:id="413" w:name="Tc_3eLqEmu98UWaMAGdkKBP1A_11_2"/>
      <w:bookmarkStart w:id="414" w:name="Tc_eHucB9uCqE6hBIpVVyVcKQ_11_0"/>
      <w:bookmarkStart w:id="415" w:name="Tc_92W-af7n6EGbqangwoiYzw_10_11"/>
      <w:bookmarkStart w:id="416" w:name="Tc_tlhYa6DVF0u-5LQIbiC2KA_10_0"/>
      <w:bookmarkStart w:id="417" w:name="Tc_t49P-fdc4E2e_9Q2dkkI3w_9_14"/>
      <w:bookmarkStart w:id="418" w:name="Tc_tZ4-5yU8o0WnhS8mbAu4nw_9_11"/>
      <w:bookmarkStart w:id="419" w:name="Tc_sJ77mbZlHUi1yJK2C0M85A_9_0"/>
      <w:bookmarkStart w:id="420" w:name="Tc_U5yyVYTVkEKCN7fzsIIfZg_8_14"/>
      <w:bookmarkStart w:id="421" w:name="Tc_qUsdfFEVikuPJCTiUbytKA_8_11"/>
      <w:bookmarkStart w:id="422" w:name="Tc_j_6fLT-ZJEK0vT-CGgZ_fQ_8_5"/>
      <w:bookmarkStart w:id="423" w:name="Tc_lT8ZxJlcCU6UbA49VwOjQQ_8_2"/>
      <w:bookmarkStart w:id="424" w:name="Tc_SYMhUgw7tkauLsre9e7pBA_8_0"/>
      <w:bookmarkStart w:id="425" w:name="Tc_IyOeQ95pb0y_Nr-3UXRXZw_7_14"/>
      <w:bookmarkStart w:id="426" w:name="Tc_NmBtN-kIjEqwp0f_oL9Ngw_7_8"/>
      <w:bookmarkStart w:id="427" w:name="Tc_3kEAEpmXi0mvLzOPe_kmgQ_7_5"/>
      <w:bookmarkStart w:id="428" w:name="Tc_tyFLa2tDu0K0dJxDxc0PIw_7_2"/>
      <w:bookmarkStart w:id="429" w:name="Tc_oPsMgFEsVkW9nVgjMYnYeg_7_0"/>
      <w:bookmarkStart w:id="430" w:name="Tc_J6f2XLq79kiuyHpZ2rGpvA_6_11"/>
      <w:bookmarkStart w:id="431" w:name="Tc_F2SwVjR9cEeMvL4s-Wk5Ew_6_8"/>
      <w:bookmarkStart w:id="432" w:name="Tc_yHbi2tk0tkG5zmwUQbmJhw_6_5"/>
      <w:bookmarkStart w:id="433" w:name="Tc_nhcgtmYob0qQzQVKx9MhRQ_6_2"/>
      <w:bookmarkStart w:id="434" w:name="Tc_iiNa5wrPIE-r5N2TZcSD_g_6_0"/>
      <w:bookmarkStart w:id="435" w:name="Tc_OB3Ft30jCE2TpRZgECYPiQ_5_16"/>
      <w:bookmarkStart w:id="436" w:name="Tc_zGyAf3NDp0yy3ARdxoWXvA_5_13"/>
      <w:bookmarkStart w:id="437" w:name="Tc_-Il9G5j8iUOAAJevc9Vt2A_5_10"/>
      <w:bookmarkStart w:id="438" w:name="Tc_-yR8nn_e90GgdWskNjiF7w_5_7"/>
      <w:bookmarkStart w:id="439" w:name="Tc_OpJBbKjRH0G4j8xRAj2n9g_5_4"/>
      <w:bookmarkStart w:id="440" w:name="Tc_SEmhWAUBUk61HiTSCw7Nfw_5_0"/>
      <w:bookmarkStart w:id="441" w:name="Tc_m_vb-F7pXEW8SXxvd5peYg_4_16"/>
      <w:bookmarkStart w:id="442" w:name="Tc_RV6n3DPteU-v2LKSgMpTaQ_4_13"/>
      <w:bookmarkStart w:id="443" w:name="Tc_xGVO-P8_ekSaAPg7gDWYEg_4_10"/>
      <w:bookmarkStart w:id="444" w:name="Tc__dysS3E1Q0qoAsGVjtsVPg_4_7"/>
      <w:bookmarkStart w:id="445" w:name="Tc_UBZv9uwfT0a__kwpU3luog_4_4"/>
      <w:bookmarkStart w:id="446" w:name="Tc_6mc1RpnwtE6BJSdkbMYt_w_4_2"/>
      <w:bookmarkStart w:id="447" w:name="Tc_PTuuGuxPZUuW-CYMCqO4Xw_4_0"/>
      <w:bookmarkStart w:id="448" w:name="Tc_VKR6XPMer0eZVBRtPBEehQ_3_13"/>
      <w:bookmarkStart w:id="449" w:name="Tc_35mETtIW-kWdMpqdkTmp0g_3_10"/>
      <w:bookmarkStart w:id="450" w:name="Tc_kzChbYawPkWiPj9VcIKHgg_3_7"/>
      <w:bookmarkStart w:id="451" w:name="Tc_b7XhKX4DhUqFoBBK8JLHyQ_3_4"/>
      <w:bookmarkStart w:id="452" w:name="Tc_NJRfnkjFoEK4B1pm3s6ypA_2_10"/>
      <w:bookmarkStart w:id="453" w:name="Tc_YebCbx4ucki4BILVHCg9rw_2_7"/>
      <w:bookmarkStart w:id="454" w:name="Tc_mDd1BVIUcUyfmw8SuUZdyw_2_2"/>
      <w:bookmarkStart w:id="455" w:name="Tc_aQqiJ5ZSv0W8sCua-4lTTw_1_10"/>
      <w:bookmarkStart w:id="456" w:name="_84d7cc09_d41a_43f0_b3da_141481ad90f8"/>
      <w:bookmarkStart w:id="457" w:name="Tc_nYTPLkqE30abRCMOU5VcOg_19_16"/>
      <w:bookmarkStart w:id="458" w:name="Tc_94iJBSdbIkemm6Lh-nuBpA_19_13"/>
      <w:bookmarkStart w:id="459" w:name="Tc_CXKwVCj5X0CXK_FcYB7-Pg_19_10"/>
      <w:bookmarkStart w:id="460" w:name="Tc_BCdaRuSLqEOPTz1YcfpQag_19_7"/>
      <w:bookmarkStart w:id="461" w:name="Tc_1UwhS8blDUqvsmTkVkwjHA_19_4"/>
      <w:bookmarkStart w:id="462" w:name="Tc_BzeKoahU1U-1zCH2q7_gMA_19_0"/>
      <w:bookmarkStart w:id="463" w:name="Tc_dJfWK-SAXEa-8Gzbu67wJA_18_11"/>
      <w:bookmarkStart w:id="464" w:name="Tc_BlHjU4y9EU--pHLp0aZSjg_18_8"/>
      <w:bookmarkStart w:id="465" w:name="Tc_dmZfJYHQnEGBx4U0Lwpz3g_18_5"/>
      <w:bookmarkStart w:id="466" w:name="Tc_DGjU1FIbT0q4suyF_u_WpA_18_2"/>
      <w:bookmarkStart w:id="467" w:name="Tc_Q4mQ1msMh02jtsi-a-H0uQ_18_0"/>
      <w:bookmarkStart w:id="468" w:name="Tc_ccKnHh0B1k25TcmFwKQ2hw_17_11"/>
      <w:bookmarkStart w:id="469" w:name="Tc_abuzLUHnnUqdq3hBSE0JDg_17_0"/>
      <w:bookmarkStart w:id="470" w:name="Tc_iErUZcF5SUe7VB_-wrR7-Q_16_17"/>
      <w:bookmarkStart w:id="471" w:name="Tc_jlvgWSlff0SrCf7zizx-ig_16_14"/>
      <w:bookmarkStart w:id="472" w:name="Tc_vwozh0WEt06aJtLPVz3LHQ_16_11"/>
      <w:bookmarkStart w:id="473" w:name="Tc__bBqIKHH7km8Os1l7PFziA_16_8"/>
      <w:bookmarkStart w:id="474" w:name="Tc_wUKwQSeo6U2zCpy90sTEhQ_16_5"/>
      <w:bookmarkStart w:id="475" w:name="Tc_FMu_yQq-DkufiKvAmXIamw_16_0"/>
      <w:bookmarkStart w:id="476" w:name="Tc_KwlxvWktokqGMDJeYSisZA_15_14"/>
      <w:bookmarkStart w:id="477" w:name="Tc_9cVnbvFqE0eVNj_AFpi7xw_15_11"/>
      <w:bookmarkStart w:id="478" w:name="Tc_LAdoYganhUSmunlAYQ9jDQ_15_5"/>
      <w:bookmarkStart w:id="479" w:name="Tc_dtcDAO9Mr0-o_fmnFO8ZDA_15_2"/>
      <w:bookmarkStart w:id="480" w:name="Tc_5jWxRoIps0CRgXRkSYrX4g_15_0"/>
      <w:bookmarkStart w:id="481" w:name="Tc_rAmQvpZw1Uq9AeYxDzg9Qg_14_14"/>
      <w:bookmarkStart w:id="482" w:name="Tc__vCB9vXzpUSc6E3hD9LqLg_14_8"/>
      <w:bookmarkStart w:id="483" w:name="Tc_rXQZ8w7R90SKfnzZcax_8A_14_5"/>
      <w:bookmarkStart w:id="484" w:name="Tc_g-2CRcsKwEGI8QVKPQ8EnA_14_2"/>
      <w:bookmarkStart w:id="485" w:name="Tc_dhkXrG3FnEew4yFm77zKSQ_14_0"/>
      <w:bookmarkStart w:id="486" w:name="Tc_xRQCdP7oaUSPzY1ORuyQZw_13_11"/>
      <w:bookmarkStart w:id="487" w:name="Tc_9g86xvs57ECFPS11LdivZg_13_8"/>
      <w:bookmarkStart w:id="488" w:name="Tc_-fIdflLsPUezzeWci3iyhw_13_5"/>
      <w:bookmarkStart w:id="489" w:name="Tc_vW1Hx23iyE2eRqwRSe0sYg_13_2"/>
      <w:bookmarkStart w:id="490" w:name="Tc_4SiBv093CUCnm7dULb2d0A_13_0"/>
      <w:bookmarkStart w:id="491" w:name="Tc_2Nrc0dEvb065kgW5ZUYK-g_12_0"/>
      <w:bookmarkStart w:id="492" w:name="Tc_nnTaZVGXXE-KDb31xgrKRQ_11_11"/>
      <w:bookmarkStart w:id="493" w:name="Tc_0rWrnBGAeEGs0zuzOdCFAw_11_8"/>
      <w:bookmarkStart w:id="494" w:name="Tc_MuYBjHowBkioW2cv1xbj3g_11_5"/>
      <w:bookmarkStart w:id="495" w:name="Tc_3eLqEmu98UWaMAGdkKBP1A_11_2"/>
      <w:bookmarkStart w:id="496" w:name="Tc_eHucB9uCqE6hBIpVVyVcKQ_11_0"/>
      <w:bookmarkStart w:id="497" w:name="Tc_92W-af7n6EGbqangwoiYzw_10_11"/>
      <w:bookmarkStart w:id="498" w:name="Tc_tlhYa6DVF0u-5LQIbiC2KA_10_0"/>
      <w:bookmarkStart w:id="499" w:name="Tc_t49P-fdc4E2e_9Q2dkkI3w_9_14"/>
      <w:bookmarkStart w:id="500" w:name="Tc_tZ4-5yU8o0WnhS8mbAu4nw_9_11"/>
      <w:bookmarkStart w:id="501" w:name="Tc_sJ77mbZlHUi1yJK2C0M85A_9_0"/>
      <w:bookmarkStart w:id="502" w:name="Tc_U5yyVYTVkEKCN7fzsIIfZg_8_14"/>
      <w:bookmarkStart w:id="503" w:name="Tc_qUsdfFEVikuPJCTiUbytKA_8_11"/>
      <w:bookmarkStart w:id="504" w:name="Tc_j_6fLT-ZJEK0vT-CGgZ_fQ_8_5"/>
      <w:bookmarkStart w:id="505" w:name="Tc_lT8ZxJlcCU6UbA49VwOjQQ_8_2"/>
      <w:bookmarkStart w:id="506" w:name="Tc_SYMhUgw7tkauLsre9e7pBA_8_0"/>
      <w:bookmarkStart w:id="507" w:name="Tc_IyOeQ95pb0y_Nr-3UXRXZw_7_14"/>
      <w:bookmarkStart w:id="508" w:name="Tc_NmBtN-kIjEqwp0f_oL9Ngw_7_8"/>
      <w:bookmarkStart w:id="509" w:name="Tc_3kEAEpmXi0mvLzOPe_kmgQ_7_5"/>
      <w:bookmarkStart w:id="510" w:name="Tc_tyFLa2tDu0K0dJxDxc0PIw_7_2"/>
      <w:bookmarkStart w:id="511" w:name="Tc_oPsMgFEsVkW9nVgjMYnYeg_7_0"/>
      <w:bookmarkStart w:id="512" w:name="Tc_J6f2XLq79kiuyHpZ2rGpvA_6_11"/>
      <w:bookmarkStart w:id="513" w:name="Tc_F2SwVjR9cEeMvL4s-Wk5Ew_6_8"/>
      <w:bookmarkStart w:id="514" w:name="Tc_yHbi2tk0tkG5zmwUQbmJhw_6_5"/>
      <w:bookmarkStart w:id="515" w:name="Tc_nhcgtmYob0qQzQVKx9MhRQ_6_2"/>
      <w:bookmarkStart w:id="516" w:name="Tc_iiNa5wrPIE-r5N2TZcSD_g_6_0"/>
      <w:bookmarkStart w:id="517" w:name="Tc_OB3Ft30jCE2TpRZgECYPiQ_5_16"/>
      <w:bookmarkStart w:id="518" w:name="Tc_zGyAf3NDp0yy3ARdxoWXvA_5_13"/>
      <w:bookmarkStart w:id="519" w:name="Tc_-Il9G5j8iUOAAJevc9Vt2A_5_10"/>
      <w:bookmarkStart w:id="520" w:name="Tc_-yR8nn_e90GgdWskNjiF7w_5_7"/>
      <w:bookmarkStart w:id="521" w:name="Tc_OpJBbKjRH0G4j8xRAj2n9g_5_4"/>
      <w:bookmarkStart w:id="522" w:name="Tc_SEmhWAUBUk61HiTSCw7Nfw_5_0"/>
      <w:bookmarkStart w:id="523" w:name="Tc_m_vb-F7pXEW8SXxvd5peYg_4_16"/>
      <w:bookmarkStart w:id="524" w:name="Tc_RV6n3DPteU-v2LKSgMpTaQ_4_13"/>
      <w:bookmarkStart w:id="525" w:name="Tc_xGVO-P8_ekSaAPg7gDWYEg_4_10"/>
      <w:bookmarkStart w:id="526" w:name="Tc__dysS3E1Q0qoAsGVjtsVPg_4_7"/>
      <w:bookmarkStart w:id="527" w:name="Tc_UBZv9uwfT0a__kwpU3luog_4_4"/>
      <w:bookmarkStart w:id="528" w:name="Tc_6mc1RpnwtE6BJSdkbMYt_w_4_2"/>
      <w:bookmarkStart w:id="529" w:name="Tc_PTuuGuxPZUuW-CYMCqO4Xw_4_0"/>
      <w:bookmarkStart w:id="530" w:name="Tc_VKR6XPMer0eZVBRtPBEehQ_3_13"/>
      <w:bookmarkStart w:id="531" w:name="Tc_35mETtIW-kWdMpqdkTmp0g_3_10"/>
      <w:bookmarkStart w:id="532" w:name="Tc_kzChbYawPkWiPj9VcIKHgg_3_7"/>
      <w:bookmarkStart w:id="533" w:name="Tc_b7XhKX4DhUqFoBBK8JLHyQ_3_4"/>
      <w:bookmarkStart w:id="534" w:name="Tc_NJRfnkjFoEK4B1pm3s6ypA_2_10"/>
      <w:bookmarkStart w:id="535" w:name="Tc_YebCbx4ucki4BILVHCg9rw_2_7"/>
      <w:bookmarkStart w:id="536" w:name="Tc_mDd1BVIUcUyfmw8SuUZdyw_2_2"/>
      <w:bookmarkStart w:id="537" w:name="Tc_aQqiJ5ZSv0W8sCua-4lTTw_1_10"/>
      <w:bookmarkStart w:id="538" w:name="_84d7cc09_d41a_43f0_b3da_141481ad90f8"/>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tbl>
      <w:tblPr>
        <w:tblW w:w="10205" w:type="dxa"/>
        <w:jc w:val="left"/>
        <w:tblInd w:w="0" w:type="dxa"/>
        <w:tblLayout w:type="fixed"/>
        <w:tblCellMar>
          <w:top w:w="0" w:type="dxa"/>
          <w:left w:w="0" w:type="dxa"/>
          <w:bottom w:w="0" w:type="dxa"/>
          <w:right w:w="0" w:type="dxa"/>
        </w:tblCellMar>
      </w:tblPr>
      <w:tblGrid>
        <w:gridCol w:w="3154"/>
        <w:gridCol w:w="346"/>
        <w:gridCol w:w="511"/>
        <w:gridCol w:w="346"/>
        <w:gridCol w:w="211"/>
        <w:gridCol w:w="473"/>
        <w:gridCol w:w="346"/>
        <w:gridCol w:w="211"/>
        <w:gridCol w:w="578"/>
        <w:gridCol w:w="346"/>
        <w:gridCol w:w="339"/>
        <w:gridCol w:w="682"/>
        <w:gridCol w:w="346"/>
        <w:gridCol w:w="211"/>
        <w:gridCol w:w="721"/>
        <w:gridCol w:w="346"/>
        <w:gridCol w:w="211"/>
        <w:gridCol w:w="827"/>
      </w:tblGrid>
      <w:tr>
        <w:trPr/>
        <w:tc>
          <w:tcPr>
            <w:tcW w:w="3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02790" cy="175260"/>
                      <wp:effectExtent l="0" t="0" r="0" b="0"/>
                      <wp:wrapNone/>
                      <wp:docPr id="29" name="Frame29"/>
                      <a:graphic xmlns:a="http://schemas.openxmlformats.org/drawingml/2006/main">
                        <a:graphicData uri="http://schemas.microsoft.com/office/word/2010/wordprocessingShape">
                          <wps:wsp>
                            <wps:cNvSpPr txBox="1"/>
                            <wps:spPr>
                              <a:xfrm>
                                <a:off x="0" y="0"/>
                                <a:ext cx="2002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24485" cy="175260"/>
                      <wp:effectExtent l="0" t="0" r="0" b="0"/>
                      <wp:wrapNone/>
                      <wp:docPr id="31" name="Frame3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00355" cy="175260"/>
                      <wp:effectExtent l="0" t="0" r="0" b="0"/>
                      <wp:wrapNone/>
                      <wp:docPr id="34" name="Frame34"/>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67030" cy="175260"/>
                      <wp:effectExtent l="0" t="0" r="0" b="0"/>
                      <wp:wrapNone/>
                      <wp:docPr id="37" name="Frame37"/>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5265" cy="175260"/>
                      <wp:effectExtent l="0" t="0" r="0" b="0"/>
                      <wp:wrapNone/>
                      <wp:docPr id="39" name="Frame39"/>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33070" cy="175260"/>
                      <wp:effectExtent l="0" t="0" r="0" b="0"/>
                      <wp:wrapNone/>
                      <wp:docPr id="40" name="Frame40"/>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57835" cy="175260"/>
                      <wp:effectExtent l="0" t="0" r="0" b="0"/>
                      <wp:wrapNone/>
                      <wp:docPr id="43" name="Frame4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25145" cy="175260"/>
                      <wp:effectExtent l="0" t="0" r="0" b="0"/>
                      <wp:wrapNone/>
                      <wp:docPr id="46" name="Frame46"/>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4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center"/>
              <w:rPr/>
            </w:pPr>
            <w:r>
              <w:rPr/>
              <w:t>​</w:t>
            </w:r>
          </w:p>
        </w:tc>
        <w:tc>
          <w:tcPr>
            <w:tcW w:w="78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8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Stated</w:t>
            </w:r>
          </w:p>
        </w:tc>
        <w:tc>
          <w:tcPr>
            <w:tcW w:w="346" w:type="dxa"/>
            <w:tcBorders/>
            <w:vAlign w:val="center"/>
          </w:tcPr>
          <w:p>
            <w:pPr>
              <w:pStyle w:val="TableContents"/>
              <w:bidi w:val="0"/>
              <w:spacing w:before="0" w:after="0"/>
              <w:ind w:left="0" w:right="0" w:hanging="0"/>
              <w:jc w:val="center"/>
              <w:rPr/>
            </w:pPr>
            <w:r>
              <w:rPr/>
              <w:t>​</w:t>
            </w:r>
          </w:p>
        </w:tc>
        <w:tc>
          <w:tcPr>
            <w:tcW w:w="78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pPr>
            <w:r>
              <w:rPr/>
              <w:t>  ​ ​</w:t>
            </w:r>
            <w:r>
              <w:rPr>
                <w:rFonts w:ascii="Times New Roman;Times;serif" w:hAnsi="Times New Roman;Times;serif"/>
                <w:b/>
                <w:sz w:val="14"/>
              </w:rPr>
              <w:t>Retained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15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 millions, except per share amounts)</w:t>
            </w:r>
          </w:p>
        </w:tc>
        <w:tc>
          <w:tcPr>
            <w:tcW w:w="346" w:type="dxa"/>
            <w:tcBorders/>
            <w:vAlign w:val="center"/>
          </w:tcPr>
          <w:p>
            <w:pPr>
              <w:pStyle w:val="TableContents"/>
              <w:bidi w:val="0"/>
              <w:spacing w:before="0" w:after="0"/>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center"/>
              <w:rPr/>
            </w:pPr>
            <w:r>
              <w:rPr/>
              <w:t>  ​ ​ ​</w:t>
            </w:r>
          </w:p>
        </w:tc>
        <w:tc>
          <w:tcPr>
            <w:tcW w:w="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46" w:type="dxa"/>
            <w:tcBorders/>
            <w:vAlign w:val="center"/>
          </w:tcPr>
          <w:p>
            <w:pPr>
              <w:pStyle w:val="TableContents"/>
              <w:bidi w:val="0"/>
              <w:spacing w:before="0" w:after="0"/>
              <w:ind w:left="0" w:right="0" w:hanging="0"/>
              <w:jc w:val="center"/>
              <w:rPr/>
            </w:pPr>
            <w:r>
              <w:rPr/>
              <w:t>  ​ ​ ​</w:t>
            </w:r>
          </w:p>
        </w:tc>
        <w:tc>
          <w:tcPr>
            <w:tcW w:w="7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46" w:type="dxa"/>
            <w:tcBorders/>
            <w:vAlign w:val="center"/>
          </w:tcPr>
          <w:p>
            <w:pPr>
              <w:pStyle w:val="TableContents"/>
              <w:bidi w:val="0"/>
              <w:spacing w:before="0" w:after="0"/>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center"/>
              <w:rPr/>
            </w:pPr>
            <w:r>
              <w:rPr/>
              <w:t>  ​ ​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 ​ ​ ​ ​</w:t>
            </w:r>
            <w:r>
              <w:rPr>
                <w:rFonts w:ascii="Times New Roman;Times;serif" w:hAnsi="Times New Roman;Times;serif"/>
                <w:b/>
                <w:sz w:val="14"/>
              </w:rPr>
              <w:t>Total      </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295.2</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2,439.4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2,759.0</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56.6</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(0.5)</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(25.3)</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(25.1)</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(0.8)</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(54.4)</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($0.36</w:t>
            </w:r>
            <w:r>
              <w:rPr>
                <w:rFonts w:ascii="Times New Roman;Times;serif" w:hAnsi="Times New Roman;Times;serif"/>
                <w:sz w:val="18"/>
              </w:rPr>
              <w:t xml:space="preserve"> </w:t>
            </w:r>
            <w:r>
              <w:rPr>
                <w:rFonts w:ascii="Times New Roman;Times;serif" w:hAnsi="Times New Roman;Times;serif"/>
                <w:sz w:val="19"/>
              </w:rPr>
              <w:t>per share)</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March 31, 2026</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274.6</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2,431.7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2,730.1</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129.4</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pPr>
            <w:r>
              <w:rPr/>
              <w:t>—</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(0.8)</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(67.8)</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($0.36</w:t>
            </w:r>
            <w:r>
              <w:rPr>
                <w:rFonts w:ascii="Times New Roman;Times;serif" w:hAnsi="Times New Roman;Times;serif"/>
                <w:sz w:val="18"/>
              </w:rPr>
              <w:t xml:space="preserve"> </w:t>
            </w:r>
            <w:r>
              <w:rPr>
                <w:rFonts w:ascii="Times New Roman;Times;serif" w:hAnsi="Times New Roman;Times;serif"/>
                <w:sz w:val="19"/>
              </w:rPr>
              <w:t>per share and $0.38</w:t>
            </w:r>
            <w:r>
              <w:rPr>
                <w:rFonts w:ascii="Times New Roman;Times;serif" w:hAnsi="Times New Roman;Times;serif"/>
                <w:sz w:val="18"/>
              </w:rPr>
              <w:t xml:space="preserve"> </w:t>
            </w:r>
            <w:r>
              <w:rPr>
                <w:rFonts w:ascii="Times New Roman;Times;serif" w:hAnsi="Times New Roman;Times;serif"/>
                <w:sz w:val="19"/>
              </w:rPr>
              <w:t>per share)</w:t>
            </w:r>
          </w:p>
        </w:tc>
        <w:tc>
          <w:tcPr>
            <w:tcW w:w="34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280.0</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2,472.0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2,773.1</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39" w:name="Tc_MgXIUa64VUGwC8gL5AJXMg_19_16"/>
      <w:bookmarkStart w:id="540" w:name="Tc_SyC06s8UbEqoUFhRynxjOw_19_13"/>
      <w:bookmarkStart w:id="541" w:name="Tc_MHZs1IkMv0mGlU6sqOCzTg_19_10"/>
      <w:bookmarkStart w:id="542" w:name="Tc_f635R1A0mEaISukO9npCDw_19_7"/>
      <w:bookmarkStart w:id="543" w:name="Tc_GeDvz5YZz0i_VpErm5QFXg_19_4"/>
      <w:bookmarkStart w:id="544" w:name="Tc_ZTNdF7qgMUq5sXpJaO1Q2g_19_0"/>
      <w:bookmarkStart w:id="545" w:name="Tc_cGu4XUhUsE2d7WxhXIjkfg_18_11"/>
      <w:bookmarkStart w:id="546" w:name="Tc_6QoZhofdE0eUzyMh_lG63g_18_8"/>
      <w:bookmarkStart w:id="547" w:name="Tc_izNDdNJNI0mPwaoicY7D1A_18_5"/>
      <w:bookmarkStart w:id="548" w:name="Tc_VW832W9pq0m0g3-Stulosg_18_2"/>
      <w:bookmarkStart w:id="549" w:name="Tc_Ea4_itJm60igSoX7Sr8jvw_18_0"/>
      <w:bookmarkStart w:id="550" w:name="Tc_aKYu-nKHJUGYI09Uc9rzFg_17_11"/>
      <w:bookmarkStart w:id="551" w:name="Tc_mI2hi7ypr0at63BDJ4QK-g_17_0"/>
      <w:bookmarkStart w:id="552" w:name="Tc_IqvHNwT_JUqY9ZB3lxdgEA_16_14"/>
      <w:bookmarkStart w:id="553" w:name="Tc_iYE9BA2Gn02TR_-4SDGXmw_16_11"/>
      <w:bookmarkStart w:id="554" w:name="Tc_wp40Ev8J7EW2IMqy7epwAg_16_5"/>
      <w:bookmarkStart w:id="555" w:name="Tc_o90RXF4X5kq8h0lCcxAjfQ_16_0"/>
      <w:bookmarkStart w:id="556" w:name="Tc_934CdP8efkCcizFOV6H6nQ_15_14"/>
      <w:bookmarkStart w:id="557" w:name="Tc_5h2vmSje60GuffC1J3OUPw_15_11"/>
      <w:bookmarkStart w:id="558" w:name="Tc_8eXsO2JEeUOdjenvRLmQYw_15_5"/>
      <w:bookmarkStart w:id="559" w:name="Tc_l8l0Ly9hDkKkZXpYU66H0Q_15_2"/>
      <w:bookmarkStart w:id="560" w:name="Tc_NN4jlAt_eU-F4Ffzh3LGdg_15_0"/>
      <w:bookmarkStart w:id="561" w:name="Tc_YuR6egQWjkes3KBRhXACSA_14_14"/>
      <w:bookmarkStart w:id="562" w:name="Tc_S_gmXa4NaE2hbvcS29HOkA_14_8"/>
      <w:bookmarkStart w:id="563" w:name="Tc_YlRMJRvE_U2hunaa9uVZdg_14_5"/>
      <w:bookmarkStart w:id="564" w:name="Tc_Wx9p7VwGyEuvcIZHc64XDg_14_2"/>
      <w:bookmarkStart w:id="565" w:name="Tc_VjaopbRwtkyIyUbWCEXZrw_14_0"/>
      <w:bookmarkStart w:id="566" w:name="Tc_ff5BGjLVqE2lnUmbXYj-7w_13_11"/>
      <w:bookmarkStart w:id="567" w:name="Tc_B-77BNOKqEWRVxcL484y4A_13_8"/>
      <w:bookmarkStart w:id="568" w:name="Tc_CJoxSs_QyUCLp_p_eP0mkg_13_5"/>
      <w:bookmarkStart w:id="569" w:name="Tc_s1GCJhWM6EOnoykl0zhQkg_13_2"/>
      <w:bookmarkStart w:id="570" w:name="Tc_JCtsAggcwUONWS4KedBb6Q_13_0"/>
      <w:bookmarkStart w:id="571" w:name="Tc_NwZ2HIklrESgVSr0XLEd7A_12_0"/>
      <w:bookmarkStart w:id="572" w:name="Tc_8KmDHWoVlEC4IZi6RqyzPA_11_11"/>
      <w:bookmarkStart w:id="573" w:name="Tc_Oprrxk82Jke415WrwDpdOA_11_8"/>
      <w:bookmarkStart w:id="574" w:name="Tc_LV_6MIZHbEqcT5L2y01ybw_11_5"/>
      <w:bookmarkStart w:id="575" w:name="Tc_OZT32Ej8yUmWrgyqKyqH6g_11_2"/>
      <w:bookmarkStart w:id="576" w:name="Tc_j8QAxIFNO0a77_XK3LNKiQ_11_0"/>
      <w:bookmarkStart w:id="577" w:name="Tc_hhayqEzf5UipvdcnMZIy5w_10_11"/>
      <w:bookmarkStart w:id="578" w:name="Tc_wWU0oOk7W0GGcPxhYO1gOg_10_0"/>
      <w:bookmarkStart w:id="579" w:name="Tc_W8jEroQA6UuL41Xu71RSEg_9_14"/>
      <w:bookmarkStart w:id="580" w:name="Tc_UWYbWoPy5UKOsHqlLlHCGg_9_11"/>
      <w:bookmarkStart w:id="581" w:name="Tc_XsnYWVr8ck6NJhwnrlSO-Q_9_0"/>
      <w:bookmarkStart w:id="582" w:name="Tc_oE_3wZvSNUGFLGMaOFSOAQ_8_14"/>
      <w:bookmarkStart w:id="583" w:name="Tc_LfIFkIlxMkaaBHjuWmPj3Q_8_11"/>
      <w:bookmarkStart w:id="584" w:name="Tc_jEjVpwIg-0ODqcgwY14y1Q_8_5"/>
      <w:bookmarkStart w:id="585" w:name="Tc_67AaMtoqZ0ehOTsch0UOnA_8_2"/>
      <w:bookmarkStart w:id="586" w:name="Tc_fInJVIbKUUeXFrxsP98V9Q_8_0"/>
      <w:bookmarkStart w:id="587" w:name="Tc_VEkQ8sWJ5Uig0kQyJ09Pxw_7_14"/>
      <w:bookmarkStart w:id="588" w:name="Tc_WCNl8vxki0qmBpzX6heavA_7_8"/>
      <w:bookmarkStart w:id="589" w:name="Tc_iECw4zqdWECwUlE8EvEpUg_7_5"/>
      <w:bookmarkStart w:id="590" w:name="Tc_g2zypRHjWE2rftsyTg9UUg_7_2"/>
      <w:bookmarkStart w:id="591" w:name="Tc_gqSlrGD2V0SZ9yDOA0CnWg_7_0"/>
      <w:bookmarkStart w:id="592" w:name="Tc_5MRKsySeAEyNq6tytiRAow_6_11"/>
      <w:bookmarkStart w:id="593" w:name="Tc_gqdw98ClF06rXX0nyPZRTw_6_8"/>
      <w:bookmarkStart w:id="594" w:name="Tc_wvpSzq2uckOm9EW6ew-gTw_6_5"/>
      <w:bookmarkStart w:id="595" w:name="Tc_x3vm2g3makSke4LBJlL1VA_6_2"/>
      <w:bookmarkStart w:id="596" w:name="Tc_Hvk1GJmwCUuBzXmPLJQXbQ_6_0"/>
      <w:bookmarkStart w:id="597" w:name="Tc_ouoOPDonlkWbXX4g1UyP5Q_5_16"/>
      <w:bookmarkStart w:id="598" w:name="Tc_HrSQ8LFWz0GjNKyXKn19Ig_5_13"/>
      <w:bookmarkStart w:id="599" w:name="Tc_qMJZhQUzGUafv0ST6JiC5w_5_10"/>
      <w:bookmarkStart w:id="600" w:name="Tc_351R_PIiRESqpITvDf1iJA_5_7"/>
      <w:bookmarkStart w:id="601" w:name="Tc_JCVff65rh0m8MuOitmTxDw_5_4"/>
      <w:bookmarkStart w:id="602" w:name="Tc_sKRPA5ae0kG9-6l__xReFQ_5_0"/>
      <w:bookmarkStart w:id="603" w:name="Tc_pO-TDjsWrE-s2BRXWohPyA_4_16"/>
      <w:bookmarkStart w:id="604" w:name="Tc_I4Y7IuZqa02ov7y8nTs1bw_4_13"/>
      <w:bookmarkStart w:id="605" w:name="Tc_iaYflHat8kmhM0TfG3Maug_4_10"/>
      <w:bookmarkStart w:id="606" w:name="Tc_ESFJQ0wsDEKxKPtDbeulQA_4_7"/>
      <w:bookmarkStart w:id="607" w:name="Tc_Z1dw5VroF06RU56m8q0-KA_4_4"/>
      <w:bookmarkStart w:id="608" w:name="Tc_wgun7nTdyEGn0yR_aBZbnQ_4_2"/>
      <w:bookmarkStart w:id="609" w:name="Tc_sXIZDDvidkqH5EEEvgQyVA_4_0"/>
      <w:bookmarkStart w:id="610" w:name="Tc_w3lY9IJqf0msmPx8d54O-g_3_13"/>
      <w:bookmarkStart w:id="611" w:name="Tc_-XZ_bBFHFkqpf7XR1awf-w_3_10"/>
      <w:bookmarkStart w:id="612" w:name="Tc_1feIHyXn5U-FMBfrL28Glw_3_7"/>
      <w:bookmarkStart w:id="613" w:name="Tc_5ebPVShmYUaYMkGrpxszcw_3_4"/>
      <w:bookmarkStart w:id="614" w:name="Tc_-v5y8sOLgEmtVgkL_SIJEw_2_10"/>
      <w:bookmarkStart w:id="615" w:name="Tc_AsSHY3yUik2BzeWRtISqSA_2_7"/>
      <w:bookmarkStart w:id="616" w:name="Tc_2Er5_pxPbkGkW92t-g2spw_2_2"/>
      <w:bookmarkStart w:id="617" w:name="Tc_e_uXX9DvBE-RgFx6zJ3LOw_1_10"/>
      <w:bookmarkStart w:id="618" w:name="_b37e51c8_13fe_428b_9ad1_1dea474ee262"/>
      <w:bookmarkStart w:id="619" w:name="Tc_MgXIUa64VUGwC8gL5AJXMg_19_16"/>
      <w:bookmarkStart w:id="620" w:name="Tc_SyC06s8UbEqoUFhRynxjOw_19_13"/>
      <w:bookmarkStart w:id="621" w:name="Tc_MHZs1IkMv0mGlU6sqOCzTg_19_10"/>
      <w:bookmarkStart w:id="622" w:name="Tc_f635R1A0mEaISukO9npCDw_19_7"/>
      <w:bookmarkStart w:id="623" w:name="Tc_GeDvz5YZz0i_VpErm5QFXg_19_4"/>
      <w:bookmarkStart w:id="624" w:name="Tc_ZTNdF7qgMUq5sXpJaO1Q2g_19_0"/>
      <w:bookmarkStart w:id="625" w:name="Tc_cGu4XUhUsE2d7WxhXIjkfg_18_11"/>
      <w:bookmarkStart w:id="626" w:name="Tc_6QoZhofdE0eUzyMh_lG63g_18_8"/>
      <w:bookmarkStart w:id="627" w:name="Tc_izNDdNJNI0mPwaoicY7D1A_18_5"/>
      <w:bookmarkStart w:id="628" w:name="Tc_VW832W9pq0m0g3-Stulosg_18_2"/>
      <w:bookmarkStart w:id="629" w:name="Tc_Ea4_itJm60igSoX7Sr8jvw_18_0"/>
      <w:bookmarkStart w:id="630" w:name="Tc_aKYu-nKHJUGYI09Uc9rzFg_17_11"/>
      <w:bookmarkStart w:id="631" w:name="Tc_mI2hi7ypr0at63BDJ4QK-g_17_0"/>
      <w:bookmarkStart w:id="632" w:name="Tc_IqvHNwT_JUqY9ZB3lxdgEA_16_14"/>
      <w:bookmarkStart w:id="633" w:name="Tc_iYE9BA2Gn02TR_-4SDGXmw_16_11"/>
      <w:bookmarkStart w:id="634" w:name="Tc_wp40Ev8J7EW2IMqy7epwAg_16_5"/>
      <w:bookmarkStart w:id="635" w:name="Tc_o90RXF4X5kq8h0lCcxAjfQ_16_0"/>
      <w:bookmarkStart w:id="636" w:name="Tc_934CdP8efkCcizFOV6H6nQ_15_14"/>
      <w:bookmarkStart w:id="637" w:name="Tc_5h2vmSje60GuffC1J3OUPw_15_11"/>
      <w:bookmarkStart w:id="638" w:name="Tc_8eXsO2JEeUOdjenvRLmQYw_15_5"/>
      <w:bookmarkStart w:id="639" w:name="Tc_l8l0Ly9hDkKkZXpYU66H0Q_15_2"/>
      <w:bookmarkStart w:id="640" w:name="Tc_NN4jlAt_eU-F4Ffzh3LGdg_15_0"/>
      <w:bookmarkStart w:id="641" w:name="Tc_YuR6egQWjkes3KBRhXACSA_14_14"/>
      <w:bookmarkStart w:id="642" w:name="Tc_S_gmXa4NaE2hbvcS29HOkA_14_8"/>
      <w:bookmarkStart w:id="643" w:name="Tc_YlRMJRvE_U2hunaa9uVZdg_14_5"/>
      <w:bookmarkStart w:id="644" w:name="Tc_Wx9p7VwGyEuvcIZHc64XDg_14_2"/>
      <w:bookmarkStart w:id="645" w:name="Tc_VjaopbRwtkyIyUbWCEXZrw_14_0"/>
      <w:bookmarkStart w:id="646" w:name="Tc_ff5BGjLVqE2lnUmbXYj-7w_13_11"/>
      <w:bookmarkStart w:id="647" w:name="Tc_B-77BNOKqEWRVxcL484y4A_13_8"/>
      <w:bookmarkStart w:id="648" w:name="Tc_CJoxSs_QyUCLp_p_eP0mkg_13_5"/>
      <w:bookmarkStart w:id="649" w:name="Tc_s1GCJhWM6EOnoykl0zhQkg_13_2"/>
      <w:bookmarkStart w:id="650" w:name="Tc_JCtsAggcwUONWS4KedBb6Q_13_0"/>
      <w:bookmarkStart w:id="651" w:name="Tc_NwZ2HIklrESgVSr0XLEd7A_12_0"/>
      <w:bookmarkStart w:id="652" w:name="Tc_8KmDHWoVlEC4IZi6RqyzPA_11_11"/>
      <w:bookmarkStart w:id="653" w:name="Tc_Oprrxk82Jke415WrwDpdOA_11_8"/>
      <w:bookmarkStart w:id="654" w:name="Tc_LV_6MIZHbEqcT5L2y01ybw_11_5"/>
      <w:bookmarkStart w:id="655" w:name="Tc_OZT32Ej8yUmWrgyqKyqH6g_11_2"/>
      <w:bookmarkStart w:id="656" w:name="Tc_j8QAxIFNO0a77_XK3LNKiQ_11_0"/>
      <w:bookmarkStart w:id="657" w:name="Tc_hhayqEzf5UipvdcnMZIy5w_10_11"/>
      <w:bookmarkStart w:id="658" w:name="Tc_wWU0oOk7W0GGcPxhYO1gOg_10_0"/>
      <w:bookmarkStart w:id="659" w:name="Tc_W8jEroQA6UuL41Xu71RSEg_9_14"/>
      <w:bookmarkStart w:id="660" w:name="Tc_UWYbWoPy5UKOsHqlLlHCGg_9_11"/>
      <w:bookmarkStart w:id="661" w:name="Tc_XsnYWVr8ck6NJhwnrlSO-Q_9_0"/>
      <w:bookmarkStart w:id="662" w:name="Tc_oE_3wZvSNUGFLGMaOFSOAQ_8_14"/>
      <w:bookmarkStart w:id="663" w:name="Tc_LfIFkIlxMkaaBHjuWmPj3Q_8_11"/>
      <w:bookmarkStart w:id="664" w:name="Tc_jEjVpwIg-0ODqcgwY14y1Q_8_5"/>
      <w:bookmarkStart w:id="665" w:name="Tc_67AaMtoqZ0ehOTsch0UOnA_8_2"/>
      <w:bookmarkStart w:id="666" w:name="Tc_fInJVIbKUUeXFrxsP98V9Q_8_0"/>
      <w:bookmarkStart w:id="667" w:name="Tc_VEkQ8sWJ5Uig0kQyJ09Pxw_7_14"/>
      <w:bookmarkStart w:id="668" w:name="Tc_WCNl8vxki0qmBpzX6heavA_7_8"/>
      <w:bookmarkStart w:id="669" w:name="Tc_iECw4zqdWECwUlE8EvEpUg_7_5"/>
      <w:bookmarkStart w:id="670" w:name="Tc_g2zypRHjWE2rftsyTg9UUg_7_2"/>
      <w:bookmarkStart w:id="671" w:name="Tc_gqSlrGD2V0SZ9yDOA0CnWg_7_0"/>
      <w:bookmarkStart w:id="672" w:name="Tc_5MRKsySeAEyNq6tytiRAow_6_11"/>
      <w:bookmarkStart w:id="673" w:name="Tc_gqdw98ClF06rXX0nyPZRTw_6_8"/>
      <w:bookmarkStart w:id="674" w:name="Tc_wvpSzq2uckOm9EW6ew-gTw_6_5"/>
      <w:bookmarkStart w:id="675" w:name="Tc_x3vm2g3makSke4LBJlL1VA_6_2"/>
      <w:bookmarkStart w:id="676" w:name="Tc_Hvk1GJmwCUuBzXmPLJQXbQ_6_0"/>
      <w:bookmarkStart w:id="677" w:name="Tc_ouoOPDonlkWbXX4g1UyP5Q_5_16"/>
      <w:bookmarkStart w:id="678" w:name="Tc_HrSQ8LFWz0GjNKyXKn19Ig_5_13"/>
      <w:bookmarkStart w:id="679" w:name="Tc_qMJZhQUzGUafv0ST6JiC5w_5_10"/>
      <w:bookmarkStart w:id="680" w:name="Tc_351R_PIiRESqpITvDf1iJA_5_7"/>
      <w:bookmarkStart w:id="681" w:name="Tc_JCVff65rh0m8MuOitmTxDw_5_4"/>
      <w:bookmarkStart w:id="682" w:name="Tc_sKRPA5ae0kG9-6l__xReFQ_5_0"/>
      <w:bookmarkStart w:id="683" w:name="Tc_pO-TDjsWrE-s2BRXWohPyA_4_16"/>
      <w:bookmarkStart w:id="684" w:name="Tc_I4Y7IuZqa02ov7y8nTs1bw_4_13"/>
      <w:bookmarkStart w:id="685" w:name="Tc_iaYflHat8kmhM0TfG3Maug_4_10"/>
      <w:bookmarkStart w:id="686" w:name="Tc_ESFJQ0wsDEKxKPtDbeulQA_4_7"/>
      <w:bookmarkStart w:id="687" w:name="Tc_Z1dw5VroF06RU56m8q0-KA_4_4"/>
      <w:bookmarkStart w:id="688" w:name="Tc_wgun7nTdyEGn0yR_aBZbnQ_4_2"/>
      <w:bookmarkStart w:id="689" w:name="Tc_sXIZDDvidkqH5EEEvgQyVA_4_0"/>
      <w:bookmarkStart w:id="690" w:name="Tc_w3lY9IJqf0msmPx8d54O-g_3_13"/>
      <w:bookmarkStart w:id="691" w:name="Tc_-XZ_bBFHFkqpf7XR1awf-w_3_10"/>
      <w:bookmarkStart w:id="692" w:name="Tc_1feIHyXn5U-FMBfrL28Glw_3_7"/>
      <w:bookmarkStart w:id="693" w:name="Tc_5ebPVShmYUaYMkGrpxszcw_3_4"/>
      <w:bookmarkStart w:id="694" w:name="Tc_-v5y8sOLgEmtVgkL_SIJEw_2_10"/>
      <w:bookmarkStart w:id="695" w:name="Tc_AsSHY3yUik2BzeWRtISqSA_2_7"/>
      <w:bookmarkStart w:id="696" w:name="Tc_2Er5_pxPbkGkW92t-g2spw_2_2"/>
      <w:bookmarkStart w:id="697" w:name="Tc_e_uXX9DvBE-RgFx6zJ3LOw_1_10"/>
      <w:bookmarkStart w:id="698" w:name="_b37e51c8_13fe_428b_9ad1_1dea474ee262"/>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p>
    <w:tbl>
      <w:tblPr>
        <w:tblW w:w="10205" w:type="dxa"/>
        <w:jc w:val="left"/>
        <w:tblInd w:w="0" w:type="dxa"/>
        <w:tblLayout w:type="fixed"/>
        <w:tblCellMar>
          <w:top w:w="0" w:type="dxa"/>
          <w:left w:w="0" w:type="dxa"/>
          <w:bottom w:w="0" w:type="dxa"/>
          <w:right w:w="0" w:type="dxa"/>
        </w:tblCellMar>
      </w:tblPr>
      <w:tblGrid>
        <w:gridCol w:w="3154"/>
        <w:gridCol w:w="346"/>
        <w:gridCol w:w="511"/>
        <w:gridCol w:w="346"/>
        <w:gridCol w:w="211"/>
        <w:gridCol w:w="473"/>
        <w:gridCol w:w="346"/>
        <w:gridCol w:w="211"/>
        <w:gridCol w:w="578"/>
        <w:gridCol w:w="346"/>
        <w:gridCol w:w="339"/>
        <w:gridCol w:w="682"/>
        <w:gridCol w:w="346"/>
        <w:gridCol w:w="211"/>
        <w:gridCol w:w="721"/>
        <w:gridCol w:w="346"/>
        <w:gridCol w:w="211"/>
        <w:gridCol w:w="827"/>
      </w:tblGrid>
      <w:tr>
        <w:trPr/>
        <w:tc>
          <w:tcPr>
            <w:tcW w:w="3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02790" cy="175260"/>
                      <wp:effectExtent l="0" t="0" r="0" b="0"/>
                      <wp:wrapNone/>
                      <wp:docPr id="47" name="Frame47"/>
                      <a:graphic xmlns:a="http://schemas.openxmlformats.org/drawingml/2006/main">
                        <a:graphicData uri="http://schemas.microsoft.com/office/word/2010/wordprocessingShape">
                          <wps:wsp>
                            <wps:cNvSpPr txBox="1"/>
                            <wps:spPr>
                              <a:xfrm>
                                <a:off x="0" y="0"/>
                                <a:ext cx="2002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24485" cy="175260"/>
                      <wp:effectExtent l="0" t="0" r="0" b="0"/>
                      <wp:wrapNone/>
                      <wp:docPr id="49" name="Frame4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00355" cy="175260"/>
                      <wp:effectExtent l="0" t="0" r="0" b="0"/>
                      <wp:wrapNone/>
                      <wp:docPr id="52" name="Frame52"/>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67030" cy="175260"/>
                      <wp:effectExtent l="0" t="0" r="0" b="0"/>
                      <wp:wrapNone/>
                      <wp:docPr id="55" name="Frame55"/>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5265" cy="175260"/>
                      <wp:effectExtent l="0" t="0" r="0" b="0"/>
                      <wp:wrapNone/>
                      <wp:docPr id="57" name="Frame57"/>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33070" cy="175260"/>
                      <wp:effectExtent l="0" t="0" r="0" b="0"/>
                      <wp:wrapNone/>
                      <wp:docPr id="58" name="Frame58"/>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57835" cy="175260"/>
                      <wp:effectExtent l="0" t="0" r="0" b="0"/>
                      <wp:wrapNone/>
                      <wp:docPr id="61" name="Frame6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25145" cy="175260"/>
                      <wp:effectExtent l="0" t="0" r="0" b="0"/>
                      <wp:wrapNone/>
                      <wp:docPr id="64" name="Frame64"/>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4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center"/>
              <w:rPr/>
            </w:pPr>
            <w:r>
              <w:rPr/>
              <w:t>​</w:t>
            </w:r>
          </w:p>
        </w:tc>
        <w:tc>
          <w:tcPr>
            <w:tcW w:w="78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8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Stated</w:t>
            </w:r>
          </w:p>
        </w:tc>
        <w:tc>
          <w:tcPr>
            <w:tcW w:w="346" w:type="dxa"/>
            <w:tcBorders/>
            <w:vAlign w:val="center"/>
          </w:tcPr>
          <w:p>
            <w:pPr>
              <w:pStyle w:val="TableContents"/>
              <w:bidi w:val="0"/>
              <w:spacing w:before="0" w:after="0"/>
              <w:ind w:left="0" w:right="0" w:hanging="0"/>
              <w:jc w:val="center"/>
              <w:rPr/>
            </w:pPr>
            <w:r>
              <w:rPr/>
              <w:t>​</w:t>
            </w:r>
          </w:p>
        </w:tc>
        <w:tc>
          <w:tcPr>
            <w:tcW w:w="78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pPr>
            <w:r>
              <w:rPr/>
              <w:t>  ​ ​</w:t>
            </w:r>
            <w:r>
              <w:rPr>
                <w:rFonts w:ascii="Times New Roman;Times;serif" w:hAnsi="Times New Roman;Times;serif"/>
                <w:b/>
                <w:sz w:val="14"/>
              </w:rPr>
              <w:t>Retained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15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 millions, except per share amounts)</w:t>
            </w:r>
          </w:p>
        </w:tc>
        <w:tc>
          <w:tcPr>
            <w:tcW w:w="346" w:type="dxa"/>
            <w:tcBorders/>
            <w:vAlign w:val="center"/>
          </w:tcPr>
          <w:p>
            <w:pPr>
              <w:pStyle w:val="TableContents"/>
              <w:bidi w:val="0"/>
              <w:spacing w:before="0" w:after="0"/>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center"/>
              <w:rPr/>
            </w:pPr>
            <w:r>
              <w:rPr/>
              <w:t>  ​ ​ ​</w:t>
            </w:r>
          </w:p>
        </w:tc>
        <w:tc>
          <w:tcPr>
            <w:tcW w:w="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46" w:type="dxa"/>
            <w:tcBorders/>
            <w:vAlign w:val="center"/>
          </w:tcPr>
          <w:p>
            <w:pPr>
              <w:pStyle w:val="TableContents"/>
              <w:bidi w:val="0"/>
              <w:spacing w:before="0" w:after="0"/>
              <w:ind w:left="0" w:right="0" w:hanging="0"/>
              <w:jc w:val="center"/>
              <w:rPr/>
            </w:pPr>
            <w:r>
              <w:rPr/>
              <w:t>  ​ ​ ​</w:t>
            </w:r>
          </w:p>
        </w:tc>
        <w:tc>
          <w:tcPr>
            <w:tcW w:w="7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46" w:type="dxa"/>
            <w:tcBorders/>
            <w:vAlign w:val="center"/>
          </w:tcPr>
          <w:p>
            <w:pPr>
              <w:pStyle w:val="TableContents"/>
              <w:bidi w:val="0"/>
              <w:spacing w:before="0" w:after="0"/>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center"/>
              <w:rPr/>
            </w:pPr>
            <w:r>
              <w:rPr/>
              <w:t>  ​ ​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 ​ ​ ​ ​</w:t>
            </w:r>
            <w:r>
              <w:rPr>
                <w:rFonts w:ascii="Times New Roman;Times;serif" w:hAnsi="Times New Roman;Times;serif"/>
                <w:b/>
                <w:sz w:val="14"/>
              </w:rPr>
              <w:t>Total      </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296.7</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2,337.1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2,652.0</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72.3</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(16.2)</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(69.2)</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($0.34</w:t>
            </w:r>
            <w:r>
              <w:rPr>
                <w:rFonts w:ascii="Times New Roman;Times;serif" w:hAnsi="Times New Roman;Times;serif"/>
                <w:sz w:val="18"/>
              </w:rPr>
              <w:t xml:space="preserve"> </w:t>
            </w:r>
            <w:r>
              <w:rPr>
                <w:rFonts w:ascii="Times New Roman;Times;serif" w:hAnsi="Times New Roman;Times;serif"/>
                <w:sz w:val="19"/>
              </w:rPr>
              <w:t>per share)</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March 31, 2025</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284.7</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2,330.8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2,633.2</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94.7</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0.5</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8"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(93.7)</w:t>
            </w:r>
          </w:p>
        </w:tc>
      </w:tr>
      <w:tr>
        <w:trPr/>
        <w:tc>
          <w:tcPr>
            <w:tcW w:w="315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($0.34</w:t>
            </w:r>
            <w:r>
              <w:rPr>
                <w:rFonts w:ascii="Times New Roman;Times;serif" w:hAnsi="Times New Roman;Times;serif"/>
                <w:sz w:val="18"/>
              </w:rPr>
              <w:t xml:space="preserve"> </w:t>
            </w:r>
            <w:r>
              <w:rPr>
                <w:rFonts w:ascii="Times New Roman;Times;serif" w:hAnsi="Times New Roman;Times;serif"/>
                <w:sz w:val="19"/>
              </w:rPr>
              <w:t>per share and $0.36</w:t>
            </w:r>
            <w:r>
              <w:rPr>
                <w:rFonts w:ascii="Times New Roman;Times;serif" w:hAnsi="Times New Roman;Times;serif"/>
                <w:sz w:val="18"/>
              </w:rPr>
              <w:t xml:space="preserve"> </w:t>
            </w:r>
            <w:r>
              <w:rPr>
                <w:rFonts w:ascii="Times New Roman;Times;serif" w:hAnsi="Times New Roman;Times;serif"/>
                <w:sz w:val="19"/>
              </w:rPr>
              <w:t>per share)</w:t>
            </w:r>
          </w:p>
        </w:tc>
        <w:tc>
          <w:tcPr>
            <w:tcW w:w="34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w:t>
            </w:r>
          </w:p>
        </w:tc>
      </w:tr>
      <w:tr>
        <w:trPr/>
        <w:tc>
          <w:tcPr>
            <w:tcW w:w="315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June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288.0</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2,312.5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2,618.0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99" w:name="_44d0f09c_2bcc_4552_b500_4dc617f1c20c"/>
      <w:bookmarkEnd w:id="699"/>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700" w:name="NOTESTOTHECONDENSEDCONSOLIDATEDFINANICAL"/>
      <w:bookmarkEnd w:id="700"/>
      <w:r>
        <w:rPr>
          <w:rFonts w:ascii="Times New Roman;Times;serif" w:hAnsi="Times New Roman;Times;serif"/>
          <w:b/>
          <w:sz w:val="20"/>
        </w:rPr>
        <w:t>NOTES TO THE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          DESCRIPTION OF THE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Inc., a holding company incorporated in the State of Hawaii, and its subsidiaries (“Matson” or the “Company”), is a leading provider of ocean transportation and logistics services. The Company consists of two segments, Ocean Transportation and Logistics.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Ocean Transportation:</w:t>
      </w:r>
      <w:r>
        <w:rPr>
          <w:rFonts w:ascii="Times New Roman;Times;serif" w:hAnsi="Times New Roman;Times;serif"/>
          <w:sz w:val="20"/>
        </w:rPr>
        <w:t xml:space="preserve"> Matson’s Ocean Transportation business is conducted through Matson Navigation Company, Inc. (“MatNav”),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which includes cargo from other Asia origins, provides services to Okinawa, Japan and various islands in the South Pacific, and operates an international export service from Alaska to Asia. In addition, subsidiaries of MatNav provide stevedoring, refrigerated cargo services, inland transportation and other terminal services for MatNav in Hawaii and Alaska.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has a 35 percent ownership interest in SSA Terminals, LLC (“SSAT”), a joint venture between Matson Ventures, Inc., a wholly-owned subsidiary of MatNav, and SSA Ventures, Inc., a subsidiary of Carrix, Inc. SSAT currently provides terminal and stevedoring services to various carriers at seven terminal facilities on the U.S. West Coast, including three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Logistics:</w:t>
      </w:r>
      <w:r>
        <w:rPr>
          <w:rFonts w:ascii="Times New Roman;Times;serif" w:hAnsi="Times New Roman;Times;serif"/>
          <w:sz w:val="20"/>
        </w:rPr>
        <w:t xml:space="preserve"> Matson’s Logistics business is conducted through Matson Logistics, Inc. (“Matson Logistics”), a wholly-owned subsidiary of MatNav. Established in 1987, Matson Logistics extends the geographic reach of Matson’s transportation network throughout North America and Asia, and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purchase order management, booking services, and non-vessel operating common carrier (“NVOCC”) freight forwarding services (collectively, “Supply Chain Management” services).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          GENERAL AND SIGNIFICANT ACCOUNTING POLICIES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Basis of Presentation:</w:t>
      </w:r>
      <w:r>
        <w:rPr>
          <w:rFonts w:ascii="Times New Roman;Times;serif" w:hAnsi="Times New Roman;Times;serif"/>
          <w:sz w:val="20"/>
        </w:rPr>
        <w:t xml:space="preserve"> The Condensed Consolidated Financial Statements are unaudited and include the accounts of 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Condensed Consolidated Financial Statements should be read in conjunction with the Consolidated Financial Statements and notes thereto included in Part II, Item 8 of the Company’s Annual Report on Form 10-K for the year ended December 31, 2025.</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701" w:name="Tc_ejaV4cCwgkmcZhjgKqAOPQ_7_11"/>
      <w:bookmarkStart w:id="702" w:name="Tc_AAXEb8Pp60KJMZQWpPPxxQ_7_8"/>
      <w:bookmarkStart w:id="703" w:name="Tc_P7xCK015dUWtXt6vwXdZXg_7_5"/>
      <w:bookmarkStart w:id="704" w:name="Tc_00lZMosZbk-kBBWlEDHfcg_7_2"/>
      <w:bookmarkStart w:id="705" w:name="Tc_ZQWiL49u606NYEZrvfYuBA_7_0"/>
      <w:bookmarkStart w:id="706" w:name="Tc_OzV1nNdDQE6_d9bo5--IzA_6_0"/>
      <w:bookmarkStart w:id="707" w:name="Tc_RGZSd0-NzkK5Q23tTBCoag_5_0"/>
      <w:bookmarkStart w:id="708" w:name="Tc_UQFuO3INqEunymsZv0X0Vw_4_11"/>
      <w:bookmarkStart w:id="709" w:name="Tc_qk4wX8cMJk-FU9oYY1tHAQ_4_8"/>
      <w:bookmarkStart w:id="710" w:name="Tc_DoK0peFcekKZvxEkVoGCBw_4_5"/>
      <w:bookmarkStart w:id="711" w:name="Tc_6HU-ne8Rq0aUBNxSBQ2Gyw_4_2"/>
      <w:bookmarkStart w:id="712" w:name="Tc_qGj4cQjjQki6FISMdwVS9A_4_0"/>
      <w:bookmarkStart w:id="713" w:name="Tc_8uQxVekxakOjhg0GMVz8Cw_3_11"/>
      <w:bookmarkStart w:id="714" w:name="Tc_XgsNS5zj-kSrjEVgbqiOgg_3_8"/>
      <w:bookmarkStart w:id="715" w:name="Tc_kEOYJQIiF0iQj9sUdwr5NA_3_5"/>
      <w:bookmarkStart w:id="716" w:name="Tc_1FEksT5ps06dVWxuZciz3Q_3_2"/>
      <w:bookmarkStart w:id="717" w:name="Tc_jvX7kVYfUUCn1VyegEXwYw_3_0"/>
      <w:bookmarkStart w:id="718" w:name="Tc_-ua936j21kysOEYvW15wtQ_2_8"/>
      <w:bookmarkStart w:id="719" w:name="Tc_LIHZNAfN2UK_N9w0vpDiDw_2_2"/>
      <w:bookmarkStart w:id="720" w:name="Tc_ULonHlp8UkKb1VAsH_VGBQ_1_8"/>
      <w:bookmarkStart w:id="721" w:name="Tc_6utUmpjFDUOHR767tRUcrg_1_2"/>
      <w:bookmarkStart w:id="722" w:name="_76ce7040_9d75_4809_bd50_999968a13d07"/>
      <w:bookmarkStart w:id="723" w:name="Tc_JKfWwbgLsU-J7LF-FyHf-w_7_11"/>
      <w:bookmarkStart w:id="724" w:name="Tc_Nzc3FZgNgkO6hYDwsJftPw_7_8"/>
      <w:bookmarkStart w:id="725" w:name="Tc_G4vhT1v_CEGVxZroemnFew_7_5"/>
      <w:bookmarkStart w:id="726" w:name="Tc_RKrK04IapkuL7FJTVKzCOA_7_2"/>
      <w:bookmarkStart w:id="727" w:name="Tc_5wVuG3vThUKCgs6TPhNW0g_7_0"/>
      <w:bookmarkStart w:id="728" w:name="Tc_MEIgJ-nKB0CuY9ZmVEwTtg_6_0"/>
      <w:bookmarkStart w:id="729" w:name="Tc_Hm2deu4nwkullD56uFDIAQ_5_0"/>
      <w:bookmarkStart w:id="730" w:name="Tc_Drouf_-Gn0WFFEfFg5pm7g_4_11"/>
      <w:bookmarkStart w:id="731" w:name="Tc_zXEX8PpfIUmlW8F5RmkSDA_4_8"/>
      <w:bookmarkStart w:id="732" w:name="Tc_GXINz1WlWESE9-x6IFA1cQ_4_5"/>
      <w:bookmarkStart w:id="733" w:name="Tc_nQX013BX90KuLgVvYVQ2oA_4_2"/>
      <w:bookmarkStart w:id="734" w:name="Tc_zpKFGs90WEiDCIEbjXFAnw_4_0"/>
      <w:bookmarkStart w:id="735" w:name="Tc_QCoJYgi250CRzrd4_0ZW3g_3_11"/>
      <w:bookmarkStart w:id="736" w:name="Tc_9w2gpuEPpkqb34xa8SThYw_3_8"/>
      <w:bookmarkStart w:id="737" w:name="Tc_qlxZDZe_c0uh_nerwM5FzA_3_5"/>
      <w:bookmarkStart w:id="738" w:name="Tc_l2avUw4Xyk-h52ptEqkobQ_3_2"/>
      <w:bookmarkStart w:id="739" w:name="Tc_WkjlpXjRAEy3KENs5WXxUA_3_0"/>
      <w:bookmarkStart w:id="740" w:name="Tc_nGeHQX-bEka1_seRalcd1Q_2_8"/>
      <w:bookmarkStart w:id="741" w:name="Tc_jBaaJtmh50-sQ7o_MOrk-g_2_2"/>
      <w:bookmarkStart w:id="742" w:name="Tc_NH1IuSJTrkGidFciAqVvxA_1_8"/>
      <w:bookmarkStart w:id="743" w:name="Tc_IhradGfi1U2GJjgMLJQ5ZQ_1_2"/>
      <w:bookmarkStart w:id="744" w:name="_9c390c95_6a03_4dd1_88e9_a2cd103bb29e"/>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r>
        <w:rPr>
          <w:rFonts w:ascii="Times New Roman;Times;serif" w:hAnsi="Times New Roman;Times;serif"/>
          <w:b/>
          <w:i/>
          <w:sz w:val="20"/>
        </w:rPr>
        <w:t>Fiscal Period:</w:t>
      </w:r>
      <w:r>
        <w:rPr>
          <w:rFonts w:ascii="Times New Roman;Times;serif" w:hAnsi="Times New Roman;Times;serif"/>
          <w:sz w:val="20"/>
        </w:rPr>
        <w:t xml:space="preserve"> The period end for Matson covered by this report is June 30, 2026. The period end for MatNav and its subsidiaries covered by this report is June 26,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Significant Accounting Policies:</w:t>
      </w:r>
      <w:r>
        <w:rPr>
          <w:rFonts w:ascii="Times New Roman;Times;serif" w:hAnsi="Times New Roman;Times;serif"/>
          <w:sz w:val="20"/>
        </w:rPr>
        <w:t xml:space="preserve"> The Company’s significant accounting policies are described in Note 2 to the Consolidated Financial Statements included in Part II, Item 8 of the Company’s Annual Report on Form 10-K for the year ended December 31,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Use of Estimates:</w:t>
      </w:r>
      <w:r>
        <w:rPr>
          <w:rFonts w:ascii="Times New Roman;Times;serif" w:hAnsi="Times New Roman;Times;serif"/>
          <w:sz w:val="20"/>
        </w:rPr>
        <w:t xml:space="preserve"> The preparation of the interim Condensed Consolidated Financial Statements in conformity with accounting principles generally accepted in the U.S. requires management to make estimates and assumptions that affect the amounts reported. Estimates and assumptions are used for but not limited to: useful lives of property and equipment, impairment of investments; impairment of long-lived assets, intangible assets and goodwill; capitalized interest; allowance for credit losses; legal contingencies; insurance reserves and other related liabilities; accrual estimates; pension and post-retirement estimates; multi-employer withdrawal liabilities; operating lease assets and liabilities; estimates of income (loss) from SSAT; and income tax estimates. Future results could be materially affected if actual results differ from these estimates and assumptions.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Recognition of Revenues and Expenses:</w:t>
      </w:r>
      <w:r>
        <w:rPr>
          <w:rFonts w:ascii="Times New Roman;Times;serif" w:hAnsi="Times New Roman;Times;serif"/>
          <w:sz w:val="20"/>
        </w:rPr>
        <w:t xml:space="preserve"> Revenue and expenses in the Company’s Condensed Consolidated Financial Statements are presented net of elimination of intercompany amounts and transactions. The following is a description of the Company’s principal revenue generating activities by segment, and the Company’s revenue and expense recognition policy for each activity for the periods presented:</w:t>
      </w:r>
    </w:p>
    <w:p>
      <w:pPr>
        <w:pStyle w:val="TextBody"/>
        <w:bidi w:val="0"/>
        <w:spacing w:before="0" w:after="0"/>
        <w:ind w:left="0" w:right="0" w:hanging="0"/>
        <w:jc w:val="left"/>
        <w:rPr/>
      </w:pPr>
      <w:r>
        <w:rPr/>
        <w:t>​</w:t>
      </w:r>
    </w:p>
    <w:tbl>
      <w:tblPr>
        <w:tblW w:w="7436" w:type="dxa"/>
        <w:jc w:val="left"/>
        <w:tblInd w:w="0" w:type="dxa"/>
        <w:tblLayout w:type="fixed"/>
        <w:tblCellMar>
          <w:top w:w="0" w:type="dxa"/>
          <w:left w:w="0" w:type="dxa"/>
          <w:bottom w:w="0" w:type="dxa"/>
          <w:right w:w="0" w:type="dxa"/>
        </w:tblCellMar>
      </w:tblPr>
      <w:tblGrid>
        <w:gridCol w:w="2956"/>
        <w:gridCol w:w="109"/>
        <w:gridCol w:w="211"/>
        <w:gridCol w:w="571"/>
        <w:gridCol w:w="346"/>
        <w:gridCol w:w="211"/>
        <w:gridCol w:w="571"/>
        <w:gridCol w:w="146"/>
        <w:gridCol w:w="211"/>
        <w:gridCol w:w="721"/>
        <w:gridCol w:w="346"/>
        <w:gridCol w:w="211"/>
        <w:gridCol w:w="826"/>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877060" cy="175260"/>
                      <wp:effectExtent l="0" t="0" r="0" b="0"/>
                      <wp:wrapNone/>
                      <wp:docPr id="65" name="Frame65"/>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62585" cy="175260"/>
                      <wp:effectExtent l="0" t="0" r="0" b="0"/>
                      <wp:wrapNone/>
                      <wp:docPr id="68" name="Frame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62585" cy="175260"/>
                      <wp:effectExtent l="0" t="0" r="0" b="0"/>
                      <wp:wrapNone/>
                      <wp:docPr id="71" name="Frame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92710" cy="175260"/>
                      <wp:effectExtent l="0" t="0" r="0" b="0"/>
                      <wp:wrapNone/>
                      <wp:docPr id="72" name="Frame7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57835" cy="175260"/>
                      <wp:effectExtent l="0" t="0" r="0" b="0"/>
                      <wp:wrapNone/>
                      <wp:docPr id="74" name="Frame7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24510" cy="175260"/>
                      <wp:effectExtent l="0" t="0" r="0" b="0"/>
                      <wp:wrapNone/>
                      <wp:docPr id="77" name="Frame7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0"/>
              <w:ind w:left="0" w:right="0" w:hanging="0"/>
              <w:jc w:val="left"/>
              <w:rPr/>
            </w:pPr>
            <w:r>
              <w:rPr/>
              <w:t> </w:t>
            </w:r>
          </w:p>
        </w:tc>
        <w:tc>
          <w:tcPr>
            <w:tcW w:w="23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 </w:t>
            </w:r>
          </w:p>
        </w:tc>
        <w:tc>
          <w:tcPr>
            <w:tcW w:w="23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9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Ocean Transportation (in millions) (1)</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1,303.9</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and other related services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Fuel sales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675.6</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1,313.0</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revenue transactions are primarily denominated in U.S. dollars except for less than 3</w:t>
            </w:r>
            <w:r>
              <w:rPr>
                <w:caps w:val="false"/>
                <w:smallCaps w:val="false"/>
              </w:rPr>
              <w:t> </w:t>
            </w:r>
            <w:r>
              <w:rPr>
                <w:rFonts w:ascii="Times New Roman;Times;serif" w:hAnsi="Times New Roman;Times;serif"/>
                <w:b w:val="false"/>
                <w:i w:val="false"/>
                <w:caps w:val="false"/>
                <w:smallCaps w:val="false"/>
                <w:sz w:val="16"/>
              </w:rPr>
              <w:t xml:space="preserve">percent of Ocean Transportation services revenue and fuel sales revenue categories which are denominated in foreign currencies. </w:t>
            </w:r>
          </w:p>
        </w:tc>
      </w:tr>
    </w:tbl>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Ocean Transportation services revenue is recognized ratably over the duration of a voyage based on the relative transit time completed in each reporting period. Vessel operating costs and other ocean transportation operating costs, such as terminal operating overhead and general and administrative expenses, are charged to operating costs as incurred.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Terminal and other related services revenue is recognized as the services are performed. Terminal and other related service costs are recognized as incurred.</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Fuel sales revenue and related costs are recognized when the Company has completed delivery of the product to the customer in accordance with the terms and conditions of the contract. </w:t>
            </w:r>
          </w:p>
        </w:tc>
      </w:tr>
    </w:tbl>
    <w:p>
      <w:pPr>
        <w:pStyle w:val="TextBody"/>
        <w:bidi w:val="0"/>
        <w:spacing w:before="0" w:after="0"/>
        <w:ind w:left="0" w:right="0" w:hanging="0"/>
        <w:jc w:val="left"/>
        <w:rPr/>
      </w:pPr>
      <w:r>
        <w:rPr/>
        <w:t>​</w:t>
      </w:r>
    </w:p>
    <w:p>
      <w:pPr>
        <w:pStyle w:val="TextBody"/>
        <w:bidi w:val="0"/>
        <w:spacing w:before="0" w:after="0"/>
        <w:ind w:left="360" w:right="0" w:hanging="0"/>
        <w:jc w:val="left"/>
        <w:rPr/>
      </w:pPr>
      <w:r>
        <w:rPr/>
        <w:t>​</w:t>
      </w:r>
    </w:p>
    <w:tbl>
      <w:tblPr>
        <w:tblW w:w="8552" w:type="dxa"/>
        <w:jc w:val="left"/>
        <w:tblInd w:w="0" w:type="dxa"/>
        <w:tblLayout w:type="fixed"/>
        <w:tblCellMar>
          <w:top w:w="0" w:type="dxa"/>
          <w:left w:w="0" w:type="dxa"/>
          <w:bottom w:w="0" w:type="dxa"/>
          <w:right w:w="0" w:type="dxa"/>
        </w:tblCellMar>
      </w:tblPr>
      <w:tblGrid>
        <w:gridCol w:w="4846"/>
        <w:gridCol w:w="109"/>
        <w:gridCol w:w="211"/>
        <w:gridCol w:w="571"/>
        <w:gridCol w:w="109"/>
        <w:gridCol w:w="211"/>
        <w:gridCol w:w="571"/>
        <w:gridCol w:w="146"/>
        <w:gridCol w:w="211"/>
        <w:gridCol w:w="571"/>
        <w:gridCol w:w="109"/>
        <w:gridCol w:w="211"/>
        <w:gridCol w:w="676"/>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077210" cy="175260"/>
                      <wp:effectExtent l="0" t="0" r="0" b="0"/>
                      <wp:wrapNone/>
                      <wp:docPr id="78" name="Frame78"/>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9" name="Frame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62585" cy="175260"/>
                      <wp:effectExtent l="0" t="0" r="0" b="0"/>
                      <wp:wrapNone/>
                      <wp:docPr id="81" name="Frame8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2"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62585" cy="175260"/>
                      <wp:effectExtent l="0" t="0" r="0" b="0"/>
                      <wp:wrapNone/>
                      <wp:docPr id="84" name="Frame8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92710" cy="175260"/>
                      <wp:effectExtent l="0" t="0" r="0" b="0"/>
                      <wp:wrapNone/>
                      <wp:docPr id="85" name="Frame8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62585" cy="175260"/>
                      <wp:effectExtent l="0" t="0" r="0" b="0"/>
                      <wp:wrapNone/>
                      <wp:docPr id="87" name="Frame8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29260" cy="175260"/>
                      <wp:effectExtent l="0" t="0" r="0" b="0"/>
                      <wp:wrapNone/>
                      <wp:docPr id="90" name="Frame9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7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0"/>
              <w:ind w:left="0" w:right="0" w:hanging="0"/>
              <w:jc w:val="left"/>
              <w:rPr/>
            </w:pPr>
            <w:r>
              <w:rPr/>
              <w:t> </w:t>
            </w:r>
          </w:p>
        </w:tc>
        <w:tc>
          <w:tcPr>
            <w:tcW w:w="177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 </w:t>
            </w:r>
          </w:p>
        </w:tc>
        <w:tc>
          <w:tcPr>
            <w:tcW w:w="17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Logistics (in millions) (1)</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Transportation Brokerage and Freight Forwarding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264.5</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Warehousing services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Supply Chain Management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299.5</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Logistics revenue transactions are primarily denominated in U.S. dollars except for less than 3</w:t>
            </w:r>
            <w:r>
              <w:rPr>
                <w:caps w:val="false"/>
                <w:smallCaps w:val="false"/>
              </w:rPr>
              <w:t> </w:t>
            </w:r>
            <w:r>
              <w:rPr>
                <w:rFonts w:ascii="Times New Roman;Times;serif" w:hAnsi="Times New Roman;Times;serif"/>
                <w:b w:val="false"/>
                <w:i w:val="false"/>
                <w:caps w:val="false"/>
                <w:smallCaps w:val="false"/>
                <w:sz w:val="16"/>
              </w:rPr>
              <w:t xml:space="preserve">percent of Transportation Brokerage and Freight Forwarding services revenue, and Supply Chain Management services revenue categories which are denominated in foreign currencies. </w:t>
            </w:r>
          </w:p>
        </w:tc>
      </w:tr>
    </w:tbl>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Warehousing services revenue consists of amounts billed to customers for storage, handling, and value-added packaging of customer merchandise. Storage revenue is recognized in the month the service is provided to the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customer. Storage related costs are recognized as incurred. Other Warehousing services revenue and related costs are recognized in proportion to the services performed.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Chain Management and other services revenue, and related costs are recognized in proportion to the services performed.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generally invoices its customers at the commencement of the voyage or the transportation service being provided, or as other services are being performed. Revenue is deferred when services are invoiced in advance to the customer. Deferred revenue is included in other liabilities in the Company’s Condensed Consolidated Financial Statements. The Company’s receivables are classified as short-term as collection terms are for periods of less than one year. The Company expenses sales commissions and contract acquisition costs as incurred because the amounts are generally immaterial. These expenses are included in general and administrative expenses in the Condensed Consolidated Statements of Income and Comprehensive Income.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Capitalized Interest:</w:t>
      </w:r>
      <w:r>
        <w:rPr>
          <w:rFonts w:ascii="Times New Roman;Times;serif" w:hAnsi="Times New Roman;Times;serif"/>
          <w:sz w:val="20"/>
        </w:rPr>
        <w:t xml:space="preserve"> The Company capitalizes interest costs during the period as the qualified assets are being readied for their intended use. The Company determined that vessel construction costs are considered qualifying assets for the purposes of capitalizing interest on these assets. The amount of capitalized interest is calculated based on the amount of expenditures incurred related to the construction of these vessels using a weighted average interest rate. The weighted average interest rate is determined using the Company’s average borrowings outstanding during the period. Capitalized interest is included in vessel construction in progress in property and equipment in the Company’s Condensed Consolidated Balance Sheets (see Note 5). The Company capitalized $0.8 million and $1.0 million of interest related to the construction of three new vessels for the three months ended June 30, 2026 and 2025, and $1.7 million and $2.1 million for the six months ended June 30, 2026 and 2025,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Dividends:</w:t>
      </w:r>
      <w:r>
        <w:rPr>
          <w:rFonts w:ascii="Times New Roman;Times;serif" w:hAnsi="Times New Roman;Times;serif"/>
          <w:sz w:val="20"/>
        </w:rPr>
        <w:t xml:space="preserve"> The Company’s second quarter 2026 cash dividend of $0.36 per share was paid on June 4, 2026. On June 25, 2026, the Company’s Board of Directors declared a cash dividend of $0.38 per share payable on September 3, 2026 to shareholders of record on August 6,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Repurchase of Shares:</w:t>
      </w:r>
      <w:r>
        <w:rPr>
          <w:rFonts w:ascii="Times New Roman;Times;serif" w:hAnsi="Times New Roman;Times;serif"/>
          <w:sz w:val="20"/>
        </w:rPr>
        <w:t xml:space="preserve"> During the three and six months ended June 30, 2026, the Company repurchased approximately 0.3 million and 0.7 million shares for a total cost of $67.8 million and $122.2 million, respectively. During the three and six months ended June 30, 2025, the Company repurchased approximately 0.9 million and 1.4 million shares for a total cost of $93.7 million and $162.9 million,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April 23, 2026, the Company’s Board of Directors approved an additional 3.0 million shares of common stock to be added to the Company’s existing share repurchase program and extended the program to December 31, 2029. As of June 30, 2026, the maximum number of remaining shares that may be repurchased under the Company’s share repurchase program was approximately 3.4 million shares.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Recently adopted accounting pronouncements:</w:t>
      </w:r>
      <w:r>
        <w:rPr>
          <w:rFonts w:ascii="Times New Roman;Times;serif" w:hAnsi="Times New Roman;Times;serif"/>
          <w:sz w:val="20"/>
        </w:rPr>
        <w:t xml:space="preserve"> In July 2025, the Financial Accounting Standards Board (“FASB”) issued Accounting Standard Update (“ASU”) 2025-05, </w:t>
      </w:r>
      <w:r>
        <w:rPr>
          <w:rFonts w:ascii="Times New Roman;Times;serif" w:hAnsi="Times New Roman;Times;serif"/>
          <w:i/>
          <w:sz w:val="20"/>
        </w:rPr>
        <w:t>Financial Instruments-Credit Losses (Topic 326): Measurement of Credit Losses for Accounts Receivable and Contract Assets</w:t>
      </w:r>
      <w:r>
        <w:rPr>
          <w:rFonts w:ascii="Times New Roman;Times;serif" w:hAnsi="Times New Roman;Times;serif"/>
          <w:sz w:val="20"/>
        </w:rPr>
        <w:t xml:space="preserve"> (“ASU 2025-05”). ASU 2025-05 provides optional simplified methods for estimating credit losses on current accounts receivable. ASU 2025-05 is effective for interim and annual periods beginning after December 31, 2025. The adoption of ASU 2025-05 during the six months ended June 30, 2026 did not have a material impact on the Company’s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New Accounting Pronouncements:</w:t>
      </w:r>
      <w:r>
        <w:rPr>
          <w:rFonts w:ascii="Times New Roman;Times;serif" w:hAnsi="Times New Roman;Times;serif"/>
          <w:sz w:val="20"/>
        </w:rPr>
        <w:t xml:space="preserve"> In November 2024, the FASB issued ASU 2024-03, </w:t>
      </w:r>
      <w:r>
        <w:rPr>
          <w:rFonts w:ascii="Times New Roman;Times;serif" w:hAnsi="Times New Roman;Times;serif"/>
          <w:i/>
          <w:sz w:val="20"/>
        </w:rPr>
        <w:t>Income Statement - Reporting Comprehensive Income - Expense Disaggregation Disclosures (Subtopic 220-40): Disaggregation of Income Statement Expenses</w:t>
      </w:r>
      <w:r>
        <w:rPr>
          <w:rFonts w:ascii="Times New Roman;Times;serif" w:hAnsi="Times New Roman;Times;serif"/>
          <w:sz w:val="20"/>
        </w:rPr>
        <w:t xml:space="preserve"> (“ASU 2024-03”). ASU 2024-03 requires disclosure of certain expenses in the financial statements including employee compensation and depreciation and amortization of intangible assets on an annual and interim basis. ASU 2024-03 is effective for fiscal years beginning after December 15, 2026 and interim periods within fiscal years beginning after December 15, 2027. ASU 2024-03 can be adopted either: (i) prospectively to the financial statements issued for reporting periods after the effective date of the ASU or (ii) retrospectively to any or all prior periods presented in the financial statements. The Company is currently evaluating the effects of adopting ASU 2024-03 but does not expect it will have a material impact on the Company’s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745" w:name="Tc_7b_aPA4pH02mozKMDcZFbg_26_17"/>
      <w:bookmarkStart w:id="746" w:name="Tc_x97TeclnmkG-5jlTq1pFqQ_26_14"/>
      <w:bookmarkStart w:id="747" w:name="Tc_4hGWgEMe-km0qU-4IdzyfA_26_11"/>
      <w:bookmarkStart w:id="748" w:name="Tc_aOappexUiUCblkNAQGrwZA_26_8"/>
      <w:bookmarkStart w:id="749" w:name="Tc_0MTYhxFMfUORxl2ilMZvdA_26_5"/>
      <w:bookmarkStart w:id="750" w:name="Tc_mBhAidgKFUmBgKey4o55JQ_26_2"/>
      <w:bookmarkStart w:id="751" w:name="Tc_x1CtaRHN3kK9DmLGPaZyag_26_0"/>
      <w:bookmarkStart w:id="752" w:name="Tc_IW0RLZGauEecE6mV5jM4_A_24_17"/>
      <w:bookmarkStart w:id="753" w:name="Tc_LPK0p6fo0EukbaTNJhRpJg_24_8"/>
      <w:bookmarkStart w:id="754" w:name="Tc_xqRtdMO-D0GyTU4KbiNIXA_24_0"/>
      <w:bookmarkStart w:id="755" w:name="Tc_lOi9zN0kMUO-IdO-1F9saQ_23_0"/>
      <w:bookmarkStart w:id="756" w:name="Tc_7Ol8aAIERUSCcyA-KhcDPw_22_0"/>
      <w:bookmarkStart w:id="757" w:name="Tc_KaK5vZJpsEi0U6h269bGoA_21_0"/>
      <w:bookmarkStart w:id="758" w:name="Tc_tOlB9jr0Xk-oXlG3RzqwKg_20_0"/>
      <w:bookmarkStart w:id="759" w:name="Tc_BqBn9pVF20yX-toGnBr6Ig_19_0"/>
      <w:bookmarkStart w:id="760" w:name="Tc_1lAytPokh0KAoG6c1omBzA_18_14"/>
      <w:bookmarkStart w:id="761" w:name="Tc_zldu1UCH9EqfenvoOlkxAQ_18_11"/>
      <w:bookmarkStart w:id="762" w:name="Tc_EjzLJix4b06RTPfDSQFgWA_18_5"/>
      <w:bookmarkStart w:id="763" w:name="Tc_pcwOoCwm3EaeNFQ1Ves_oA_18_2"/>
      <w:bookmarkStart w:id="764" w:name="Tc_OA_ApXfcZECqnQeTECrqzw_18_0"/>
      <w:bookmarkStart w:id="765" w:name="Tc_OsmtOxQ8vESyoDKSlKrH-w_16_0"/>
      <w:bookmarkStart w:id="766" w:name="Tc_sH81o9J0nU-x5YnSlr61ow_15_0"/>
      <w:bookmarkStart w:id="767" w:name="Tc_syRUVtU-VkeOdLfwCdT5vg_14_15"/>
      <w:bookmarkStart w:id="768" w:name="Tc_4APO31ONfEqzToiT_ZATyg_14_6"/>
      <w:bookmarkStart w:id="769" w:name="Tc_ErIMr4DmZEihUP1rxaWt1A_14_0"/>
      <w:bookmarkStart w:id="770" w:name="Tc_VGkKsCHpQk2RtmSVpeY6OA_13_0"/>
      <w:bookmarkStart w:id="771" w:name="Tc_XMnYoz3yy0CBepckVHIHWw_12_0"/>
      <w:bookmarkStart w:id="772" w:name="Tc_ib5t6hhIT0mfDwFzhI5jeA_11_12"/>
      <w:bookmarkStart w:id="773" w:name="Tc_2v0gZ9jNH0OaOnvz8-5SfQ_11_3"/>
      <w:bookmarkStart w:id="774" w:name="Tc_aqFV6WPgjEuGlNUV8AOqUQ_11_0"/>
      <w:bookmarkStart w:id="775" w:name="Tc_cgli7ANL5kyhqzSJVmBXEQ_10_15"/>
      <w:bookmarkStart w:id="776" w:name="Tc_ce9YjDvQjkmekUBnD396YA_10_6"/>
      <w:bookmarkStart w:id="777" w:name="Tc__f3MzVslk0G7tjrC4T5MbQ_10_0"/>
      <w:bookmarkStart w:id="778" w:name="Tc_UaHRGHloTESwK6VPTYshcQ_9_15"/>
      <w:bookmarkStart w:id="779" w:name="Tc_hGTGoRz8FU272_OvmRAiPg_9_6"/>
      <w:bookmarkStart w:id="780" w:name="Tc_cP3is4kftkuGZV9kDPeE6w_9_0"/>
      <w:bookmarkStart w:id="781" w:name="Tc_hLJ0ej2TjEmwsDI9Op_XDg_8_15"/>
      <w:bookmarkStart w:id="782" w:name="Tc_wWCXKdhfNkeamR3HQ9fBbA_8_6"/>
      <w:bookmarkStart w:id="783" w:name="Tc_gw4XRg9UcEmFUOplG3CGxw_8_0"/>
      <w:bookmarkStart w:id="784" w:name="Tc_cXmdiMa35EWZb_T6shj1xw_7_0"/>
      <w:bookmarkStart w:id="785" w:name="Tc_8EO2MZnXbEiSYP2tzxqcLg_6_0"/>
      <w:bookmarkStart w:id="786" w:name="Tc_Be8f5EJaB0GlHVff1kRknQ_4_17"/>
      <w:bookmarkStart w:id="787" w:name="Tc_uUPt-nH9skCMGOcCf6LtrQ_4_14"/>
      <w:bookmarkStart w:id="788" w:name="Tc_-zPMtewigE6fL4Pi8KumWA_4_11"/>
      <w:bookmarkStart w:id="789" w:name="Tc_489CW3r4Eka63GSfzEpOjw_4_8"/>
      <w:bookmarkStart w:id="790" w:name="Tc_ydj9DKcipUiyuzqRcyd1bg_4_5"/>
      <w:bookmarkStart w:id="791" w:name="Tc_KKRyEhfnYkKpbtTNydgh5g_4_2"/>
      <w:bookmarkStart w:id="792" w:name="Tc_Y7AdveYGZEqFRZ0NhsP-9A_4_0"/>
      <w:bookmarkStart w:id="793" w:name="Tc_8ioH6VueoUqTZB_KTZYSrg_3_17"/>
      <w:bookmarkStart w:id="794" w:name="Tc_ZLxyukCr1U2n0mjJ2Qet2Q_3_14"/>
      <w:bookmarkStart w:id="795" w:name="Tc_pKBgmTHStUSugnnWCNa9qQ_3_11"/>
      <w:bookmarkStart w:id="796" w:name="Tc_Bq4Ryb_ht06vfkMIo80clg_3_8"/>
      <w:bookmarkStart w:id="797" w:name="Tc_6ss_8dmscE2q6mn8BUWHCg_3_5"/>
      <w:bookmarkStart w:id="798" w:name="Tc_ldnGwADD7UCf4PFXt31e5g_3_2"/>
      <w:bookmarkStart w:id="799" w:name="Tc_2gFUeHUsRUmNyUuQl2oitA_3_0"/>
      <w:bookmarkStart w:id="800" w:name="Tc_4wpytc5owkqfxnm-UaKjdQ_2_11"/>
      <w:bookmarkStart w:id="801" w:name="Tc_JjOg_hHr5U-50rMuzgxknw_2_2"/>
      <w:bookmarkStart w:id="802" w:name="Tc_0Uuly6vcwUea0OXl6tWT2g_1_11"/>
      <w:bookmarkStart w:id="803" w:name="Tc__uO7mF_ZWEaXbkmbdvS-WA_1_2"/>
      <w:bookmarkStart w:id="804" w:name="_c87e55e5_f872_45bd_85f3_b82dbe932a9d"/>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r>
        <w:rPr>
          <w:rFonts w:ascii="Times New Roman;Times;serif" w:hAnsi="Times New Roman;Times;serif"/>
          <w:b/>
          <w:sz w:val="20"/>
        </w:rPr>
        <w:t>3.</w:t>
      </w:r>
      <w:r>
        <w:rPr>
          <w:rFonts w:ascii="Times New Roman;Times;serif" w:hAnsi="Times New Roman;Times;serif"/>
          <w:sz w:val="20"/>
        </w:rPr>
        <w:t>          </w:t>
      </w:r>
      <w:r>
        <w:rPr>
          <w:rFonts w:ascii="Times New Roman;Times;serif" w:hAnsi="Times New Roman;Times;serif"/>
          <w:b/>
          <w:sz w:val="20"/>
        </w:rPr>
        <w:t>REPORTABLE 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segments are components of an enterprise that engage in business activities from which it may earn revenues and incur expenses, whose operating results are regularly reviewed by the chief operating decision maker (“CODM”) to make decisions about resources to be allocated to the segment and assess its performance, and for which discrete financial information is available. The Company’s CODM is its Chief Executive Officer.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identified two reportable segments on the basis of internal information provided to the CODM: Ocean Transportation and Logistics which are described in Note 1. Each segment is managed separately based upon fundamental differences in the operations of each segment. The Company’s Ocean Transportation service primarily involves the transportation of customer cargo on Company owned and chartered vessels. The Company’s Logistics service provides customers with logistics solutions primarily using third-party purchased transportation. The Company’s CODM assesses the performance of each segment using operating income. The Company’s CODM reviews the performance of each segment using monthly internal reports which provide variance analysis of actual results by segment compared to budget, forecast and prior year. The Company’s CODM uses this information when making decisions about the allocation of operating and capital resources to each segment. Segment balance sheet information is not provided to the CODM as capital decisions are based upon the Company’s Condensed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 financial information for the three months ended June 30, 2026 and 2025 are as follows:</w:t>
      </w:r>
    </w:p>
    <w:p>
      <w:pPr>
        <w:pStyle w:val="TextBody"/>
        <w:bidi w:val="0"/>
        <w:spacing w:before="0" w:after="0"/>
        <w:ind w:left="0" w:right="0" w:hanging="0"/>
        <w:jc w:val="left"/>
        <w:rPr/>
      </w:pPr>
      <w:r>
        <w:rPr/>
        <w:t>​</w:t>
      </w:r>
    </w:p>
    <w:tbl>
      <w:tblPr>
        <w:tblW w:w="9903" w:type="dxa"/>
        <w:jc w:val="left"/>
        <w:tblInd w:w="0" w:type="dxa"/>
        <w:tblLayout w:type="fixed"/>
        <w:tblCellMar>
          <w:top w:w="0" w:type="dxa"/>
          <w:left w:w="0" w:type="dxa"/>
          <w:bottom w:w="0" w:type="dxa"/>
          <w:right w:w="0" w:type="dxa"/>
        </w:tblCellMar>
      </w:tblPr>
      <w:tblGrid>
        <w:gridCol w:w="2221"/>
        <w:gridCol w:w="346"/>
        <w:gridCol w:w="317"/>
        <w:gridCol w:w="928"/>
        <w:gridCol w:w="346"/>
        <w:gridCol w:w="196"/>
        <w:gridCol w:w="631"/>
        <w:gridCol w:w="109"/>
        <w:gridCol w:w="196"/>
        <w:gridCol w:w="631"/>
        <w:gridCol w:w="346"/>
        <w:gridCol w:w="317"/>
        <w:gridCol w:w="928"/>
        <w:gridCol w:w="346"/>
        <w:gridCol w:w="196"/>
        <w:gridCol w:w="631"/>
        <w:gridCol w:w="346"/>
        <w:gridCol w:w="196"/>
        <w:gridCol w:w="676"/>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410335" cy="175260"/>
                      <wp:effectExtent l="0" t="0" r="0" b="0"/>
                      <wp:wrapNone/>
                      <wp:docPr id="91" name="Frame91"/>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1295" cy="175260"/>
                      <wp:effectExtent l="0" t="0" r="0" b="0"/>
                      <wp:wrapNone/>
                      <wp:docPr id="93" name="Frame93"/>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89280" cy="175260"/>
                      <wp:effectExtent l="0" t="0" r="0" b="0"/>
                      <wp:wrapNone/>
                      <wp:docPr id="94" name="Frame94"/>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24460" cy="175260"/>
                      <wp:effectExtent l="0" t="0" r="0" b="0"/>
                      <wp:wrapNone/>
                      <wp:docPr id="96" name="Frame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00685" cy="175260"/>
                      <wp:effectExtent l="0" t="0" r="0" b="0"/>
                      <wp:wrapNone/>
                      <wp:docPr id="97" name="Frame9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24460" cy="175260"/>
                      <wp:effectExtent l="0" t="0" r="0" b="0"/>
                      <wp:wrapNone/>
                      <wp:docPr id="99" name="Frame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00685" cy="175260"/>
                      <wp:effectExtent l="0" t="0" r="0" b="0"/>
                      <wp:wrapNone/>
                      <wp:docPr id="100" name="Frame10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1295" cy="175260"/>
                      <wp:effectExtent l="0" t="0" r="0" b="0"/>
                      <wp:wrapNone/>
                      <wp:docPr id="102" name="Frame102"/>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89280" cy="175260"/>
                      <wp:effectExtent l="0" t="0" r="0" b="0"/>
                      <wp:wrapNone/>
                      <wp:docPr id="103" name="Frame103"/>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24460" cy="175260"/>
                      <wp:effectExtent l="0" t="0" r="0" b="0"/>
                      <wp:wrapNone/>
                      <wp:docPr id="105" name="Frame1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00685" cy="175260"/>
                      <wp:effectExtent l="0" t="0" r="0" b="0"/>
                      <wp:wrapNone/>
                      <wp:docPr id="106" name="Frame10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24460" cy="175260"/>
                      <wp:effectExtent l="0" t="0" r="0" b="0"/>
                      <wp:wrapNone/>
                      <wp:docPr id="108" name="Frame1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29260" cy="175260"/>
                      <wp:effectExtent l="0" t="0" r="0" b="0"/>
                      <wp:wrapNone/>
                      <wp:docPr id="109" name="Frame1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54" w:type="dxa"/>
            <w:gridSpan w:val="8"/>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3636" w:type="dxa"/>
            <w:gridSpan w:val="8"/>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Three Months Ended </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5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June 30, 2026</w:t>
            </w:r>
          </w:p>
        </w:tc>
        <w:tc>
          <w:tcPr>
            <w:tcW w:w="346" w:type="dxa"/>
            <w:tcBorders/>
            <w:vAlign w:val="center"/>
          </w:tcPr>
          <w:p>
            <w:pPr>
              <w:pStyle w:val="TableContents"/>
              <w:bidi w:val="0"/>
              <w:spacing w:before="0" w:after="0"/>
              <w:ind w:left="0" w:right="0" w:hanging="0"/>
              <w:jc w:val="left"/>
              <w:rPr/>
            </w:pPr>
            <w:r>
              <w:rPr/>
              <w:t>​</w:t>
            </w:r>
          </w:p>
        </w:tc>
        <w:tc>
          <w:tcPr>
            <w:tcW w:w="363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June 30, 2025</w:t>
            </w:r>
          </w:p>
        </w:tc>
      </w:tr>
      <w:tr>
        <w:trPr/>
        <w:tc>
          <w:tcPr>
            <w:tcW w:w="22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(In millions)</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Ocean Transportation</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Logistics</w:t>
            </w:r>
          </w:p>
        </w:tc>
        <w:tc>
          <w:tcPr>
            <w:tcW w:w="109"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Ocean Transportation</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Logistics</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Revenue (1)(2)</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767.4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202.0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969.4</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675.6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830.5</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costs:</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Direct cargo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(261.8)</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(249.7)</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Vessel operating expense</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(174.2)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(174.2)</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(150.6)</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overhead (3)</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(90.5)</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(86.5)</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Direct operating costs</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(168.7)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(168.7)</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(122.4)</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(42.1)</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(41.2)</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operating costs</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(565.6)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(171.7)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(737.3)</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(650.4)</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from SSAT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General and administrative</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(15.4)</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(78.0)</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(74.4)</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(187.1)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(810.5)</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(577.0)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(717.5)</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158.9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113.0</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Interest income</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8.0</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income (expense), net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before Taxes</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163.9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121.7</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taxes</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(34.5)</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(27.0)</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129.4</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94.7</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Capital Expenditures (4)</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207.2</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86.3</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operating revenue excludes inter-segment revenue of $29.3</w:t>
            </w:r>
            <w:r>
              <w:rPr>
                <w:caps w:val="false"/>
                <w:smallCaps w:val="false"/>
              </w:rPr>
              <w:t> </w:t>
            </w:r>
            <w:r>
              <w:rPr>
                <w:rFonts w:ascii="Times New Roman;Times;serif" w:hAnsi="Times New Roman;Times;serif"/>
                <w:b w:val="false"/>
                <w:i w:val="false"/>
                <w:caps w:val="false"/>
                <w:smallCaps w:val="false"/>
                <w:sz w:val="16"/>
              </w:rPr>
              <w:t>million and $25.5</w:t>
            </w:r>
            <w:r>
              <w:rPr>
                <w:caps w:val="false"/>
                <w:smallCaps w:val="false"/>
              </w:rPr>
              <w:t> </w:t>
            </w:r>
            <w:r>
              <w:rPr>
                <w:rFonts w:ascii="Times New Roman;Times;serif" w:hAnsi="Times New Roman;Times;serif"/>
                <w:b w:val="false"/>
                <w:i w:val="false"/>
                <w:caps w:val="false"/>
                <w:smallCaps w:val="false"/>
                <w:sz w:val="16"/>
              </w:rPr>
              <w:t>million for the three months ended June 30, 2026 and 2025, respectively.</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Logistics operating revenue excludes inter-segment revenue of $43.0</w:t>
            </w:r>
            <w:r>
              <w:rPr>
                <w:caps w:val="false"/>
                <w:smallCaps w:val="false"/>
              </w:rPr>
              <w:t> </w:t>
            </w:r>
            <w:r>
              <w:rPr>
                <w:rFonts w:ascii="Times New Roman;Times;serif" w:hAnsi="Times New Roman;Times;serif"/>
                <w:b w:val="false"/>
                <w:i w:val="false"/>
                <w:caps w:val="false"/>
                <w:smallCaps w:val="false"/>
                <w:sz w:val="16"/>
              </w:rPr>
              <w:t>million and $37.0</w:t>
            </w:r>
            <w:r>
              <w:rPr>
                <w:caps w:val="false"/>
                <w:smallCaps w:val="false"/>
              </w:rPr>
              <w:t> </w:t>
            </w:r>
            <w:r>
              <w:rPr>
                <w:rFonts w:ascii="Times New Roman;Times;serif" w:hAnsi="Times New Roman;Times;serif"/>
                <w:b w:val="false"/>
                <w:i w:val="false"/>
                <w:caps w:val="false"/>
                <w:smallCaps w:val="false"/>
                <w:sz w:val="16"/>
              </w:rPr>
              <w:t xml:space="preserve">million for the three months ended June 30, 2026 and 2025, respectively.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8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operating overhead includes dry-docking amortization of $8.4</w:t>
            </w:r>
            <w:r>
              <w:rPr>
                <w:caps w:val="false"/>
                <w:smallCaps w:val="false"/>
              </w:rPr>
              <w:t> </w:t>
            </w:r>
            <w:r>
              <w:rPr>
                <w:rFonts w:ascii="Times New Roman;Times;serif" w:hAnsi="Times New Roman;Times;serif"/>
                <w:b w:val="false"/>
                <w:i w:val="false"/>
                <w:caps w:val="false"/>
                <w:smallCaps w:val="false"/>
                <w:sz w:val="16"/>
              </w:rPr>
              <w:t>million and $7.0</w:t>
            </w:r>
            <w:r>
              <w:rPr>
                <w:caps w:val="false"/>
                <w:smallCaps w:val="false"/>
              </w:rPr>
              <w:t> </w:t>
            </w:r>
            <w:r>
              <w:rPr>
                <w:rFonts w:ascii="Times New Roman;Times;serif" w:hAnsi="Times New Roman;Times;serif"/>
                <w:b w:val="false"/>
                <w:i w:val="false"/>
                <w:caps w:val="false"/>
                <w:smallCaps w:val="false"/>
                <w:sz w:val="16"/>
              </w:rPr>
              <w:t>million for the three months ended June 30, 2026 and 2025, respectively.</w:t>
            </w:r>
          </w:p>
        </w:tc>
      </w:tr>
    </w:tbl>
    <w:tbl>
      <w:tblPr>
        <w:tblW w:w="9887" w:type="dxa"/>
        <w:jc w:val="left"/>
        <w:tblInd w:w="0" w:type="dxa"/>
        <w:tblLayout w:type="fixed"/>
        <w:tblCellMar>
          <w:top w:w="0" w:type="dxa"/>
          <w:left w:w="0" w:type="dxa"/>
          <w:bottom w:w="0" w:type="dxa"/>
          <w:right w:w="0" w:type="dxa"/>
        </w:tblCellMar>
      </w:tblPr>
      <w:tblGrid>
        <w:gridCol w:w="331"/>
        <w:gridCol w:w="955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5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Capital expenditures exclude accrued capital expenditures of $3.8</w:t>
            </w:r>
            <w:r>
              <w:rPr>
                <w:caps w:val="false"/>
                <w:smallCaps w:val="false"/>
              </w:rPr>
              <w:t> </w:t>
            </w:r>
            <w:r>
              <w:rPr>
                <w:rFonts w:ascii="Times New Roman;Times;serif" w:hAnsi="Times New Roman;Times;serif"/>
                <w:b w:val="false"/>
                <w:i w:val="false"/>
                <w:caps w:val="false"/>
                <w:smallCaps w:val="false"/>
                <w:sz w:val="16"/>
              </w:rPr>
              <w:t>million and $4.0</w:t>
            </w:r>
            <w:r>
              <w:rPr>
                <w:caps w:val="false"/>
                <w:smallCaps w:val="false"/>
              </w:rPr>
              <w:t> </w:t>
            </w:r>
            <w:r>
              <w:rPr>
                <w:rFonts w:ascii="Times New Roman;Times;serif" w:hAnsi="Times New Roman;Times;serif"/>
                <w:b w:val="false"/>
                <w:i w:val="false"/>
                <w:caps w:val="false"/>
                <w:smallCaps w:val="false"/>
                <w:sz w:val="16"/>
              </w:rPr>
              <w:t>million as of June 30, 2026 and 2025, respectively.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805" w:name="Tc_8sObrKbPfUa0rg9QwIrGyg_26_17"/>
      <w:bookmarkStart w:id="806" w:name="Tc_4dKC545gi0i8lgqqITpQVw_26_14"/>
      <w:bookmarkStart w:id="807" w:name="Tc_mwEMsPEwAkm6oWumNvp7qQ_26_11"/>
      <w:bookmarkStart w:id="808" w:name="Tc_e4uF_a7zzECNYmnsZ9oXiA_26_8"/>
      <w:bookmarkStart w:id="809" w:name="Tc_PG0Vu2zU50O5VQNmeZNeJw_26_5"/>
      <w:bookmarkStart w:id="810" w:name="Tc_BqpX6eEVSUusFeI0KcFKGg_26_2"/>
      <w:bookmarkStart w:id="811" w:name="Tc_uxdqiH8OzkSsI53cPgTUDQ_26_0"/>
      <w:bookmarkStart w:id="812" w:name="Tc_vS7yCZN8JEu7XHLaSZ2n4w_24_17"/>
      <w:bookmarkStart w:id="813" w:name="Tc_8pH_EuOYTU6ZmVRTiDCcfA_24_8"/>
      <w:bookmarkStart w:id="814" w:name="Tc_MDyo8LLSYk-Zo7IEwg_ftg_24_0"/>
      <w:bookmarkStart w:id="815" w:name="Tc_FkZR7ZJZEEG8SybfXz6hnQ_23_0"/>
      <w:bookmarkStart w:id="816" w:name="Tc_xi6trCS-vEiVCkeYwPWXqw_22_0"/>
      <w:bookmarkStart w:id="817" w:name="Tc_oY-CA39mxUiah83WQw9yGQ_21_0"/>
      <w:bookmarkStart w:id="818" w:name="Tc_1nl9nMb9L0iIYuTkuhSz9w_20_0"/>
      <w:bookmarkStart w:id="819" w:name="Tc_s2h2gCat3EmdGsMmwjIV9A_19_0"/>
      <w:bookmarkStart w:id="820" w:name="Tc_M-rYjeQMU027MVok-rW4gw_18_14"/>
      <w:bookmarkStart w:id="821" w:name="Tc_WcGqI-rswUqeMsVR5Df7Cg_18_11"/>
      <w:bookmarkStart w:id="822" w:name="Tc_hkiRsf70AEe2pLSAIozPcw_18_5"/>
      <w:bookmarkStart w:id="823" w:name="Tc_Nnih9qw8j0CrK3KOZCX-eg_18_2"/>
      <w:bookmarkStart w:id="824" w:name="Tc_I92QC41nhU-zUP-Sr3-BBg_18_0"/>
      <w:bookmarkStart w:id="825" w:name="Tc_fgEYk4CZW0m0fYjEfgerbw_16_0"/>
      <w:bookmarkStart w:id="826" w:name="Tc_Sci6EDuX0kC2vJ-mERfFfg_15_0"/>
      <w:bookmarkStart w:id="827" w:name="Tc_ZJ1phCnk00mPhuc58LzWLw_14_15"/>
      <w:bookmarkStart w:id="828" w:name="Tc_Z42HN7crSUC9Rt0QjlyVAA_14_6"/>
      <w:bookmarkStart w:id="829" w:name="Tc__a8F-X9eMkuz3GQrgi9weA_14_0"/>
      <w:bookmarkStart w:id="830" w:name="Tc_OeGIhzvoF0-J5LycRDhrIg_13_0"/>
      <w:bookmarkStart w:id="831" w:name="Tc_agSpxVY-EEWXRDuaeEnFrQ_12_0"/>
      <w:bookmarkStart w:id="832" w:name="Tc_4WRO5wCfvU2glpskvUy03A_11_12"/>
      <w:bookmarkStart w:id="833" w:name="Tc_WQ2cdVS0C0mvnaLjQAO_oQ_11_3"/>
      <w:bookmarkStart w:id="834" w:name="Tc_NkBj97Kl5kCsTsWO3Z_TDQ_11_0"/>
      <w:bookmarkStart w:id="835" w:name="Tc_xtqK2jPO_EKegtbARMDaAA_10_15"/>
      <w:bookmarkStart w:id="836" w:name="Tc_j4BueGMOy0SM6dvJAJwzAg_10_6"/>
      <w:bookmarkStart w:id="837" w:name="Tc_v086C12exki1qLQuQuI1AA_10_0"/>
      <w:bookmarkStart w:id="838" w:name="Tc_jaw_BYwXq0iziml7i4ICDw_9_15"/>
      <w:bookmarkStart w:id="839" w:name="Tc_dj36d3J7x0G5yWECXCywfw_9_6"/>
      <w:bookmarkStart w:id="840" w:name="Tc_xyDsHTATCUqe_ED9G4pdIQ_9_0"/>
      <w:bookmarkStart w:id="841" w:name="Tc_0JtdVlH99EejFmG-kVYdNA_8_15"/>
      <w:bookmarkStart w:id="842" w:name="Tc_FceRudShf0ym5iPmIrMfJQ_8_6"/>
      <w:bookmarkStart w:id="843" w:name="Tc_M2LbJsbkA0i5l-cVQWtLPQ_8_0"/>
      <w:bookmarkStart w:id="844" w:name="Tc_jI8w1MLFOEWjTQbK7pR9Dg_7_0"/>
      <w:bookmarkStart w:id="845" w:name="Tc_GKcqx2jpg0yacNNvtvrDOA_6_0"/>
      <w:bookmarkStart w:id="846" w:name="Tc_PtANNc9zpk-Nh9G9H1d7Eg_4_17"/>
      <w:bookmarkStart w:id="847" w:name="Tc_6OyeC73BR02xtuQ6t0hoRg_4_14"/>
      <w:bookmarkStart w:id="848" w:name="Tc_YW71FRFBu0yG7wn5n-EYXw_4_11"/>
      <w:bookmarkStart w:id="849" w:name="Tc_YfKngzumbEepkjRo4hv_Gw_4_8"/>
      <w:bookmarkStart w:id="850" w:name="Tc_sKCaq_hI3EaCQFHk8Sn2dw_4_5"/>
      <w:bookmarkStart w:id="851" w:name="Tc_kufQV9CN7kaknzcH7q_otQ_4_2"/>
      <w:bookmarkStart w:id="852" w:name="Tc_dukrayOb3kSPRg-uqS33vw_4_0"/>
      <w:bookmarkStart w:id="853" w:name="Tc_3DSCq1-Jv0yAlQa2FIz5NQ_3_17"/>
      <w:bookmarkStart w:id="854" w:name="Tc_T3Xtv4nErEeGfd-Ok2-L6w_3_14"/>
      <w:bookmarkStart w:id="855" w:name="Tc_l4MINQvoR0eYL9i1h5gpMQ_3_11"/>
      <w:bookmarkStart w:id="856" w:name="Tc_rbfFV9ovZUqyyVg-2I4HWw_3_8"/>
      <w:bookmarkStart w:id="857" w:name="Tc_yA-8mqxg1kG2rpxoEtlitA_3_5"/>
      <w:bookmarkStart w:id="858" w:name="Tc_UWv8GNknnk6oIqFA4-u-1A_3_2"/>
      <w:bookmarkStart w:id="859" w:name="Tc_I701ydtxd0WvfcWqauLycA_3_0"/>
      <w:bookmarkStart w:id="860" w:name="Tc_ZHYRqwSgqE6Jk8SPsRG_qA_2_11"/>
      <w:bookmarkStart w:id="861" w:name="Tc_imoceD_kn0GowJQJx20yqQ_2_2"/>
      <w:bookmarkStart w:id="862" w:name="Tc_369DB4K5F0-mhBmnVc8AUA_1_11"/>
      <w:bookmarkStart w:id="863" w:name="Tc_aefZjViDuEuSuB-Q_t5kiA_1_2"/>
      <w:bookmarkStart w:id="864" w:name="_0416d7ae_a936_4f9a_a8c5_1b485f1b84af"/>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r>
        <w:rPr>
          <w:rFonts w:ascii="Times New Roman;Times;serif" w:hAnsi="Times New Roman;Times;serif"/>
          <w:sz w:val="20"/>
        </w:rPr>
        <w:t>Reportable segment financial information for the six months ended June 30, 2026 and 2025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08"/>
        <w:gridCol w:w="346"/>
        <w:gridCol w:w="247"/>
        <w:gridCol w:w="963"/>
        <w:gridCol w:w="346"/>
        <w:gridCol w:w="196"/>
        <w:gridCol w:w="625"/>
        <w:gridCol w:w="346"/>
        <w:gridCol w:w="196"/>
        <w:gridCol w:w="760"/>
        <w:gridCol w:w="346"/>
        <w:gridCol w:w="247"/>
        <w:gridCol w:w="963"/>
        <w:gridCol w:w="346"/>
        <w:gridCol w:w="196"/>
        <w:gridCol w:w="625"/>
        <w:gridCol w:w="346"/>
        <w:gridCol w:w="196"/>
        <w:gridCol w:w="807"/>
      </w:tblGrid>
      <w:tr>
        <w:trPr/>
        <w:tc>
          <w:tcPr>
            <w:tcW w:w="2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8580" cy="175260"/>
                      <wp:effectExtent l="0" t="0" r="0" b="0"/>
                      <wp:wrapNone/>
                      <wp:docPr id="110" name="Frame110"/>
                      <a:graphic xmlns:a="http://schemas.openxmlformats.org/drawingml/2006/main">
                        <a:graphicData uri="http://schemas.microsoft.com/office/word/2010/wordprocessingShape">
                          <wps:wsp>
                            <wps:cNvSpPr txBox="1"/>
                            <wps:spPr>
                              <a:xfrm>
                                <a:off x="0" y="0"/>
                                <a:ext cx="1338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56845" cy="175260"/>
                      <wp:effectExtent l="0" t="0" r="0" b="0"/>
                      <wp:wrapNone/>
                      <wp:docPr id="112" name="Frame112"/>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11505" cy="175260"/>
                      <wp:effectExtent l="0" t="0" r="0" b="0"/>
                      <wp:wrapNone/>
                      <wp:docPr id="113" name="Frame113"/>
                      <a:graphic xmlns:a="http://schemas.openxmlformats.org/drawingml/2006/main">
                        <a:graphicData uri="http://schemas.microsoft.com/office/word/2010/wordprocessingShape">
                          <wps:wsp>
                            <wps:cNvSpPr txBox="1"/>
                            <wps:spPr>
                              <a:xfrm>
                                <a:off x="0" y="0"/>
                                <a:ext cx="611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24460" cy="175260"/>
                      <wp:effectExtent l="0" t="0" r="0" b="0"/>
                      <wp:wrapNone/>
                      <wp:docPr id="115" name="Frame1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96875" cy="175260"/>
                      <wp:effectExtent l="0" t="0" r="0" b="0"/>
                      <wp:wrapNone/>
                      <wp:docPr id="116" name="Frame116"/>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24460" cy="175260"/>
                      <wp:effectExtent l="0" t="0" r="0" b="0"/>
                      <wp:wrapNone/>
                      <wp:docPr id="118" name="Frame1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82600" cy="175260"/>
                      <wp:effectExtent l="0" t="0" r="0" b="0"/>
                      <wp:wrapNone/>
                      <wp:docPr id="119" name="Frame119"/>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56845" cy="175260"/>
                      <wp:effectExtent l="0" t="0" r="0" b="0"/>
                      <wp:wrapNone/>
                      <wp:docPr id="121" name="Frame121"/>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11505" cy="175260"/>
                      <wp:effectExtent l="0" t="0" r="0" b="0"/>
                      <wp:wrapNone/>
                      <wp:docPr id="122" name="Frame122"/>
                      <a:graphic xmlns:a="http://schemas.openxmlformats.org/drawingml/2006/main">
                        <a:graphicData uri="http://schemas.microsoft.com/office/word/2010/wordprocessingShape">
                          <wps:wsp>
                            <wps:cNvSpPr txBox="1"/>
                            <wps:spPr>
                              <a:xfrm>
                                <a:off x="0" y="0"/>
                                <a:ext cx="611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24460" cy="175260"/>
                      <wp:effectExtent l="0" t="0" r="0" b="0"/>
                      <wp:wrapNone/>
                      <wp:docPr id="124" name="Frame1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96875" cy="175260"/>
                      <wp:effectExtent l="0" t="0" r="0" b="0"/>
                      <wp:wrapNone/>
                      <wp:docPr id="125" name="Frame125"/>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24460" cy="175260"/>
                      <wp:effectExtent l="0" t="0" r="0" b="0"/>
                      <wp:wrapNone/>
                      <wp:docPr id="127" name="Frame1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12445" cy="175260"/>
                      <wp:effectExtent l="0" t="0" r="0" b="0"/>
                      <wp:wrapNone/>
                      <wp:docPr id="128" name="Frame128"/>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79" w:type="dxa"/>
            <w:gridSpan w:val="8"/>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3726" w:type="dxa"/>
            <w:gridSpan w:val="8"/>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 xml:space="preserve">Six Months Ended </w:t>
            </w:r>
          </w:p>
        </w:tc>
      </w:tr>
      <w:tr>
        <w:trPr/>
        <w:tc>
          <w:tcPr>
            <w:tcW w:w="21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7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June 30, 2026</w:t>
            </w:r>
          </w:p>
        </w:tc>
        <w:tc>
          <w:tcPr>
            <w:tcW w:w="346" w:type="dxa"/>
            <w:tcBorders/>
            <w:vAlign w:val="center"/>
          </w:tcPr>
          <w:p>
            <w:pPr>
              <w:pStyle w:val="TableContents"/>
              <w:bidi w:val="0"/>
              <w:spacing w:before="0" w:after="0"/>
              <w:ind w:left="0" w:right="0" w:hanging="0"/>
              <w:jc w:val="left"/>
              <w:rPr/>
            </w:pPr>
            <w:r>
              <w:rPr/>
              <w:t>​</w:t>
            </w:r>
          </w:p>
        </w:tc>
        <w:tc>
          <w:tcPr>
            <w:tcW w:w="372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June 30, 2025</w:t>
            </w:r>
          </w:p>
        </w:tc>
      </w:tr>
      <w:tr>
        <w:trPr/>
        <w:tc>
          <w:tcPr>
            <w:tcW w:w="21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(In millions)</w:t>
            </w:r>
          </w:p>
        </w:tc>
        <w:tc>
          <w:tcPr>
            <w:tcW w:w="346" w:type="dxa"/>
            <w:tcBorders/>
            <w:vAlign w:val="center"/>
          </w:tcPr>
          <w:p>
            <w:pPr>
              <w:pStyle w:val="TableContents"/>
              <w:bidi w:val="0"/>
              <w:spacing w:before="0" w:after="0"/>
              <w:ind w:left="0" w:right="0" w:hanging="0"/>
              <w:jc w:val="left"/>
              <w:rPr/>
            </w:pPr>
            <w:r>
              <w:rPr/>
              <w:t>  ​ ​ ​</w:t>
            </w:r>
          </w:p>
        </w:tc>
        <w:tc>
          <w:tcPr>
            <w:tcW w:w="12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Ocean Transportation</w:t>
            </w:r>
          </w:p>
        </w:tc>
        <w:tc>
          <w:tcPr>
            <w:tcW w:w="346" w:type="dxa"/>
            <w:tcBorders/>
            <w:vAlign w:val="center"/>
          </w:tcPr>
          <w:p>
            <w:pPr>
              <w:pStyle w:val="TableContents"/>
              <w:bidi w:val="0"/>
              <w:spacing w:before="0" w:after="0"/>
              <w:ind w:left="0" w:right="0" w:hanging="0"/>
              <w:jc w:val="left"/>
              <w:rPr/>
            </w:pPr>
            <w:r>
              <w:rPr/>
              <w:t>  ​ ​ ​</w:t>
            </w:r>
          </w:p>
        </w:tc>
        <w:tc>
          <w:tcPr>
            <w:tcW w:w="8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Logistics</w:t>
            </w:r>
          </w:p>
        </w:tc>
        <w:tc>
          <w:tcPr>
            <w:tcW w:w="346" w:type="dxa"/>
            <w:tcBorders/>
            <w:vAlign w:val="center"/>
          </w:tcPr>
          <w:p>
            <w:pPr>
              <w:pStyle w:val="TableContents"/>
              <w:bidi w:val="0"/>
              <w:spacing w:before="0" w:after="0"/>
              <w:ind w:left="0" w:right="0" w:hanging="0"/>
              <w:jc w:val="left"/>
              <w:rPr/>
            </w:pPr>
            <w:r>
              <w:rPr/>
              <w:t>  ​ ​ ​</w:t>
            </w:r>
          </w:p>
        </w:tc>
        <w:tc>
          <w:tcPr>
            <w:tcW w:w="9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c>
          <w:tcPr>
            <w:tcW w:w="346" w:type="dxa"/>
            <w:tcBorders/>
            <w:vAlign w:val="center"/>
          </w:tcPr>
          <w:p>
            <w:pPr>
              <w:pStyle w:val="TableContents"/>
              <w:bidi w:val="0"/>
              <w:spacing w:before="0" w:after="0"/>
              <w:ind w:left="0" w:right="0" w:hanging="0"/>
              <w:jc w:val="left"/>
              <w:rPr/>
            </w:pPr>
            <w:r>
              <w:rPr/>
              <w:t>  ​ ​ ​</w:t>
            </w:r>
          </w:p>
        </w:tc>
        <w:tc>
          <w:tcPr>
            <w:tcW w:w="12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Ocean Transportation</w:t>
            </w:r>
          </w:p>
        </w:tc>
        <w:tc>
          <w:tcPr>
            <w:tcW w:w="346" w:type="dxa"/>
            <w:tcBorders/>
            <w:vAlign w:val="center"/>
          </w:tcPr>
          <w:p>
            <w:pPr>
              <w:pStyle w:val="TableContents"/>
              <w:bidi w:val="0"/>
              <w:spacing w:before="0" w:after="0"/>
              <w:ind w:left="0" w:right="0" w:hanging="0"/>
              <w:jc w:val="left"/>
              <w:rPr/>
            </w:pPr>
            <w:r>
              <w:rPr/>
              <w:t>  ​ ​ ​</w:t>
            </w:r>
          </w:p>
        </w:tc>
        <w:tc>
          <w:tcPr>
            <w:tcW w:w="8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Logistics</w:t>
            </w:r>
          </w:p>
        </w:tc>
        <w:tc>
          <w:tcPr>
            <w:tcW w:w="346" w:type="dxa"/>
            <w:tcBorders/>
            <w:vAlign w:val="center"/>
          </w:tcPr>
          <w:p>
            <w:pPr>
              <w:pStyle w:val="TableContents"/>
              <w:bidi w:val="0"/>
              <w:spacing w:before="0" w:after="0"/>
              <w:ind w:left="0" w:right="0" w:hanging="0"/>
              <w:jc w:val="left"/>
              <w:rPr/>
            </w:pPr>
            <w:r>
              <w:rPr/>
              <w:t>  ​ ​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21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Revenue (5)(6)</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1,727.2</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1,612.5</w:t>
            </w:r>
          </w:p>
        </w:tc>
      </w:tr>
      <w:tr>
        <w:trPr/>
        <w:tc>
          <w:tcPr>
            <w:tcW w:w="21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pPr>
            <w:r>
              <w:rPr/>
              <w:t>​</w:t>
            </w:r>
          </w:p>
        </w:tc>
      </w:tr>
      <w:tr>
        <w:trPr/>
        <w:tc>
          <w:tcPr>
            <w:tcW w:w="21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pPr>
            <w:r>
              <w:rPr/>
              <w:t>​</w:t>
            </w:r>
          </w:p>
        </w:tc>
      </w:tr>
      <w:tr>
        <w:trPr/>
        <w:tc>
          <w:tcPr>
            <w:tcW w:w="210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pPr>
            <w:r>
              <w:rPr/>
              <w:t>​</w:t>
            </w:r>
          </w:p>
        </w:tc>
      </w:tr>
      <w:tr>
        <w:trPr/>
        <w:tc>
          <w:tcPr>
            <w:tcW w:w="21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cargo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(496.5)</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(487.9)</w:t>
            </w:r>
          </w:p>
        </w:tc>
      </w:tr>
      <w:tr>
        <w:trPr/>
        <w:tc>
          <w:tcPr>
            <w:tcW w:w="210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Vessel operating expense</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(312.8)</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(298.0)</w:t>
            </w:r>
          </w:p>
        </w:tc>
      </w:tr>
      <w:tr>
        <w:trPr/>
        <w:tc>
          <w:tcPr>
            <w:tcW w:w="21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overhead (7)</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(172.3)</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(173.5)</w:t>
            </w:r>
          </w:p>
        </w:tc>
      </w:tr>
      <w:tr>
        <w:trPr/>
        <w:tc>
          <w:tcPr>
            <w:tcW w:w="210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operating costs</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(295.3)</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(240.3)</w:t>
            </w:r>
          </w:p>
        </w:tc>
      </w:tr>
      <w:tr>
        <w:trPr/>
        <w:tc>
          <w:tcPr>
            <w:tcW w:w="21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(84.3)</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(81.8)</w:t>
            </w:r>
          </w:p>
        </w:tc>
      </w:tr>
      <w:tr>
        <w:trPr/>
        <w:tc>
          <w:tcPr>
            <w:tcW w:w="210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costs</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(1,361.2)</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(1,281.5)</w:t>
            </w:r>
          </w:p>
        </w:tc>
      </w:tr>
      <w:tr>
        <w:trPr/>
        <w:tc>
          <w:tcPr>
            <w:tcW w:w="21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SSAT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w:t>
            </w:r>
          </w:p>
        </w:tc>
      </w:tr>
      <w:tr>
        <w:trPr/>
        <w:tc>
          <w:tcPr>
            <w:tcW w:w="210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(155.5)</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(149.8)</w:t>
            </w:r>
          </w:p>
        </w:tc>
      </w:tr>
      <w:tr>
        <w:trPr/>
        <w:tc>
          <w:tcPr>
            <w:tcW w:w="21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(1,506.9)</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(1,417.4)</w:t>
            </w:r>
          </w:p>
        </w:tc>
      </w:tr>
      <w:tr>
        <w:trPr/>
        <w:tc>
          <w:tcPr>
            <w:tcW w:w="21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pPr>
            <w:r>
              <w:rPr/>
              <w:t>​</w:t>
            </w:r>
          </w:p>
        </w:tc>
      </w:tr>
      <w:tr>
        <w:trPr/>
        <w:tc>
          <w:tcPr>
            <w:tcW w:w="21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220.3</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195.1</w:t>
            </w:r>
          </w:p>
        </w:tc>
      </w:tr>
      <w:tr>
        <w:trPr/>
        <w:tc>
          <w:tcPr>
            <w:tcW w:w="210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w:t>
            </w:r>
          </w:p>
        </w:tc>
      </w:tr>
      <w:tr>
        <w:trPr/>
        <w:tc>
          <w:tcPr>
            <w:tcW w:w="21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r>
      <w:tr>
        <w:trPr/>
        <w:tc>
          <w:tcPr>
            <w:tcW w:w="210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 net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r>
      <w:tr>
        <w:trPr/>
        <w:tc>
          <w:tcPr>
            <w:tcW w:w="21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before Taxes</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231.8</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213.9</w:t>
            </w:r>
          </w:p>
        </w:tc>
      </w:tr>
      <w:tr>
        <w:trPr/>
        <w:tc>
          <w:tcPr>
            <w:tcW w:w="210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w:t>
            </w:r>
          </w:p>
        </w:tc>
      </w:tr>
      <w:tr>
        <w:trPr/>
        <w:tc>
          <w:tcPr>
            <w:tcW w:w="21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186.0</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167.0</w:t>
            </w:r>
          </w:p>
        </w:tc>
      </w:tr>
      <w:tr>
        <w:trPr/>
        <w:tc>
          <w:tcPr>
            <w:tcW w:w="21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pPr>
            <w:r>
              <w:rPr/>
              <w:t>​</w:t>
            </w:r>
          </w:p>
        </w:tc>
      </w:tr>
      <w:tr>
        <w:trPr/>
        <w:tc>
          <w:tcPr>
            <w:tcW w:w="21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 (8)</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255.5</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175.5</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988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operating revenue excludes inter-segment revenue of $47.1</w:t>
            </w:r>
            <w:r>
              <w:rPr>
                <w:caps w:val="false"/>
                <w:smallCaps w:val="false"/>
              </w:rPr>
              <w:t> </w:t>
            </w:r>
            <w:r>
              <w:rPr>
                <w:rFonts w:ascii="Times New Roman;Times;serif" w:hAnsi="Times New Roman;Times;serif"/>
                <w:b w:val="false"/>
                <w:i w:val="false"/>
                <w:caps w:val="false"/>
                <w:smallCaps w:val="false"/>
                <w:sz w:val="16"/>
              </w:rPr>
              <w:t>million and $46.9</w:t>
            </w:r>
            <w:r>
              <w:rPr>
                <w:caps w:val="false"/>
                <w:smallCaps w:val="false"/>
              </w:rPr>
              <w:t> </w:t>
            </w:r>
            <w:r>
              <w:rPr>
                <w:rFonts w:ascii="Times New Roman;Times;serif" w:hAnsi="Times New Roman;Times;serif"/>
                <w:b w:val="false"/>
                <w:i w:val="false"/>
                <w:caps w:val="false"/>
                <w:smallCaps w:val="false"/>
                <w:sz w:val="16"/>
              </w:rPr>
              <w:t>million for the six months ended June 30, 2026 and 2025, respectively.</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w:t>
            </w:r>
          </w:p>
        </w:tc>
        <w:tc>
          <w:tcPr>
            <w:tcW w:w="988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Logistics operating revenue excludes inter-segment revenue of $72.8</w:t>
            </w:r>
            <w:r>
              <w:rPr>
                <w:caps w:val="false"/>
                <w:smallCaps w:val="false"/>
              </w:rPr>
              <w:t> </w:t>
            </w:r>
            <w:r>
              <w:rPr>
                <w:rFonts w:ascii="Times New Roman;Times;serif" w:hAnsi="Times New Roman;Times;serif"/>
                <w:b w:val="false"/>
                <w:i w:val="false"/>
                <w:caps w:val="false"/>
                <w:smallCaps w:val="false"/>
                <w:sz w:val="16"/>
              </w:rPr>
              <w:t>million and $69.6</w:t>
            </w:r>
            <w:r>
              <w:rPr>
                <w:caps w:val="false"/>
                <w:smallCaps w:val="false"/>
              </w:rPr>
              <w:t> </w:t>
            </w:r>
            <w:r>
              <w:rPr>
                <w:rFonts w:ascii="Times New Roman;Times;serif" w:hAnsi="Times New Roman;Times;serif"/>
                <w:b w:val="false"/>
                <w:i w:val="false"/>
                <w:caps w:val="false"/>
                <w:smallCaps w:val="false"/>
                <w:sz w:val="16"/>
              </w:rPr>
              <w:t xml:space="preserve">million for the six months ended June 30, 2026 and 2025, respectively.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w:t>
            </w:r>
          </w:p>
        </w:tc>
        <w:tc>
          <w:tcPr>
            <w:tcW w:w="988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operating overhead includes dry-docking amortization of $16.1</w:t>
            </w:r>
            <w:r>
              <w:rPr>
                <w:caps w:val="false"/>
                <w:smallCaps w:val="false"/>
              </w:rPr>
              <w:t> </w:t>
            </w:r>
            <w:r>
              <w:rPr>
                <w:rFonts w:ascii="Times New Roman;Times;serif" w:hAnsi="Times New Roman;Times;serif"/>
                <w:b w:val="false"/>
                <w:i w:val="false"/>
                <w:caps w:val="false"/>
                <w:smallCaps w:val="false"/>
                <w:sz w:val="16"/>
              </w:rPr>
              <w:t>million and $13.6</w:t>
            </w:r>
            <w:r>
              <w:rPr>
                <w:caps w:val="false"/>
                <w:smallCaps w:val="false"/>
              </w:rPr>
              <w:t> </w:t>
            </w:r>
            <w:r>
              <w:rPr>
                <w:rFonts w:ascii="Times New Roman;Times;serif" w:hAnsi="Times New Roman;Times;serif"/>
                <w:b w:val="false"/>
                <w:i w:val="false"/>
                <w:caps w:val="false"/>
                <w:smallCaps w:val="false"/>
                <w:sz w:val="16"/>
              </w:rPr>
              <w:t>million for the six months ended June 30, 2026 and 2025, respectively.</w:t>
            </w:r>
          </w:p>
        </w:tc>
      </w:tr>
    </w:tbl>
    <w:tbl>
      <w:tblPr>
        <w:tblW w:w="9887" w:type="dxa"/>
        <w:jc w:val="left"/>
        <w:tblInd w:w="0" w:type="dxa"/>
        <w:tblLayout w:type="fixed"/>
        <w:tblCellMar>
          <w:top w:w="0" w:type="dxa"/>
          <w:left w:w="0" w:type="dxa"/>
          <w:bottom w:w="0" w:type="dxa"/>
          <w:right w:w="0" w:type="dxa"/>
        </w:tblCellMar>
      </w:tblPr>
      <w:tblGrid>
        <w:gridCol w:w="331"/>
        <w:gridCol w:w="955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(8)</w:t>
            </w:r>
          </w:p>
        </w:tc>
        <w:tc>
          <w:tcPr>
            <w:tcW w:w="95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Capital expenditures exclude accrued capital expenditures of $3.8</w:t>
            </w:r>
            <w:r>
              <w:rPr>
                <w:caps w:val="false"/>
                <w:smallCaps w:val="false"/>
              </w:rPr>
              <w:t> </w:t>
            </w:r>
            <w:r>
              <w:rPr>
                <w:rFonts w:ascii="Times New Roman;Times;serif" w:hAnsi="Times New Roman;Times;serif"/>
                <w:b w:val="false"/>
                <w:i w:val="false"/>
                <w:caps w:val="false"/>
                <w:smallCaps w:val="false"/>
                <w:sz w:val="16"/>
              </w:rPr>
              <w:t>million and $4.0</w:t>
            </w:r>
            <w:r>
              <w:rPr>
                <w:caps w:val="false"/>
                <w:smallCaps w:val="false"/>
              </w:rPr>
              <w:t> </w:t>
            </w:r>
            <w:r>
              <w:rPr>
                <w:rFonts w:ascii="Times New Roman;Times;serif" w:hAnsi="Times New Roman;Times;serif"/>
                <w:b w:val="false"/>
                <w:i w:val="false"/>
                <w:caps w:val="false"/>
                <w:smallCaps w:val="false"/>
                <w:sz w:val="16"/>
              </w:rPr>
              <w:t>million as of June 30, 2026 and 2025, respectively.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Transportation’s operating expenses includes the following:</w:t>
      </w:r>
    </w:p>
    <w:tbl>
      <w:tblPr>
        <w:tblW w:w="2522" w:type="dxa"/>
        <w:jc w:val="left"/>
        <w:tblInd w:w="0" w:type="dxa"/>
        <w:tblLayout w:type="fixed"/>
        <w:tblCellMar>
          <w:top w:w="0" w:type="dxa"/>
          <w:left w:w="0" w:type="dxa"/>
          <w:bottom w:w="0" w:type="dxa"/>
          <w:right w:w="0" w:type="dxa"/>
        </w:tblCellMar>
      </w:tblPr>
      <w:tblGrid>
        <w:gridCol w:w="271"/>
        <w:gridCol w:w="2251"/>
      </w:tblGrid>
      <w:tr>
        <w:trPr/>
        <w:tc>
          <w:tcPr>
            <w:tcW w:w="271" w:type="dxa"/>
            <w:tcBorders/>
            <w:vAlign w:val="center"/>
          </w:tcPr>
          <w:p>
            <w:pPr>
              <w:pStyle w:val="TableContents"/>
              <w:bidi w:val="0"/>
              <w:spacing w:before="0" w:after="283"/>
              <w:jc w:val="left"/>
              <w:rPr/>
            </w:pPr>
            <w:r>
              <w:rPr/>
              <w:t>●</w:t>
            </w:r>
          </w:p>
        </w:tc>
        <w:tc>
          <w:tcPr>
            <w:tcW w:w="2251" w:type="dxa"/>
            <w:tcBorders/>
            <w:vAlign w:val="center"/>
          </w:tcPr>
          <w:p>
            <w:pPr>
              <w:pStyle w:val="TableContents"/>
              <w:bidi w:val="0"/>
              <w:spacing w:before="0" w:after="283"/>
              <w:jc w:val="left"/>
              <w:rPr/>
            </w:pPr>
            <w:r>
              <w:rPr>
                <w:rFonts w:ascii="Times New Roman;Times;serif" w:hAnsi="Times New Roman;Times;serif"/>
                <w:b w:val="false"/>
                <w:i/>
                <w:sz w:val="20"/>
              </w:rPr>
              <w:t>Operating costs</w:t>
            </w:r>
            <w:r>
              <w:rPr>
                <w:caps w:val="false"/>
                <w:smallCaps w:val="false"/>
              </w:rPr>
              <w:t xml:space="preserve"> </w:t>
            </w:r>
            <w:r>
              <w:rPr>
                <w:rFonts w:ascii="Times New Roman;Times;serif" w:hAnsi="Times New Roman;Times;serif"/>
                <w:b w:val="false"/>
                <w:i w:val="false"/>
                <w:caps w:val="false"/>
                <w:smallCaps w:val="false"/>
                <w:sz w:val="20"/>
              </w:rPr>
              <w:t>includes: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Direct Cargo Expense</w:t>
            </w:r>
            <w:r>
              <w:rPr>
                <w:caps w:val="false"/>
                <w:smallCaps w:val="false"/>
              </w:rPr>
              <w:t xml:space="preserve"> </w:t>
            </w:r>
            <w:r>
              <w:rPr>
                <w:rFonts w:ascii="Times New Roman;Times;serif" w:hAnsi="Times New Roman;Times;serif"/>
                <w:b w:val="false"/>
                <w:i w:val="false"/>
                <w:caps w:val="false"/>
                <w:smallCaps w:val="false"/>
                <w:sz w:val="20"/>
              </w:rPr>
              <w:t>includes terminal handling costs including labor, stevedoring and wharfage, outside purchased transportation and other related costs.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Vessel Operating Expense</w:t>
            </w:r>
            <w:r>
              <w:rPr>
                <w:caps w:val="false"/>
                <w:smallCaps w:val="false"/>
              </w:rPr>
              <w:t xml:space="preserve"> </w:t>
            </w:r>
            <w:r>
              <w:rPr>
                <w:rFonts w:ascii="Times New Roman;Times;serif" w:hAnsi="Times New Roman;Times;serif"/>
                <w:b w:val="false"/>
                <w:i w:val="false"/>
                <w:caps w:val="false"/>
                <w:smallCaps w:val="false"/>
                <w:sz w:val="20"/>
              </w:rPr>
              <w:t>includes crew wages and related costs; fuel; pilots, tugs, lines and related costs; vessel charter expenses; and other vessel operating related expenses.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Operating Overhead Expense</w:t>
            </w:r>
            <w:r>
              <w:rPr>
                <w:caps w:val="false"/>
                <w:smallCaps w:val="false"/>
              </w:rPr>
              <w:t xml:space="preserve"> </w:t>
            </w:r>
            <w:r>
              <w:rPr>
                <w:rFonts w:ascii="Times New Roman;Times;serif" w:hAnsi="Times New Roman;Times;serif"/>
                <w:b w:val="false"/>
                <w:i w:val="false"/>
                <w:caps w:val="false"/>
                <w:smallCaps w:val="false"/>
                <w:sz w:val="20"/>
              </w:rPr>
              <w:t>includes vessel repair and maintenance costs, inactive vessel costs, dry-docking amortization, equipment lease costs, equipment repair costs, insurance, port engineers and other maintenance costs, other vessel and shoreside related overhead and other indirect costs.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Depreciation and Amortization Expense</w:t>
            </w:r>
            <w:r>
              <w:rPr>
                <w:caps w:val="false"/>
                <w:smallCaps w:val="false"/>
              </w:rPr>
              <w:t xml:space="preserve"> </w:t>
            </w:r>
            <w:r>
              <w:rPr>
                <w:rFonts w:ascii="Times New Roman;Times;serif" w:hAnsi="Times New Roman;Times;serif"/>
                <w:b w:val="false"/>
                <w:i w:val="false"/>
                <w:caps w:val="false"/>
                <w:smallCaps w:val="false"/>
                <w:sz w:val="20"/>
              </w:rPr>
              <w:t xml:space="preserve">includes depreciation of property and equipment and amortization of intangible assets.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Income from SSAT</w:t>
            </w:r>
            <w:r>
              <w:rPr>
                <w:caps w:val="false"/>
                <w:smallCaps w:val="false"/>
              </w:rPr>
              <w:t xml:space="preserve"> </w:t>
            </w:r>
            <w:r>
              <w:rPr>
                <w:rFonts w:ascii="Times New Roman;Times;serif" w:hAnsi="Times New Roman;Times;serif"/>
                <w:b w:val="false"/>
                <w:i w:val="false"/>
                <w:caps w:val="false"/>
                <w:smallCaps w:val="false"/>
                <w:sz w:val="20"/>
              </w:rPr>
              <w:t>includes the Company’s share of income from its equity investment in SSAT and has been aggregated into the Ocean Transportation segment due to the operations of SSAT being an integral part of the Company’s Ocean Transportation business (see Note 4).</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General and Administrative Expense</w:t>
            </w:r>
            <w:r>
              <w:rPr>
                <w:caps w:val="false"/>
                <w:smallCaps w:val="false"/>
              </w:rPr>
              <w:t xml:space="preserve"> </w:t>
            </w:r>
            <w:r>
              <w:rPr>
                <w:rFonts w:ascii="Times New Roman;Times;serif" w:hAnsi="Times New Roman;Times;serif"/>
                <w:b w:val="false"/>
                <w:i w:val="false"/>
                <w:caps w:val="false"/>
                <w:smallCaps w:val="false"/>
                <w:sz w:val="20"/>
              </w:rPr>
              <w:t xml:space="preserve">includes employee salaries, wages and other related costs, equipment maintenance, computer hardware and software, professional fees and other general and administrative expenses.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operating expenses includes the following:</w:t>
      </w:r>
    </w:p>
    <w:tbl>
      <w:tblPr>
        <w:tblW w:w="2507" w:type="dxa"/>
        <w:jc w:val="left"/>
        <w:tblInd w:w="0" w:type="dxa"/>
        <w:tblLayout w:type="fixed"/>
        <w:tblCellMar>
          <w:top w:w="0" w:type="dxa"/>
          <w:left w:w="0" w:type="dxa"/>
          <w:bottom w:w="0" w:type="dxa"/>
          <w:right w:w="0" w:type="dxa"/>
        </w:tblCellMar>
      </w:tblPr>
      <w:tblGrid>
        <w:gridCol w:w="271"/>
        <w:gridCol w:w="2236"/>
      </w:tblGrid>
      <w:tr>
        <w:trPr/>
        <w:tc>
          <w:tcPr>
            <w:tcW w:w="271" w:type="dxa"/>
            <w:tcBorders/>
            <w:vAlign w:val="center"/>
          </w:tcPr>
          <w:p>
            <w:pPr>
              <w:pStyle w:val="TableContents"/>
              <w:bidi w:val="0"/>
              <w:spacing w:before="0" w:after="283"/>
              <w:jc w:val="left"/>
              <w:rPr/>
            </w:pPr>
            <w:r>
              <w:rPr/>
              <w:t>●</w:t>
            </w:r>
          </w:p>
        </w:tc>
        <w:tc>
          <w:tcPr>
            <w:tcW w:w="2236" w:type="dxa"/>
            <w:tcBorders/>
            <w:vAlign w:val="center"/>
          </w:tcPr>
          <w:p>
            <w:pPr>
              <w:pStyle w:val="TableContents"/>
              <w:bidi w:val="0"/>
              <w:spacing w:before="0" w:after="283"/>
              <w:jc w:val="left"/>
              <w:rPr/>
            </w:pPr>
            <w:r>
              <w:rPr>
                <w:rFonts w:ascii="Times New Roman;Times;serif" w:hAnsi="Times New Roman;Times;serif"/>
                <w:b w:val="false"/>
                <w:i/>
                <w:sz w:val="20"/>
              </w:rPr>
              <w:t xml:space="preserve">Operating costs </w:t>
            </w:r>
            <w:r>
              <w:rPr>
                <w:rFonts w:ascii="Times New Roman;Times;serif" w:hAnsi="Times New Roman;Times;serif"/>
                <w:b w:val="false"/>
                <w:i w:val="false"/>
                <w:caps w:val="false"/>
                <w:smallCaps w:val="false"/>
                <w:sz w:val="20"/>
              </w:rPr>
              <w:t>includes: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Direct Operating Expense </w:t>
            </w:r>
            <w:r>
              <w:rPr>
                <w:rFonts w:ascii="Times New Roman;Times;serif" w:hAnsi="Times New Roman;Times;serif"/>
                <w:b w:val="false"/>
                <w:i w:val="false"/>
                <w:caps w:val="false"/>
                <w:smallCaps w:val="false"/>
                <w:sz w:val="20"/>
              </w:rPr>
              <w:t>includes transportation costs, transportation brokerage expenses, agency commissions, leases of warehouses, cross-dock and other facility operating costs, wages and other related costs, and other operating overhead.</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Depreciation and Amortization Expense</w:t>
            </w:r>
            <w:r>
              <w:rPr>
                <w:caps w:val="false"/>
                <w:smallCaps w:val="false"/>
              </w:rPr>
              <w:t xml:space="preserve"> </w:t>
            </w:r>
            <w:r>
              <w:rPr>
                <w:rFonts w:ascii="Times New Roman;Times;serif" w:hAnsi="Times New Roman;Times;serif"/>
                <w:b w:val="false"/>
                <w:i w:val="false"/>
                <w:caps w:val="false"/>
                <w:smallCaps w:val="false"/>
                <w:sz w:val="20"/>
              </w:rPr>
              <w:t xml:space="preserve">includes depreciation of property and equipment and amortization of intangible assets.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General and Administrative Expense</w:t>
            </w:r>
            <w:r>
              <w:rPr>
                <w:caps w:val="false"/>
                <w:smallCaps w:val="false"/>
              </w:rPr>
              <w:t xml:space="preserve"> </w:t>
            </w:r>
            <w:r>
              <w:rPr>
                <w:rFonts w:ascii="Times New Roman;Times;serif" w:hAnsi="Times New Roman;Times;serif"/>
                <w:b w:val="false"/>
                <w:i w:val="false"/>
                <w:caps w:val="false"/>
                <w:smallCaps w:val="false"/>
                <w:sz w:val="20"/>
              </w:rPr>
              <w:t>includes employee salaries, wages and other related costs, computer hardware and software, professional fees and other general and administrative expenses.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Ocean Transportation segment provides ocean transportation services to the Logistics segment, and the Logistics segment provides logistics services to the Ocean Transportation segment in certain transactions. Accordingly, inter-segment revenue of $72.3 million and $62.5 million for the </w:t>
      </w:r>
      <w:r>
        <w:rPr>
          <w:rFonts w:ascii="Times New Roman;Times;serif" w:hAnsi="Times New Roman;Times;serif"/>
          <w:sz w:val="20"/>
          <w:shd w:fill="FFFFFF" w:val="clear"/>
        </w:rPr>
        <w:t>three months</w:t>
      </w:r>
      <w:r>
        <w:rPr>
          <w:rFonts w:ascii="Times New Roman;Times;serif" w:hAnsi="Times New Roman;Times;serif"/>
          <w:sz w:val="20"/>
        </w:rPr>
        <w:t xml:space="preserve"> ended </w:t>
      </w:r>
      <w:r>
        <w:rPr>
          <w:rFonts w:ascii="Times New Roman;Times;serif" w:hAnsi="Times New Roman;Times;serif"/>
          <w:sz w:val="20"/>
          <w:shd w:fill="FFFFFF" w:val="clear"/>
        </w:rPr>
        <w:t>June 30, 2026</w:t>
      </w:r>
      <w:r>
        <w:rPr>
          <w:rFonts w:ascii="Times New Roman;Times;serif" w:hAnsi="Times New Roman;Times;serif"/>
          <w:sz w:val="20"/>
        </w:rPr>
        <w:t xml:space="preserve"> and 2025, and $119.9 million and $116.5 million for the six months ended June 30, 2026 and 2025, respectively, have been eliminated from consolidated operating revenues. In arrangements where the customer purchases ocean transportation and logistics services, the revenues are allocated to each reportable segment based upon the contractual amounts for each type of service.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865" w:name="Tc_BegqMqPa_0q8R9LAosXI9A_8_11"/>
      <w:bookmarkStart w:id="866" w:name="Tc_rzYdLd21FkugEsarOqEjNg_8_8"/>
      <w:bookmarkStart w:id="867" w:name="Tc_1_SYwya9q0aJhef5S7-Y8w_8_5"/>
      <w:bookmarkStart w:id="868" w:name="Tc_h8PA8XzTUkav2Q5eERu59A_8_2"/>
      <w:bookmarkStart w:id="869" w:name="Tc_SkcUms24bUSuN7_W4F1lGw_8_0"/>
      <w:bookmarkStart w:id="870" w:name="Tc_bBb-r3v_sEuYwKFinE4vXQ_7_11"/>
      <w:bookmarkStart w:id="871" w:name="Tc_POBZSAeEJUOxHfFdEHfu5A_7_8"/>
      <w:bookmarkStart w:id="872" w:name="Tc_t-Ecf1zllEWiFg1dqPrIlg_7_5"/>
      <w:bookmarkStart w:id="873" w:name="Tc_pH6A028Dz025qHyVo7JsXg_7_2"/>
      <w:bookmarkStart w:id="874" w:name="Tc_dB19kbR7xUKW5H52h9o_cw_7_0"/>
      <w:bookmarkStart w:id="875" w:name="Tc_T-faj609Nk2uS9W8IsFvOQ_6_0"/>
      <w:bookmarkStart w:id="876" w:name="Tc_lvx56yaQHUeXSoVQ8bAL-Q_5_0"/>
      <w:bookmarkStart w:id="877" w:name="Tc_isOc0lWrM0mBcJVaPzBKow_4_11"/>
      <w:bookmarkStart w:id="878" w:name="Tc_dTrTegWrtUuGt_X_mcXdrA_4_8"/>
      <w:bookmarkStart w:id="879" w:name="Tc_Tae2mpngd0epxDJQEqcjnQ_4_5"/>
      <w:bookmarkStart w:id="880" w:name="Tc_3d9mU91vEUqHHZiKE4NBKA_4_2"/>
      <w:bookmarkStart w:id="881" w:name="Tc_-4O3Ijc8uUq3EXTnQW65Yw_4_0"/>
      <w:bookmarkStart w:id="882" w:name="Tc_7zrHOTBIZ0OkyT2Ugbb8FA_3_11"/>
      <w:bookmarkStart w:id="883" w:name="Tc_WOILazvLw0yJB-Pyys0umQ_3_8"/>
      <w:bookmarkStart w:id="884" w:name="Tc_XaadqM5zo0-Ze5lW4MshLg_3_5"/>
      <w:bookmarkStart w:id="885" w:name="Tc_EBU_lPJ_IkemBfyCokhiNA_3_2"/>
      <w:bookmarkStart w:id="886" w:name="Tc_ERwuDQVrD0KoswpsSJTmSg_3_0"/>
      <w:bookmarkStart w:id="887" w:name="Tc_GnQd23MK3kyUICrSzDxn2g_2_8"/>
      <w:bookmarkStart w:id="888" w:name="Tc_dGqhyjfSFk-FxbqRk_Z-Zw_2_2"/>
      <w:bookmarkStart w:id="889" w:name="Tc_3xQE7hTRqEWzRZAvQiuQQA_1_8"/>
      <w:bookmarkStart w:id="890" w:name="Tc_5cc9lQCfa0-pNusv6Jtejw_1_2"/>
      <w:bookmarkStart w:id="891" w:name="_6be2f3e3_8a73_4a6a_b649_0cc3ac0f7e09"/>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r>
        <w:rPr>
          <w:rFonts w:ascii="Times New Roman;Times;serif" w:hAnsi="Times New Roman;Times;serif"/>
          <w:b/>
          <w:sz w:val="20"/>
        </w:rPr>
        <w:t>4.          INVESTMENT IN SSAT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investment in SSAT is described in Note 4 to the Consolidated Financial Statements included in Part II, Item 8 of the Company’s Annual Report on Form 10-K for the year ended December 31, 2025. Condensed income statement information for SSAT for the three and six months ended June 30, 2026 and 2025 consisted of the following:</w:t>
      </w:r>
    </w:p>
    <w:p>
      <w:pPr>
        <w:pStyle w:val="TextBody"/>
        <w:bidi w:val="0"/>
        <w:spacing w:before="0" w:after="0"/>
        <w:ind w:left="0" w:right="0" w:hanging="0"/>
        <w:jc w:val="left"/>
        <w:rPr/>
      </w:pPr>
      <w:r>
        <w:rPr/>
        <w:t>​</w:t>
      </w:r>
    </w:p>
    <w:tbl>
      <w:tblPr>
        <w:tblW w:w="8392" w:type="dxa"/>
        <w:jc w:val="left"/>
        <w:tblInd w:w="0" w:type="dxa"/>
        <w:tblLayout w:type="fixed"/>
        <w:tblCellMar>
          <w:top w:w="0" w:type="dxa"/>
          <w:left w:w="0" w:type="dxa"/>
          <w:bottom w:w="0" w:type="dxa"/>
          <w:right w:w="0" w:type="dxa"/>
        </w:tblCellMar>
      </w:tblPr>
      <w:tblGrid>
        <w:gridCol w:w="3646"/>
        <w:gridCol w:w="109"/>
        <w:gridCol w:w="211"/>
        <w:gridCol w:w="691"/>
        <w:gridCol w:w="346"/>
        <w:gridCol w:w="211"/>
        <w:gridCol w:w="691"/>
        <w:gridCol w:w="146"/>
        <w:gridCol w:w="211"/>
        <w:gridCol w:w="691"/>
        <w:gridCol w:w="346"/>
        <w:gridCol w:w="211"/>
        <w:gridCol w:w="691"/>
        <w:gridCol w:w="191"/>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315210" cy="175260"/>
                      <wp:effectExtent l="0" t="0" r="0" b="0"/>
                      <wp:wrapNone/>
                      <wp:docPr id="129" name="Frame129"/>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38785" cy="175260"/>
                      <wp:effectExtent l="0" t="0" r="0" b="0"/>
                      <wp:wrapNone/>
                      <wp:docPr id="132" name="Frame1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38785" cy="175260"/>
                      <wp:effectExtent l="0" t="0" r="0" b="0"/>
                      <wp:wrapNone/>
                      <wp:docPr id="135" name="Frame1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92710" cy="175260"/>
                      <wp:effectExtent l="0" t="0" r="0" b="0"/>
                      <wp:wrapNone/>
                      <wp:docPr id="136" name="Frame13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38785" cy="175260"/>
                      <wp:effectExtent l="0" t="0" r="0" b="0"/>
                      <wp:wrapNone/>
                      <wp:docPr id="138" name="Frame1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38785" cy="175260"/>
                      <wp:effectExtent l="0" t="0" r="0" b="0"/>
                      <wp:wrapNone/>
                      <wp:docPr id="141" name="Frame1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21285" cy="175260"/>
                      <wp:effectExtent l="0" t="0" r="0" b="0"/>
                      <wp:wrapNone/>
                      <wp:docPr id="142" name="Frame14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21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0"/>
              <w:ind w:left="0" w:right="0" w:hanging="0"/>
              <w:jc w:val="left"/>
              <w:rPr/>
            </w:pPr>
            <w:r>
              <w:rPr/>
              <w:t> </w:t>
            </w:r>
          </w:p>
        </w:tc>
        <w:tc>
          <w:tcPr>
            <w:tcW w:w="21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91" w:type="dxa"/>
            <w:tcBorders/>
            <w:vAlign w:val="center"/>
          </w:tcPr>
          <w:p>
            <w:pPr>
              <w:pStyle w:val="TableContents"/>
              <w:bidi w:val="0"/>
              <w:spacing w:before="0" w:after="0"/>
              <w:ind w:left="0" w:right="0" w:hanging="0"/>
              <w:jc w:val="left"/>
              <w:rPr/>
            </w:pPr>
            <w:r>
              <w:rPr/>
              <w:t> </w:t>
            </w:r>
          </w:p>
        </w:tc>
      </w:tr>
      <w:tr>
        <w:trPr/>
        <w:tc>
          <w:tcPr>
            <w:tcW w:w="36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 </w:t>
            </w:r>
          </w:p>
        </w:tc>
        <w:tc>
          <w:tcPr>
            <w:tcW w:w="21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91" w:type="dxa"/>
            <w:tcBorders/>
            <w:vAlign w:val="center"/>
          </w:tcPr>
          <w:p>
            <w:pPr>
              <w:pStyle w:val="TableContents"/>
              <w:bidi w:val="0"/>
              <w:spacing w:before="0" w:after="0"/>
              <w:ind w:left="0" w:right="0" w:hanging="0"/>
              <w:jc w:val="left"/>
              <w:rPr/>
            </w:pPr>
            <w:r>
              <w:rPr/>
              <w:t> </w:t>
            </w:r>
          </w:p>
        </w:tc>
      </w:tr>
      <w:tr>
        <w:trPr/>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rPr/>
            </w:pPr>
            <w:r>
              <w:rPr/>
              <w:t> </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(294.6)</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(592.1)</w:t>
            </w:r>
          </w:p>
        </w:tc>
        <w:tc>
          <w:tcPr>
            <w:tcW w:w="191"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SSAT’s Net Income (1)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191"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Company’s Share of SSAT’s Net Income (2)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9857" w:type="dxa"/>
        <w:jc w:val="left"/>
        <w:tblInd w:w="0" w:type="dxa"/>
        <w:tblLayout w:type="fixed"/>
        <w:tblCellMar>
          <w:top w:w="0" w:type="dxa"/>
          <w:left w:w="0" w:type="dxa"/>
          <w:bottom w:w="0" w:type="dxa"/>
          <w:right w:w="0" w:type="dxa"/>
        </w:tblCellMar>
      </w:tblPr>
      <w:tblGrid>
        <w:gridCol w:w="331"/>
        <w:gridCol w:w="952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5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income and losses from equity method investment held by SSAT less income and losses allocated to non-controlling interests. </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Company records its share of net income from SSAT in costs and expenses in the Condensed Consolidated Statement of Income and Comprehensive Income due to the nature of SSAT’s operations.</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investment in SSAT was $106.2 million and $96.2 million at June 30, 2026 and December 31, 2025, respectively.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892" w:name="Tc_b8ebzcxQtUeTw6lsanVoBQ_11_5"/>
      <w:bookmarkStart w:id="893" w:name="Tc_8SDYB3CfkUqPQrUBFWLRrw_11_2"/>
      <w:bookmarkStart w:id="894" w:name="Tc_zDIJfSsj5Uyi_ovqxghi4A_11_0"/>
      <w:bookmarkStart w:id="895" w:name="Tc_6gJUD6NQM0yV4Jg8o9uQhw_10_0"/>
      <w:bookmarkStart w:id="896" w:name="Tc_68LyQWxif021lqlYPu1zDA_9_0"/>
      <w:bookmarkStart w:id="897" w:name="Tc_QomanVQCJk6ge0uqpKx6sA_8_0"/>
      <w:bookmarkStart w:id="898" w:name="Tc_KwR6REAobUabuTlopnQSAA_7_0"/>
      <w:bookmarkStart w:id="899" w:name="Tc_dt4I5vAhe0ynXTyBn2D4Dg_6_0"/>
      <w:bookmarkStart w:id="900" w:name="Tc_07goTE3Q7kOKmsh8wWELdw_5_0"/>
      <w:bookmarkStart w:id="901" w:name="Tc_pgVmJWWDc0CzmVrRSdkUuA_4_5"/>
      <w:bookmarkStart w:id="902" w:name="Tc_2VHGiabgz0-0MT8U4VI9Nw_4_2"/>
      <w:bookmarkStart w:id="903" w:name="Tc_TjqIzlKP1UGEsowoEFYWuQ_4_0"/>
      <w:bookmarkStart w:id="904" w:name="Tc_HDZmIIzN5kaljCiz-mX8JA_3_0"/>
      <w:bookmarkStart w:id="905" w:name="Tc_rwXy8FEKJEC1XAeJZYGNwA_2_5"/>
      <w:bookmarkStart w:id="906" w:name="Tc_iU7he1DHJU-Wpxi9zFvDiw_2_2"/>
      <w:bookmarkStart w:id="907" w:name="Tc_nKa1yTXcN0eOOTsjkOYqhQ_2_0"/>
      <w:bookmarkStart w:id="908" w:name="Tc_WTJHrVft00-TbreG_IFjaA_1_5"/>
      <w:bookmarkStart w:id="909" w:name="Tc_1m1Fioh3mkmBfSq9Wp8gkg_1_2"/>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r>
        <w:rPr>
          <w:rFonts w:ascii="Times New Roman;Times;serif" w:hAnsi="Times New Roman;Times;serif"/>
          <w:b/>
          <w:sz w:val="20"/>
        </w:rPr>
        <w:t>5.          PROPERTY AND EQUIPMENT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as of June 30, 2026 and December 31, 2025 consisted of the following:</w:t>
      </w:r>
    </w:p>
    <w:p>
      <w:pPr>
        <w:pStyle w:val="TextBody"/>
        <w:bidi w:val="0"/>
        <w:spacing w:before="0" w:after="0"/>
        <w:ind w:left="0" w:right="0" w:hanging="0"/>
        <w:jc w:val="left"/>
        <w:rPr/>
      </w:pPr>
      <w:r>
        <w:rPr/>
        <w:t>​</w:t>
      </w:r>
    </w:p>
    <w:tbl>
      <w:tblPr>
        <w:tblW w:w="6245" w:type="dxa"/>
        <w:jc w:val="left"/>
        <w:tblInd w:w="0" w:type="dxa"/>
        <w:tblLayout w:type="fixed"/>
        <w:tblCellMar>
          <w:top w:w="0" w:type="dxa"/>
          <w:left w:w="0" w:type="dxa"/>
          <w:bottom w:w="0" w:type="dxa"/>
          <w:right w:w="0" w:type="dxa"/>
        </w:tblCellMar>
      </w:tblPr>
      <w:tblGrid>
        <w:gridCol w:w="3316"/>
        <w:gridCol w:w="346"/>
        <w:gridCol w:w="211"/>
        <w:gridCol w:w="841"/>
        <w:gridCol w:w="346"/>
        <w:gridCol w:w="228"/>
        <w:gridCol w:w="957"/>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05660" cy="175260"/>
                      <wp:effectExtent l="0" t="0" r="0" b="0"/>
                      <wp:wrapNone/>
                      <wp:docPr id="143" name="Frame143"/>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34035" cy="175260"/>
                      <wp:effectExtent l="0" t="0" r="0" b="0"/>
                      <wp:wrapNone/>
                      <wp:docPr id="146" name="Frame14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44780" cy="175260"/>
                      <wp:effectExtent l="0" t="0" r="0" b="0"/>
                      <wp:wrapNone/>
                      <wp:docPr id="148" name="Frame14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07695" cy="175260"/>
                      <wp:effectExtent l="0" t="0" r="0" b="0"/>
                      <wp:wrapNone/>
                      <wp:docPr id="149" name="Frame149"/>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3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957" w:type="dxa"/>
            <w:tcBorders/>
            <w:shd w:fill="CCEEFF" w:val="clear"/>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2,423.6</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2,405.0</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Containers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974.6</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943.0</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equipment and other property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construction in progress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643.0</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443.2</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construction in progress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4,256.4</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4,007.0</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(1,576.1)</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(1,507.6)</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2,680.3</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2,499.4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construction in progress at June 30, 2026 and December 31, 2025 includes milestone progress payments, capitalized interest and other costs related to the construction of three new vessels. Delivery of the vessels are expected during the first quarter 2027, the third quarter 2027 and the second quarter 2028.</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910" w:name="Tc_il4mbfhPg0CHExgBTEr9AA_10_5"/>
      <w:bookmarkStart w:id="911" w:name="Tc_vbuMCro_WU6cI2hNbI8cfw_10_2"/>
      <w:bookmarkStart w:id="912" w:name="Tc_K3EN3rQdAkGb9WbruVv1nA_10_0"/>
      <w:bookmarkStart w:id="913" w:name="Tc_E3s-F7m1yk66itjb0CWeyQ_9_0"/>
      <w:bookmarkStart w:id="914" w:name="Tc_TM-poKq9uEWCYZ7MfDu_Cw_8_0"/>
      <w:bookmarkStart w:id="915" w:name="Tc_E-9Itcn39U2Df18p0ybj0g_7_0"/>
      <w:bookmarkStart w:id="916" w:name="Tc_LUTQhQB9BUKy_JfzWRs1SQ_6_0"/>
      <w:bookmarkStart w:id="917" w:name="Tc_gIbDdgODPUy3lJQSUD8gIA_5_0"/>
      <w:bookmarkStart w:id="918" w:name="Tc_qUM8YR78Qkav1i8-4sWh7A_4_5"/>
      <w:bookmarkStart w:id="919" w:name="Tc_Rx0J9hRtQE2htCylDUs0eg_4_2"/>
      <w:bookmarkStart w:id="920" w:name="Tc_iHvXTkfLkE2R-2a2OViNhg_4_0"/>
      <w:bookmarkStart w:id="921" w:name="Tc_pV2WG7c5sEi-FIbR7bO45Q_3_0"/>
      <w:bookmarkStart w:id="922" w:name="Tc_v9h7cx9D_Ui_mwIGPV2vTA_2_5"/>
      <w:bookmarkStart w:id="923" w:name="Tc_pKBDA46BiUGc_r3ZtBwECw_2_2"/>
      <w:bookmarkStart w:id="924" w:name="Tc_fOcdMcVFmkiE1b9q6RkCyg_2_0"/>
      <w:bookmarkStart w:id="925" w:name="Tc_jrcu6cbKAUiSaIY8OovwZw_1_5"/>
      <w:bookmarkStart w:id="926" w:name="Tc_46s-t250Dkqep2fCgUAGAQ_1_2"/>
      <w:bookmarkStart w:id="927" w:name="Tc_-KImjeXNNkCC1SG8-Z28Qw_4_18"/>
      <w:bookmarkStart w:id="928" w:name="Tc_a7qqv4TP602Gg7HN4iDmcg_4_15"/>
      <w:bookmarkStart w:id="929" w:name="Tc_59BrLqJo7UWM3jUtzQ2yXw_4_12"/>
      <w:bookmarkStart w:id="930" w:name="Tc_IUjOps2_PkCjak549A0FXA_4_8"/>
      <w:bookmarkStart w:id="931" w:name="Tc_5xQDtZW860etDCZ1fNR_0g_4_5"/>
      <w:bookmarkStart w:id="932" w:name="Tc_h0KaP1b5q0S9Pqr023hRUg_4_2"/>
      <w:bookmarkStart w:id="933" w:name="Tc__uB6OZvIqEOceHQ8wWiMJw_4_0"/>
      <w:bookmarkStart w:id="934" w:name="Tc_ukD6KMFnIkKuQ_djiksIvQ_3_18"/>
      <w:bookmarkStart w:id="935" w:name="Tc_-4eEhh4NzUqoPdzrEKL6Hw_3_15"/>
      <w:bookmarkStart w:id="936" w:name="Tc_keBoUM4bS0C2OvMLJOmUUA_3_12"/>
      <w:bookmarkStart w:id="937" w:name="Tc_Ty_EXpwsk0Oc9Dwfayhyug_3_8"/>
      <w:bookmarkStart w:id="938" w:name="Tc_ImFSepRlGE6SfG1S-K5k3w_3_5"/>
      <w:bookmarkStart w:id="939" w:name="Tc_G9du3H2V6E-aMcjupfKfwQ_3_2"/>
      <w:bookmarkStart w:id="940" w:name="Tc_wFj2V9HUJEiIokS4phWGLA_3_0"/>
      <w:bookmarkStart w:id="941" w:name="Tc_GFYjj-laH0W8DcdO5rp_xg_2_12"/>
      <w:bookmarkStart w:id="942" w:name="Tc_Og0O9vYh-US7GGfqRTnwIw_2_2"/>
      <w:bookmarkStart w:id="943" w:name="Tc_jlWPrlndSUO05ptA2aV6PA_1_12"/>
      <w:bookmarkStart w:id="944" w:name="Tc_H2P4NAEIeUmmIjATX-DpYw_1_2"/>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r>
        <w:rPr>
          <w:rFonts w:ascii="Times New Roman;Times;serif" w:hAnsi="Times New Roman;Times;serif"/>
          <w:b/>
          <w:sz w:val="20"/>
        </w:rPr>
        <w:t>6.          GOODWILL AND INTANGIBLES</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goodwill and intangibles are described in Note 6 to the Consolidated Financial Statements included in Part II, Item 8 of the Company’s Annual Report on Form 10-K for the year ended December 31, 2025. Goodwill by reportable segment as of June 30, 2026 and December 31, 2025 consisted of the following:</w:t>
      </w:r>
    </w:p>
    <w:p>
      <w:pPr>
        <w:pStyle w:val="TextBody"/>
        <w:bidi w:val="0"/>
        <w:spacing w:before="0" w:after="0"/>
        <w:ind w:left="0" w:right="0" w:hanging="0"/>
        <w:jc w:val="left"/>
        <w:rPr/>
      </w:pPr>
      <w:r>
        <w:rPr/>
        <w:t>​</w:t>
      </w:r>
    </w:p>
    <w:tbl>
      <w:tblPr>
        <w:tblW w:w="8878" w:type="dxa"/>
        <w:jc w:val="left"/>
        <w:tblInd w:w="0" w:type="dxa"/>
        <w:tblLayout w:type="fixed"/>
        <w:tblCellMar>
          <w:top w:w="0" w:type="dxa"/>
          <w:left w:w="0" w:type="dxa"/>
          <w:bottom w:w="0" w:type="dxa"/>
          <w:right w:w="0" w:type="dxa"/>
        </w:tblCellMar>
      </w:tblPr>
      <w:tblGrid>
        <w:gridCol w:w="991"/>
        <w:gridCol w:w="346"/>
        <w:gridCol w:w="328"/>
        <w:gridCol w:w="888"/>
        <w:gridCol w:w="346"/>
        <w:gridCol w:w="211"/>
        <w:gridCol w:w="571"/>
        <w:gridCol w:w="346"/>
        <w:gridCol w:w="211"/>
        <w:gridCol w:w="571"/>
        <w:gridCol w:w="146"/>
        <w:gridCol w:w="346"/>
        <w:gridCol w:w="328"/>
        <w:gridCol w:w="888"/>
        <w:gridCol w:w="346"/>
        <w:gridCol w:w="211"/>
        <w:gridCol w:w="571"/>
        <w:gridCol w:w="346"/>
        <w:gridCol w:w="211"/>
        <w:gridCol w:w="676"/>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29285" cy="175260"/>
                      <wp:effectExtent l="0" t="0" r="0" b="0"/>
                      <wp:wrapNone/>
                      <wp:docPr id="150" name="Frame15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8280" cy="175260"/>
                      <wp:effectExtent l="0" t="0" r="0" b="0"/>
                      <wp:wrapNone/>
                      <wp:docPr id="152" name="Frame152"/>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63880" cy="175260"/>
                      <wp:effectExtent l="0" t="0" r="0" b="0"/>
                      <wp:wrapNone/>
                      <wp:docPr id="153" name="Frame153"/>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62585" cy="175260"/>
                      <wp:effectExtent l="0" t="0" r="0" b="0"/>
                      <wp:wrapNone/>
                      <wp:docPr id="156" name="Frame15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62585" cy="175260"/>
                      <wp:effectExtent l="0" t="0" r="0" b="0"/>
                      <wp:wrapNone/>
                      <wp:docPr id="159" name="Frame15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92710" cy="175260"/>
                      <wp:effectExtent l="0" t="0" r="0" b="0"/>
                      <wp:wrapNone/>
                      <wp:docPr id="160" name="Frame16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8280" cy="175260"/>
                      <wp:effectExtent l="0" t="0" r="0" b="0"/>
                      <wp:wrapNone/>
                      <wp:docPr id="162" name="Frame162"/>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63880" cy="175260"/>
                      <wp:effectExtent l="0" t="0" r="0" b="0"/>
                      <wp:wrapNone/>
                      <wp:docPr id="163" name="Frame163"/>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62585" cy="175260"/>
                      <wp:effectExtent l="0" t="0" r="0" b="0"/>
                      <wp:wrapNone/>
                      <wp:docPr id="166" name="Frame16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29260" cy="175260"/>
                      <wp:effectExtent l="0" t="0" r="0" b="0"/>
                      <wp:wrapNone/>
                      <wp:docPr id="169" name="Frame1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7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357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Ocean</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Ocean</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9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Transportation</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Logistics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Transportation</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Logistics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1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327.8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Intangible assets by reportable segment as of June 30, 2026 and December 31, 2025 consisted of the following: </w:t>
      </w:r>
    </w:p>
    <w:p>
      <w:pPr>
        <w:pStyle w:val="TextBody"/>
        <w:bidi w:val="0"/>
        <w:spacing w:lineRule="atLeast" w:line="200" w:before="0" w:after="0"/>
        <w:ind w:left="0" w:right="0" w:hanging="0"/>
        <w:jc w:val="left"/>
        <w:rPr/>
      </w:pPr>
      <w:r>
        <w:rPr/>
        <w:t>​</w:t>
      </w:r>
    </w:p>
    <w:tbl>
      <w:tblPr>
        <w:tblW w:w="5784" w:type="dxa"/>
        <w:jc w:val="left"/>
        <w:tblInd w:w="0" w:type="dxa"/>
        <w:tblLayout w:type="fixed"/>
        <w:tblCellMar>
          <w:top w:w="0" w:type="dxa"/>
          <w:left w:w="0" w:type="dxa"/>
          <w:bottom w:w="0" w:type="dxa"/>
          <w:right w:w="0" w:type="dxa"/>
        </w:tblCellMar>
      </w:tblPr>
      <w:tblGrid>
        <w:gridCol w:w="2896"/>
        <w:gridCol w:w="346"/>
        <w:gridCol w:w="211"/>
        <w:gridCol w:w="691"/>
        <w:gridCol w:w="346"/>
        <w:gridCol w:w="285"/>
        <w:gridCol w:w="855"/>
        <w:gridCol w:w="154"/>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838960" cy="175260"/>
                      <wp:effectExtent l="0" t="0" r="0" b="0"/>
                      <wp:wrapNone/>
                      <wp:docPr id="170" name="Frame170"/>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38785" cy="175260"/>
                      <wp:effectExtent l="0" t="0" r="0" b="0"/>
                      <wp:wrapNone/>
                      <wp:docPr id="173" name="Frame17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80975" cy="175260"/>
                      <wp:effectExtent l="0" t="0" r="0" b="0"/>
                      <wp:wrapNone/>
                      <wp:docPr id="175" name="Frame175"/>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42925" cy="175260"/>
                      <wp:effectExtent l="0" t="0" r="0" b="0"/>
                      <wp:wrapNone/>
                      <wp:docPr id="176" name="Frame176"/>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97790" cy="175260"/>
                      <wp:effectExtent l="0" t="0" r="0" b="0"/>
                      <wp:wrapNone/>
                      <wp:docPr id="177" name="Frame17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855"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Customer Relationships,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name – Logistics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evaluates its goodwill and intangible assets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The Company considered the general economic and market conditions and its impact on the performance of each of the Company’s reporting units. Based on the Company’s assessment of its market capitalization, future forecasts and the amount of excess of fair value over the carrying value of the reporting units in the 2025 annual impairment tests, the Company concluded that an impairment triggering event did not occur during the three and six months ended June 30, 2026.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continues to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including the impact of tariffs. It is possible that future changes in such circumstances, including future changes in the assumptions and estimates used in assessing the fair value of the reporting unit, could require the Company to record a non-cash impairment charge.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945" w:name="Tc_66ZLiEWF2kyVQbGh8cK9JQ_6_5"/>
      <w:bookmarkStart w:id="946" w:name="Tc_2Yz9kjsLwE2VjyH07ZiXnQ_6_2"/>
      <w:bookmarkStart w:id="947" w:name="Tc_Cl9RPiHHKUWTYvDadKppNA_6_0"/>
      <w:bookmarkStart w:id="948" w:name="Tc_XCKjcn0iBUeEt_d4lqGuTA_5_0"/>
      <w:bookmarkStart w:id="949" w:name="Tc_gr2O1OWyNEinBU2WfOCCCA_4_5"/>
      <w:bookmarkStart w:id="950" w:name="Tc_EBHQmfpk5kiqPeF9Ba7oTA_4_2"/>
      <w:bookmarkStart w:id="951" w:name="Tc_FeJhkRlW3kqdH_0tyhflHg_4_0"/>
      <w:bookmarkStart w:id="952" w:name="Tc_hbqLcjE6sEaFr_jZqy3H-g_3_5"/>
      <w:bookmarkStart w:id="953" w:name="Tc_WwJo1ydq70Ca5-XGastOBw_3_2"/>
      <w:bookmarkStart w:id="954" w:name="Tc_IRsLYNfm1UeTRvH21xKu_A_3_0"/>
      <w:bookmarkStart w:id="955" w:name="Tc_g1g-SEZQVUuVKcfRr3O_Eg_2_2"/>
      <w:bookmarkStart w:id="956" w:name="Tc_xts_XmXZ6E-WD5jqO6zgZw_1_2"/>
      <w:bookmarkStart w:id="957" w:name="Tc_RXsNjiLpK02paQrluP2eyg_17_5"/>
      <w:bookmarkStart w:id="958" w:name="Tc_AiWG7qxs4Uemskl9XYzx6Q_17_2"/>
      <w:bookmarkStart w:id="959" w:name="Tc_S2PV5Zy3t0eBLl-LGtcfqA_17_0"/>
      <w:bookmarkStart w:id="960" w:name="Tc_v98sU3GyYkGyrykZ5cUN0g_16_0"/>
      <w:bookmarkStart w:id="961" w:name="Tc_Rs3-UJmD1kmYEzAdolI5FQ_15_0"/>
      <w:bookmarkStart w:id="962" w:name="Tc_WRb3a2n9EUi7HpkzoRGbnQ_14_0"/>
      <w:bookmarkStart w:id="963" w:name="Tc_nxBazpGOEE62EmFCtSSpIQ_13_0"/>
      <w:bookmarkStart w:id="964" w:name="Tc_ioCh85Qj9U2SOe9YSjhcLQ_12_0"/>
      <w:bookmarkStart w:id="965" w:name="Tc_n1JXhphdJk6iYQ3xKyVBZw_10_0"/>
      <w:bookmarkStart w:id="966" w:name="Tc_jcKGbgkChUe7igmWjSwgow_9_0"/>
      <w:bookmarkStart w:id="967" w:name="Tc_MjsdPsioMky24_SBVKjtUw_8_0"/>
      <w:bookmarkStart w:id="968" w:name="Tc_IHtdPxiYKE-6ORkjLWURGw_7_0"/>
      <w:bookmarkStart w:id="969" w:name="Tc_CQ8O2siiR0CmMWJiHmALOw_6_0"/>
      <w:bookmarkStart w:id="970" w:name="Tc_I8VPNEUBDUeCuq4k6Xip-A_5_5"/>
      <w:bookmarkStart w:id="971" w:name="Tc_LOfppx9G3U6r8QuflFIxOA_5_2"/>
      <w:bookmarkStart w:id="972" w:name="Tc_HvLCc860DECXz0F3UZSz_Q_5_0"/>
      <w:bookmarkStart w:id="973" w:name="Tc_WxHOxUQ2mkelauH-J4gQqw_4_0"/>
      <w:bookmarkStart w:id="974" w:name="Tc_0ys0_ujigUKreVw331cNkA_3_5"/>
      <w:bookmarkStart w:id="975" w:name="Tc_CKx6jCgytEaIDceE4RhCpg_3_2"/>
      <w:bookmarkStart w:id="976" w:name="Tc_3AOqYNptL02KA8G27cYzpg_3_0"/>
      <w:bookmarkStart w:id="977" w:name="Tc_r384CVpwj02yVC4v3mJWoQ_2_2"/>
      <w:bookmarkStart w:id="978" w:name="Tc_T_dtEdNKBEOyWmOv_d3AEQ_1_2"/>
      <w:bookmarkStart w:id="979" w:name="_Hlk164156128"/>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r>
        <w:rPr>
          <w:rFonts w:ascii="Times New Roman;Times;serif" w:hAnsi="Times New Roman;Times;serif"/>
          <w:b/>
          <w:sz w:val="20"/>
        </w:rPr>
        <w:t>7.</w:t>
      </w:r>
      <w:r>
        <w:rPr>
          <w:rFonts w:ascii="Times New Roman;Times;serif" w:hAnsi="Times New Roman;Times;serif"/>
          <w:sz w:val="20"/>
        </w:rPr>
        <w:t>          </w:t>
      </w:r>
      <w:r>
        <w:rPr>
          <w:rFonts w:ascii="Times New Roman;Times;serif" w:hAnsi="Times New Roman;Times;serif"/>
          <w:b/>
          <w:sz w:val="20"/>
        </w:rPr>
        <w:t>CAPITAL CONSTRUCTION FUND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Capital Construction Fund (“CCF”) is described in Note 7 to the Consolidated Financial Statements included in Part II, Item 8 of the Company’s Annual Report on Form 10-K for the year ended December 31, 2025. A summary of the activities within the CCF cash and cash equivalents, and CCF investments account for the six months ended June 30, 2026 and 2025 consisted of the following:</w:t>
      </w:r>
    </w:p>
    <w:p>
      <w:pPr>
        <w:pStyle w:val="TextBody"/>
        <w:bidi w:val="0"/>
        <w:spacing w:before="0" w:after="0"/>
        <w:ind w:left="0" w:right="0" w:hanging="0"/>
        <w:jc w:val="left"/>
        <w:rPr/>
      </w:pPr>
      <w:r>
        <w:rPr/>
        <w:t>​</w:t>
      </w:r>
    </w:p>
    <w:tbl>
      <w:tblPr>
        <w:tblW w:w="8186" w:type="dxa"/>
        <w:jc w:val="left"/>
        <w:tblInd w:w="0" w:type="dxa"/>
        <w:tblLayout w:type="fixed"/>
        <w:tblCellMar>
          <w:top w:w="0" w:type="dxa"/>
          <w:left w:w="0" w:type="dxa"/>
          <w:bottom w:w="0" w:type="dxa"/>
          <w:right w:w="0" w:type="dxa"/>
        </w:tblCellMar>
      </w:tblPr>
      <w:tblGrid>
        <w:gridCol w:w="5686"/>
        <w:gridCol w:w="346"/>
        <w:gridCol w:w="196"/>
        <w:gridCol w:w="631"/>
        <w:gridCol w:w="346"/>
        <w:gridCol w:w="196"/>
        <w:gridCol w:w="631"/>
        <w:gridCol w:w="154"/>
      </w:tblGrid>
      <w:tr>
        <w:trPr/>
        <w:tc>
          <w:tcPr>
            <w:tcW w:w="5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610610" cy="175260"/>
                      <wp:effectExtent l="0" t="0" r="0" b="0"/>
                      <wp:wrapNone/>
                      <wp:docPr id="178" name="Frame178"/>
                      <a:graphic xmlns:a="http://schemas.openxmlformats.org/drawingml/2006/main">
                        <a:graphicData uri="http://schemas.microsoft.com/office/word/2010/wordprocessingShape">
                          <wps:wsp>
                            <wps:cNvSpPr txBox="1"/>
                            <wps:spPr>
                              <a:xfrm>
                                <a:off x="0" y="0"/>
                                <a:ext cx="3610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24460" cy="175260"/>
                      <wp:effectExtent l="0" t="0" r="0" b="0"/>
                      <wp:wrapNone/>
                      <wp:docPr id="180" name="Frame1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00685" cy="175260"/>
                      <wp:effectExtent l="0" t="0" r="0" b="0"/>
                      <wp:wrapNone/>
                      <wp:docPr id="181" name="Frame18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4460" cy="175260"/>
                      <wp:effectExtent l="0" t="0" r="0" b="0"/>
                      <wp:wrapNone/>
                      <wp:docPr id="183" name="Frame1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00685" cy="175260"/>
                      <wp:effectExtent l="0" t="0" r="0" b="0"/>
                      <wp:wrapNone/>
                      <wp:docPr id="184" name="Frame18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97790" cy="175260"/>
                      <wp:effectExtent l="0" t="0" r="0" b="0"/>
                      <wp:wrapNone/>
                      <wp:docPr id="185" name="Frame18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before="0" w:after="0"/>
              <w:ind w:left="0" w:right="0" w:hanging="0"/>
              <w:jc w:val="left"/>
              <w:rPr/>
            </w:pPr>
            <w:r>
              <w:rPr/>
              <w:t>​</w:t>
            </w:r>
          </w:p>
        </w:tc>
      </w:tr>
      <w:tr>
        <w:trPr/>
        <w:tc>
          <w:tcPr>
            <w:tcW w:w="56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cash and cash equivalents balance at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230.7</w:t>
            </w:r>
          </w:p>
        </w:tc>
        <w:tc>
          <w:tcPr>
            <w:tcW w:w="154"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U.S. Treasury debt securities at maturity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 on cash and cash equivalents, and CCF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c>
          <w:tcPr>
            <w:tcW w:w="154"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assigned 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Qualifying withdrawal payments for vessel construction expenditures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(100.7)</w:t>
            </w:r>
          </w:p>
        </w:tc>
        <w:tc>
          <w:tcPr>
            <w:tcW w:w="154"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CCF cash and cash equivalents balance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investments balance at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411.9</w:t>
            </w:r>
          </w:p>
        </w:tc>
        <w:tc>
          <w:tcPr>
            <w:tcW w:w="154"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 of U.S. Treasury debt securities at maturity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CCF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154"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CCF investments balance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CCF cash and cash equivalents, and investments balance at end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656.7</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CCF Cash and Cash Equivalents:</w:t>
      </w:r>
      <w:r>
        <w:rPr>
          <w:rFonts w:ascii="Times New Roman;Times;serif" w:hAnsi="Times New Roman;Times;serif"/>
          <w:sz w:val="20"/>
        </w:rPr>
        <w:t xml:space="preserve"> Cash on deposit in the CCF account is invested in a short-term U.S. Treasury obligations fund with daily liquidity. At June 30, 2026, these short-term securities had a weighted average life of </w:t>
      </w:r>
      <w:r>
        <w:rPr>
          <w:rFonts w:ascii="Times New Roman;Times;serif" w:hAnsi="Times New Roman;Times;serif"/>
          <w:b w:val="false"/>
          <w:i w:val="false"/>
          <w:caps w:val="false"/>
          <w:smallCaps w:val="false"/>
          <w:sz w:val="20"/>
        </w:rPr>
        <w:t>99 days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CCF Investments:</w:t>
      </w:r>
      <w:r>
        <w:rPr>
          <w:rFonts w:ascii="Times New Roman;Times;serif" w:hAnsi="Times New Roman;Times;serif"/>
          <w:sz w:val="20"/>
        </w:rPr>
        <w:t xml:space="preserve"> The cost of CCF investments accretes to face value on a straight-line basis until maturity. Such accretion is included in interest income in the Condensed Consolidated Statements of Income and Comprehensive Income.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CCF Maturities:</w:t>
      </w:r>
      <w:r>
        <w:rPr>
          <w:rFonts w:ascii="Times New Roman;Times;serif" w:hAnsi="Times New Roman;Times;serif"/>
          <w:sz w:val="20"/>
        </w:rPr>
        <w:t xml:space="preserve"> As of June 30, 2026, CCF investments maturities are as follows:</w:t>
      </w:r>
    </w:p>
    <w:p>
      <w:pPr>
        <w:pStyle w:val="TextBody"/>
        <w:bidi w:val="0"/>
        <w:spacing w:before="0" w:after="0"/>
        <w:ind w:left="0" w:right="0" w:hanging="0"/>
        <w:jc w:val="left"/>
        <w:rPr/>
      </w:pPr>
      <w:r>
        <w:rPr/>
        <w:t>​</w:t>
      </w:r>
    </w:p>
    <w:tbl>
      <w:tblPr>
        <w:tblW w:w="4272" w:type="dxa"/>
        <w:jc w:val="left"/>
        <w:tblInd w:w="0" w:type="dxa"/>
        <w:tblLayout w:type="fixed"/>
        <w:tblCellMar>
          <w:top w:w="0" w:type="dxa"/>
          <w:left w:w="0" w:type="dxa"/>
          <w:bottom w:w="0" w:type="dxa"/>
          <w:right w:w="0" w:type="dxa"/>
        </w:tblCellMar>
      </w:tblPr>
      <w:tblGrid>
        <w:gridCol w:w="1996"/>
        <w:gridCol w:w="346"/>
        <w:gridCol w:w="211"/>
        <w:gridCol w:w="571"/>
        <w:gridCol w:w="109"/>
        <w:gridCol w:w="239"/>
        <w:gridCol w:w="646"/>
        <w:gridCol w:w="154"/>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267460" cy="175260"/>
                      <wp:effectExtent l="0" t="0" r="0" b="0"/>
                      <wp:wrapNone/>
                      <wp:docPr id="186" name="Frame186"/>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62585" cy="175260"/>
                      <wp:effectExtent l="0" t="0" r="0" b="0"/>
                      <wp:wrapNone/>
                      <wp:docPr id="189" name="Frame1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90"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51765" cy="175260"/>
                      <wp:effectExtent l="0" t="0" r="0" b="0"/>
                      <wp:wrapNone/>
                      <wp:docPr id="191" name="Frame19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10210" cy="175260"/>
                      <wp:effectExtent l="0" t="0" r="0" b="0"/>
                      <wp:wrapNone/>
                      <wp:docPr id="192" name="Frame192"/>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97790" cy="175260"/>
                      <wp:effectExtent l="0" t="0" r="0" b="0"/>
                      <wp:wrapNone/>
                      <wp:docPr id="193" name="Frame19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7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154" w:type="dxa"/>
            <w:tcBorders/>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54" w:type="dxa"/>
            <w:tcBorders/>
            <w:vAlign w:val="center"/>
          </w:tcPr>
          <w:p>
            <w:pPr>
              <w:pStyle w:val="TableContents"/>
              <w:bidi w:val="0"/>
              <w:spacing w:before="0" w:after="0"/>
              <w:ind w:left="0" w:right="0" w:hanging="0"/>
              <w:jc w:val="left"/>
              <w:rPr/>
            </w:pPr>
            <w:r>
              <w:rPr/>
              <w:t>​</w:t>
            </w:r>
          </w:p>
        </w:tc>
      </w:tr>
      <w:tr>
        <w:trPr/>
        <w:tc>
          <w:tcPr>
            <w:tcW w:w="1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09" w:type="dxa"/>
            <w:tcBorders/>
            <w:vAlign w:val="center"/>
          </w:tcPr>
          <w:p>
            <w:pPr>
              <w:pStyle w:val="TableContents"/>
              <w:bidi w:val="0"/>
              <w:spacing w:before="0" w:after="0"/>
              <w:ind w:left="0" w:right="0" w:hanging="0"/>
              <w:jc w:val="left"/>
              <w:rPr/>
            </w:pPr>
            <w:r>
              <w:rPr/>
              <w:t>​</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54" w:type="dxa"/>
            <w:tcBorders/>
            <w:vAlign w:val="center"/>
          </w:tcPr>
          <w:p>
            <w:pPr>
              <w:pStyle w:val="TableContents"/>
              <w:bidi w:val="0"/>
              <w:spacing w:before="0" w:after="0"/>
              <w:ind w:left="0" w:right="0" w:hanging="0"/>
              <w:jc w:val="lef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154" w:type="dxa"/>
            <w:tcBorders/>
            <w:vAlign w:val="center"/>
          </w:tcPr>
          <w:p>
            <w:pPr>
              <w:pStyle w:val="TableContents"/>
              <w:bidi w:val="0"/>
              <w:spacing w:before="0" w:after="0"/>
              <w:ind w:left="0" w:right="0" w:hanging="0"/>
              <w:jc w:val="lef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CCF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cash and cash equivalents, and investments are classified as a long-term asset in the Company’s Condensed Consolidated Balance Sheets as the Company intends to use withdrawals to fund qualified milestone progress payments for the construction of three new vessels.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CCF Assigned Accounts Receivable:</w:t>
      </w:r>
      <w:r>
        <w:rPr>
          <w:rFonts w:ascii="Times New Roman;Times;serif" w:hAnsi="Times New Roman;Times;serif"/>
          <w:sz w:val="20"/>
        </w:rPr>
        <w:t xml:space="preserve"> As of June 30, 2026 and December 31, 2025, eligible accounts receivable of $82.3 million and $82.3 million were assigned to the CCF, respectively. Due to the nature of the assignment of eligible accounts receivable into the CCF, such assigned amounts are classified as part of accounts receivable in the Condensed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980" w:name="Tc_h--X6ZDTkUOICUTp9UQsGw_9_2"/>
      <w:bookmarkStart w:id="981" w:name="Tc_-bFmLO3OgEOjJT7KejA8eQ_9_0"/>
      <w:bookmarkStart w:id="982" w:name="Tc_kA6H0y32CEGlyDZhAhroug_8_0"/>
      <w:bookmarkStart w:id="983" w:name="Tc_Qgla9MhQ6UyWIbLeGaKMZw_7_0"/>
      <w:bookmarkStart w:id="984" w:name="Tc_s79BqTVCrkWo3rY6hof7ZQ_6_0"/>
      <w:bookmarkStart w:id="985" w:name="Tc_mGjqEBmUrkKgw9zZ1dpEWA_5_0"/>
      <w:bookmarkStart w:id="986" w:name="Tc_Scihcp7uMU6WbfL-_geSnQ_4_0"/>
      <w:bookmarkStart w:id="987" w:name="Tc_6FvQ_dL9Y0CQSaSPSkIZdA_3_2"/>
      <w:bookmarkStart w:id="988" w:name="Tc__FE9OJ0860uXDaWutdNF4w_3_0"/>
      <w:bookmarkStart w:id="989" w:name="Tc_icXdMlnnD0euMFlo1y4m7Q_2_2"/>
      <w:bookmarkStart w:id="990" w:name="Tc_6cuBf9NxSUCvrsZIDmhrlw_2_0"/>
      <w:bookmarkStart w:id="991" w:name="Tc_FikY_A99h0K9iro6d45xXg_1_2"/>
      <w:bookmarkStart w:id="992" w:name="Tc_EG7ZDiPozEmd3dGFROWzWg_14_5"/>
      <w:bookmarkStart w:id="993" w:name="Tc_ZDPpj-T7bEeMvF_VceSn7Q_14_2"/>
      <w:bookmarkStart w:id="994" w:name="Tc_K7dhGf16ek6vP0vVWRok8Q_14_0"/>
      <w:bookmarkStart w:id="995" w:name="Tc_nt-T32TIfEWxc-TxhOUUaw_13_0"/>
      <w:bookmarkStart w:id="996" w:name="Tc_KzV1voXackSdvtyDMRWUmQ_12_0"/>
      <w:bookmarkStart w:id="997" w:name="Tc_TINCsbPeoEGYfeu56PaWYg_11_0"/>
      <w:bookmarkStart w:id="998" w:name="Tc_IgVMuYoO0EmQqh-jx8IcvQ_10_0"/>
      <w:bookmarkStart w:id="999" w:name="Tc_PdM9XgDjiUq3OkswvZRLcg_9_6"/>
      <w:bookmarkStart w:id="1000" w:name="Tc_xwqkyxLq40Khtls4JGDafw_9_3"/>
      <w:bookmarkStart w:id="1001" w:name="Tc_pTCm4swDDkW_erge8bj8Hw_9_0"/>
      <w:bookmarkStart w:id="1002" w:name="Tc_XegN9beKw0O7AnozBu3aLA_8_0"/>
      <w:bookmarkStart w:id="1003" w:name="Tc_DLywLFQ5A0KT_nmK9J3j6w_7_0"/>
      <w:bookmarkStart w:id="1004" w:name="Tc_oY-1vrDJAUyqHmX2tJqk9Q_6_0"/>
      <w:bookmarkStart w:id="1005" w:name="Tc_vzKDfVRYQE-8pKOCdx_pxw_5_0"/>
      <w:bookmarkStart w:id="1006" w:name="Tc_z7MmfcbXXkeiKdiCpO3yuA_4_5"/>
      <w:bookmarkStart w:id="1007" w:name="Tc_Ap9zI4R8SUORWmncd_IF9g_4_2"/>
      <w:bookmarkStart w:id="1008" w:name="Tc_G0IBPaYXzEiTfIPiPt3FTA_4_0"/>
      <w:bookmarkStart w:id="1009" w:name="Tc_iAb8dORx00Kj6ZV7A-aPug_3_0"/>
      <w:bookmarkStart w:id="1010" w:name="Tc_kxQ59mi9GUuSPokr6VOIVA_2_5"/>
      <w:bookmarkStart w:id="1011" w:name="Tc_SrqLWUgI20CBGOOoaJgHjg_2_2"/>
      <w:bookmarkStart w:id="1012" w:name="Tc_PWuOMBYxok201ukUq2CzDA_2_0"/>
      <w:bookmarkStart w:id="1013" w:name="Tc_sHlpElVtYkurlH9JoKZSwA_1_5"/>
      <w:bookmarkStart w:id="1014" w:name="Tc_iuVMNZElxkS6Jj3Hncyc_g_1_2"/>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r>
        <w:rPr>
          <w:rFonts w:ascii="Times New Roman;Times;serif" w:hAnsi="Times New Roman;Times;serif"/>
          <w:b/>
          <w:sz w:val="20"/>
        </w:rPr>
        <w:t>8.</w:t>
      </w:r>
      <w:r>
        <w:rPr>
          <w:rFonts w:ascii="Times New Roman;Times;serif" w:hAnsi="Times New Roman;Times;serif"/>
          <w:sz w:val="20"/>
        </w:rPr>
        <w:t>          </w:t>
      </w:r>
      <w:r>
        <w:rPr>
          <w:rFonts w:ascii="Times New Roman;Times;serif" w:hAnsi="Times New Roman;Times;serif"/>
          <w:b/>
          <w:sz w:val="20"/>
        </w:rPr>
        <w:t>DEBT</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debt is described in Note 8 to the Consolidated Financial Statements included in Part II, Item 8 of the Company’s Annual Report on Form 10-K for the year ended December 31, 2025. Total debt as of June 30, 2026 and December 31, 2025 consisted of the following:</w:t>
      </w:r>
    </w:p>
    <w:p>
      <w:pPr>
        <w:pStyle w:val="TextBody"/>
        <w:bidi w:val="0"/>
        <w:spacing w:lineRule="atLeast" w:line="200" w:before="0" w:after="0"/>
        <w:ind w:left="0" w:right="0" w:hanging="0"/>
        <w:jc w:val="left"/>
        <w:rPr/>
      </w:pPr>
      <w:r>
        <w:rPr/>
        <w:t>​</w:t>
      </w:r>
    </w:p>
    <w:tbl>
      <w:tblPr>
        <w:tblW w:w="7385" w:type="dxa"/>
        <w:jc w:val="left"/>
        <w:tblInd w:w="0" w:type="dxa"/>
        <w:tblLayout w:type="fixed"/>
        <w:tblCellMar>
          <w:top w:w="0" w:type="dxa"/>
          <w:left w:w="0" w:type="dxa"/>
          <w:bottom w:w="0" w:type="dxa"/>
          <w:right w:w="0" w:type="dxa"/>
        </w:tblCellMar>
      </w:tblPr>
      <w:tblGrid>
        <w:gridCol w:w="4711"/>
        <w:gridCol w:w="346"/>
        <w:gridCol w:w="211"/>
        <w:gridCol w:w="586"/>
        <w:gridCol w:w="346"/>
        <w:gridCol w:w="281"/>
        <w:gridCol w:w="904"/>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991485" cy="175260"/>
                      <wp:effectExtent l="0" t="0" r="0" b="0"/>
                      <wp:wrapNone/>
                      <wp:docPr id="194" name="Frame194"/>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72110" cy="175260"/>
                      <wp:effectExtent l="0" t="0" r="0" b="0"/>
                      <wp:wrapNone/>
                      <wp:docPr id="197" name="Frame19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78435" cy="175260"/>
                      <wp:effectExtent l="0" t="0" r="0" b="0"/>
                      <wp:wrapNone/>
                      <wp:docPr id="199" name="Frame199"/>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74040" cy="175260"/>
                      <wp:effectExtent l="0" t="0" r="0" b="0"/>
                      <wp:wrapNone/>
                      <wp:docPr id="200" name="Frame200"/>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7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Placement Term Loans: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3.37 %, payable through 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3.14 %, payable through 2031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XI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1.22 %, payable through 2043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1.35 %, payable through 2044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Revolving credit facility, maturity date of July 23, 2030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341.3</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Deferred loan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net of deferred loan fees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312.1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Revolving Credit Facility:</w:t>
      </w:r>
      <w:r>
        <w:rPr>
          <w:rFonts w:ascii="Times New Roman;Times;serif" w:hAnsi="Times New Roman;Times;serif"/>
          <w:sz w:val="20"/>
        </w:rPr>
        <w:t xml:space="preserve"> As of June 30, 2026, the Company had $544.2 million of remaining borrowing availability under its $550 million revolving credit facility. The Company used $5.8 million of the revolving credit facility for letters of credit outstanding as of June 30, 2026. Borrowings under the revolving credit facility are classified as long-term debt in the Company’s Condensed Consolidated Balance Sheets, as principal payments are not required until the maturity date.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 Maturities:</w:t>
      </w:r>
      <w:r>
        <w:rPr>
          <w:rFonts w:ascii="Times New Roman;Times;serif" w:hAnsi="Times New Roman;Times;serif"/>
          <w:sz w:val="20"/>
        </w:rPr>
        <w:t xml:space="preserve"> As of June 30, 2026, debt maturities are as follows:</w:t>
      </w:r>
    </w:p>
    <w:p>
      <w:pPr>
        <w:pStyle w:val="TextBody"/>
        <w:bidi w:val="0"/>
        <w:spacing w:before="0" w:after="0"/>
        <w:ind w:left="0" w:right="0" w:hanging="0"/>
        <w:jc w:val="left"/>
        <w:rPr/>
      </w:pPr>
      <w:r>
        <w:rPr/>
        <w:t>​</w:t>
      </w:r>
    </w:p>
    <w:tbl>
      <w:tblPr>
        <w:tblW w:w="3198" w:type="dxa"/>
        <w:jc w:val="left"/>
        <w:tblInd w:w="0" w:type="dxa"/>
        <w:tblLayout w:type="fixed"/>
        <w:tblCellMar>
          <w:top w:w="0" w:type="dxa"/>
          <w:left w:w="0" w:type="dxa"/>
          <w:bottom w:w="0" w:type="dxa"/>
          <w:right w:w="0" w:type="dxa"/>
        </w:tblCellMar>
      </w:tblPr>
      <w:tblGrid>
        <w:gridCol w:w="1681"/>
        <w:gridCol w:w="346"/>
        <w:gridCol w:w="278"/>
        <w:gridCol w:w="893"/>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067435" cy="175260"/>
                      <wp:effectExtent l="0" t="0" r="0" b="0"/>
                      <wp:wrapNone/>
                      <wp:docPr id="201" name="Frame201"/>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76530" cy="175260"/>
                      <wp:effectExtent l="0" t="0" r="0" b="0"/>
                      <wp:wrapNone/>
                      <wp:docPr id="203" name="Frame203"/>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67055" cy="175260"/>
                      <wp:effectExtent l="0" t="0" r="0" b="0"/>
                      <wp:wrapNone/>
                      <wp:docPr id="204" name="Frame204"/>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6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197.2</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15" w:name="Tc_HUl-OY6P7EOL7vcqlqtiOw_9_11"/>
      <w:bookmarkStart w:id="1016" w:name="Tc_AwMH09qyfUiRyJSL5mshnw_9_8"/>
      <w:bookmarkStart w:id="1017" w:name="Tc_LHAW7nvFHEi9-FjThMEGbw_9_5"/>
      <w:bookmarkStart w:id="1018" w:name="Tc_ChcP3MA4N0WUU3HpqS_ZPw_9_2"/>
      <w:bookmarkStart w:id="1019" w:name="Tc_ufoaSLg4yE2skpHoMGrswg_9_0"/>
      <w:bookmarkStart w:id="1020" w:name="Tc_CxJulPT_JUe06Mm-l4dYOg_8_0"/>
      <w:bookmarkStart w:id="1021" w:name="Tc_W1AbP6JQHEe1PYJdBw8Gig_7_0"/>
      <w:bookmarkStart w:id="1022" w:name="Tc_d6eR6YLNFU-0JIa5pTaecg_6_0"/>
      <w:bookmarkStart w:id="1023" w:name="Tc_eRnAwIA6xkqw5BntYxTOKw_5_0"/>
      <w:bookmarkStart w:id="1024" w:name="Tc_X-fvGmuGykebRWfSzVeXpg_4_11"/>
      <w:bookmarkStart w:id="1025" w:name="Tc_baUQXC-WBkaTn9DPHJpdWQ_4_8"/>
      <w:bookmarkStart w:id="1026" w:name="Tc_HszFZMEKW0qHOHH9htRmHw_4_5"/>
      <w:bookmarkStart w:id="1027" w:name="Tc_cg1JSJiomEO7b6ftkMu6fA_4_2"/>
      <w:bookmarkStart w:id="1028" w:name="Tc_lmDJ8a7yEUStjtVOyRefOg_4_0"/>
      <w:bookmarkStart w:id="1029" w:name="Tc_I0LLGE8F-0eZRdxzehTr9Q_3_11"/>
      <w:bookmarkStart w:id="1030" w:name="Tc_cNf6nCBrSkOoqqYCFw5u6g_3_8"/>
      <w:bookmarkStart w:id="1031" w:name="Tc_-QAPNreBeUmmD7h4pBY0Ow_3_5"/>
      <w:bookmarkStart w:id="1032" w:name="Tc_Y-aeU3BiNkWHGSTUYWsvOw_3_2"/>
      <w:bookmarkStart w:id="1033" w:name="Tc_9aHMro66j0iFic_zWTKxxw_3_0"/>
      <w:bookmarkStart w:id="1034" w:name="Tc_b2baJGu1pUuMZLUTlPFUzA_2_8"/>
      <w:bookmarkStart w:id="1035" w:name="Tc_TRL5r1gSDUuIbLRATqKhmQ_2_2"/>
      <w:bookmarkStart w:id="1036" w:name="Tc_DtOP8j5mt0CmmR-iAQH6qg_1_8"/>
      <w:bookmarkStart w:id="1037" w:name="Tc_cPdSLqxpCEqOMxWQQBHWTw_1_2"/>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r>
        <w:rPr>
          <w:rFonts w:ascii="Times New Roman;Times;serif" w:hAnsi="Times New Roman;Times;serif"/>
          <w:b/>
          <w:sz w:val="20"/>
        </w:rPr>
        <w:t>9.          LEASES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leases are described in Note 9 to the Consolidated Financial Statements included in Part II, Item 8 of the Company’s Annual Report on Form 10-K for the year ended December 31, 2025.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Components of Lease Cost:</w:t>
      </w:r>
      <w:r>
        <w:rPr>
          <w:rFonts w:ascii="Times New Roman;Times;serif" w:hAnsi="Times New Roman;Times;serif"/>
          <w:sz w:val="20"/>
        </w:rPr>
        <w:t xml:space="preserve"> Components of lease cost recorded in the Company’s Condensed Consolidated Statements of Income and Comprehensive Income for the three and six months ended June 30, 2026 and 2025 consisted of the following:</w:t>
      </w:r>
    </w:p>
    <w:p>
      <w:pPr>
        <w:pStyle w:val="TextBody"/>
        <w:bidi w:val="0"/>
        <w:spacing w:before="0" w:after="0"/>
        <w:ind w:left="0" w:right="0" w:hanging="0"/>
        <w:jc w:val="left"/>
        <w:rPr/>
      </w:pPr>
      <w:r>
        <w:rPr/>
        <w:t>​</w:t>
      </w:r>
    </w:p>
    <w:tbl>
      <w:tblPr>
        <w:tblW w:w="5487" w:type="dxa"/>
        <w:jc w:val="left"/>
        <w:tblInd w:w="0" w:type="dxa"/>
        <w:tblLayout w:type="fixed"/>
        <w:tblCellMar>
          <w:top w:w="0" w:type="dxa"/>
          <w:left w:w="0" w:type="dxa"/>
          <w:bottom w:w="0" w:type="dxa"/>
          <w:right w:w="0" w:type="dxa"/>
        </w:tblCellMar>
      </w:tblPr>
      <w:tblGrid>
        <w:gridCol w:w="1801"/>
        <w:gridCol w:w="346"/>
        <w:gridCol w:w="233"/>
        <w:gridCol w:w="531"/>
        <w:gridCol w:w="120"/>
        <w:gridCol w:w="233"/>
        <w:gridCol w:w="531"/>
        <w:gridCol w:w="109"/>
        <w:gridCol w:w="211"/>
        <w:gridCol w:w="481"/>
        <w:gridCol w:w="109"/>
        <w:gridCol w:w="211"/>
        <w:gridCol w:w="57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143635" cy="175260"/>
                      <wp:effectExtent l="0" t="0" r="0" b="0"/>
                      <wp:wrapNone/>
                      <wp:docPr id="205" name="Frame205"/>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47955" cy="175260"/>
                      <wp:effectExtent l="0" t="0" r="0" b="0"/>
                      <wp:wrapNone/>
                      <wp:docPr id="207" name="Frame207"/>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37185" cy="175260"/>
                      <wp:effectExtent l="0" t="0" r="0" b="0"/>
                      <wp:wrapNone/>
                      <wp:docPr id="208" name="Frame208"/>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76200" cy="175260"/>
                      <wp:effectExtent l="0" t="0" r="0" b="0"/>
                      <wp:wrapNone/>
                      <wp:docPr id="209" name="Frame209"/>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47955" cy="175260"/>
                      <wp:effectExtent l="0" t="0" r="0" b="0"/>
                      <wp:wrapNone/>
                      <wp:docPr id="210" name="Frame210"/>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37185" cy="175260"/>
                      <wp:effectExtent l="0" t="0" r="0" b="0"/>
                      <wp:wrapNone/>
                      <wp:docPr id="211" name="Frame211"/>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05435" cy="175260"/>
                      <wp:effectExtent l="0" t="0" r="0" b="0"/>
                      <wp:wrapNone/>
                      <wp:docPr id="214" name="Frame21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62585" cy="175260"/>
                      <wp:effectExtent l="0" t="0" r="0" b="0"/>
                      <wp:wrapNone/>
                      <wp:docPr id="217" name="Frame2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4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158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15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center"/>
              <w:rPr/>
            </w:pPr>
            <w:r>
              <w:rPr/>
              <w:t>  ​ ​ ​</w:t>
            </w:r>
          </w:p>
        </w:tc>
        <w:tc>
          <w:tcPr>
            <w:tcW w:w="7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0" w:type="dxa"/>
            <w:tcBorders/>
            <w:vAlign w:val="center"/>
          </w:tcPr>
          <w:p>
            <w:pPr>
              <w:pStyle w:val="TableContents"/>
              <w:bidi w:val="0"/>
              <w:spacing w:before="0" w:after="0"/>
              <w:ind w:left="0" w:right="0" w:hanging="0"/>
              <w:jc w:val="left"/>
              <w:rPr/>
            </w:pPr>
            <w:r>
              <w:rPr/>
              <w:t>​</w:t>
            </w:r>
          </w:p>
        </w:tc>
        <w:tc>
          <w:tcPr>
            <w:tcW w:w="7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shd w:fill="CCEEFF" w:val="clear"/>
            <w:vAlign w:val="center"/>
          </w:tcPr>
          <w:p>
            <w:pPr>
              <w:pStyle w:val="TableContents"/>
              <w:bidi w:val="0"/>
              <w:spacing w:before="0" w:after="0"/>
              <w:ind w:left="0" w:right="0" w:hanging="0"/>
              <w:jc w:val="center"/>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12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46" w:type="dxa"/>
            <w:tcBorders/>
            <w:vAlign w:val="center"/>
          </w:tcPr>
          <w:p>
            <w:pPr>
              <w:pStyle w:val="TableContents"/>
              <w:bidi w:val="0"/>
              <w:spacing w:before="0" w:after="0"/>
              <w:ind w:left="0" w:right="0" w:hanging="0"/>
              <w:jc w:val="center"/>
              <w:rPr/>
            </w:pPr>
            <w:r>
              <w:rPr/>
              <w:t>​</w:t>
            </w:r>
          </w:p>
        </w:tc>
        <w:tc>
          <w:tcPr>
            <w:tcW w:w="233"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2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46" w:type="dxa"/>
            <w:tcBorders/>
            <w:shd w:fill="CCEEFF" w:val="clear"/>
            <w:vAlign w:val="center"/>
          </w:tcPr>
          <w:p>
            <w:pPr>
              <w:pStyle w:val="TableContents"/>
              <w:bidi w:val="0"/>
              <w:spacing w:before="0" w:after="0"/>
              <w:ind w:left="0" w:right="0" w:hanging="0"/>
              <w:jc w:val="center"/>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20"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center"/>
              <w:rPr/>
            </w:pPr>
            <w:r>
              <w:rPr/>
              <w:t>​</w:t>
            </w:r>
          </w:p>
        </w:tc>
        <w:tc>
          <w:tcPr>
            <w:tcW w:w="233"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12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346" w:type="dxa"/>
            <w:tcBorders/>
            <w:shd w:fill="CCEEFF" w:val="clear"/>
            <w:vAlign w:val="center"/>
          </w:tcPr>
          <w:p>
            <w:pPr>
              <w:pStyle w:val="TableContents"/>
              <w:bidi w:val="0"/>
              <w:spacing w:before="0" w:after="0"/>
              <w:ind w:left="0" w:right="0" w:hanging="0"/>
              <w:jc w:val="center"/>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20"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 net</w:t>
            </w:r>
          </w:p>
        </w:tc>
        <w:tc>
          <w:tcPr>
            <w:tcW w:w="346" w:type="dxa"/>
            <w:tcBorders/>
            <w:vAlign w:val="center"/>
          </w:tcPr>
          <w:p>
            <w:pPr>
              <w:pStyle w:val="TableContents"/>
              <w:bidi w:val="0"/>
              <w:spacing w:before="0" w:after="0"/>
              <w:ind w:left="0" w:right="0" w:hanging="0"/>
              <w:jc w:val="center"/>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120"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72.4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38" w:name="Tc_CAfnNjUUz02KzvoCnC2W2w_13_2"/>
      <w:bookmarkStart w:id="1039" w:name="Tc_0zxYSe_Qgke3_WArLO07Ew_13_0"/>
      <w:bookmarkStart w:id="1040" w:name="Tc_7CBq3Bw_nkmC7RpfwWFu_g_12_0"/>
      <w:bookmarkStart w:id="1041" w:name="Tc_1Vy7fnMAL0uBxxw0TirWgg_11_0"/>
      <w:bookmarkStart w:id="1042" w:name="Tc_llpJfC9lNUWHqRu0CXoFAQ_10_0"/>
      <w:bookmarkStart w:id="1043" w:name="Tc_wU0Ysd6nLkSSIwaretnMcg_9_0"/>
      <w:bookmarkStart w:id="1044" w:name="Tc_45PVpKmttk2MSwTyVLwu8A_8_0"/>
      <w:bookmarkStart w:id="1045" w:name="Tc_K6Xaa45WXkmu8I-I6pD8Xw_7_0"/>
      <w:bookmarkStart w:id="1046" w:name="Tc_LjnsvoHAFUqJwQ_AiFqjgg_6_0"/>
      <w:bookmarkStart w:id="1047" w:name="Tc_NbRvW9vaEUmZK5eK7OwpGw_5_0"/>
      <w:bookmarkStart w:id="1048" w:name="Tc_XD6Ux34JqUSSHIpSRl_EGA_4_0"/>
      <w:bookmarkStart w:id="1049" w:name="Tc_n2_fgV5at0WW9Ax5LTgSGw_3_2"/>
      <w:bookmarkStart w:id="1050" w:name="Tc_aATMh8A9qUOCv6BGO1LHgw_3_0"/>
      <w:bookmarkStart w:id="1051" w:name="Tc_uZSLFvKNt0OmTgOKCn5nvQ_2_2"/>
      <w:bookmarkStart w:id="1052" w:name="Tc_7UKSb6E-n0y_IdpTwl0s_w_2_0"/>
      <w:bookmarkStart w:id="1053" w:name="Tc_NyoN_Epveka8VgKRoXyXlQ_1_2"/>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r>
        <w:rPr>
          <w:rFonts w:ascii="Times New Roman;Times;serif" w:hAnsi="Times New Roman;Times;serif"/>
          <w:b/>
          <w:i/>
          <w:sz w:val="20"/>
        </w:rPr>
        <w:t>Minimum Lease Payments</w:t>
      </w:r>
      <w:r>
        <w:rPr>
          <w:rFonts w:ascii="Times New Roman;Times;serif" w:hAnsi="Times New Roman;Times;serif"/>
          <w:sz w:val="20"/>
        </w:rPr>
        <w:t>: Future minimum lease payments of operating lease liabilities that have non-cancelable lease terms in excess of one year at June 30, 2026 are as follows:</w:t>
      </w:r>
    </w:p>
    <w:p>
      <w:pPr>
        <w:pStyle w:val="TextBody"/>
        <w:bidi w:val="0"/>
        <w:spacing w:before="0" w:after="0"/>
        <w:ind w:left="0" w:right="0" w:hanging="0"/>
        <w:jc w:val="left"/>
        <w:rPr/>
      </w:pPr>
      <w:r>
        <w:rPr/>
        <w:t>​</w:t>
      </w:r>
    </w:p>
    <w:tbl>
      <w:tblPr>
        <w:tblW w:w="5673" w:type="dxa"/>
        <w:jc w:val="left"/>
        <w:tblInd w:w="0" w:type="dxa"/>
        <w:tblLayout w:type="fixed"/>
        <w:tblCellMar>
          <w:top w:w="0" w:type="dxa"/>
          <w:left w:w="0" w:type="dxa"/>
          <w:bottom w:w="0" w:type="dxa"/>
          <w:right w:w="0" w:type="dxa"/>
        </w:tblCellMar>
      </w:tblPr>
      <w:tblGrid>
        <w:gridCol w:w="4156"/>
        <w:gridCol w:w="346"/>
        <w:gridCol w:w="278"/>
        <w:gridCol w:w="893"/>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639060" cy="175260"/>
                      <wp:effectExtent l="0" t="0" r="0" b="0"/>
                      <wp:wrapNone/>
                      <wp:docPr id="218" name="Frame218"/>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76530" cy="175260"/>
                      <wp:effectExtent l="0" t="0" r="0" b="0"/>
                      <wp:wrapNone/>
                      <wp:docPr id="220" name="Frame220"/>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67055" cy="175260"/>
                      <wp:effectExtent l="0" t="0" r="0" b="0"/>
                      <wp:wrapNone/>
                      <wp:docPr id="221" name="Frame221"/>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1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46" w:type="dxa"/>
            <w:tcBorders/>
            <w:vAlign w:val="center"/>
          </w:tcPr>
          <w:p>
            <w:pPr>
              <w:pStyle w:val="TableContents"/>
              <w:bidi w:val="0"/>
              <w:spacing w:before="0" w:after="0"/>
              <w:ind w:left="0" w:right="0" w:hanging="0"/>
              <w:jc w:val="center"/>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center"/>
              <w:rPr/>
            </w:pPr>
            <w:r>
              <w:rPr/>
              <w:t>​</w:t>
            </w:r>
          </w:p>
        </w:tc>
        <w:tc>
          <w:tcPr>
            <w:tcW w:w="2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center"/>
              <w:rPr/>
            </w:pPr>
            <w:r>
              <w:rPr/>
              <w:t>​</w:t>
            </w:r>
          </w:p>
        </w:tc>
        <w:tc>
          <w:tcPr>
            <w:tcW w:w="2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center"/>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439.0</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Operating lease interest</w:t>
            </w:r>
          </w:p>
        </w:tc>
        <w:tc>
          <w:tcPr>
            <w:tcW w:w="346" w:type="dxa"/>
            <w:tcBorders/>
            <w:vAlign w:val="center"/>
          </w:tcPr>
          <w:p>
            <w:pPr>
              <w:pStyle w:val="TableContents"/>
              <w:bidi w:val="0"/>
              <w:spacing w:before="0" w:after="0"/>
              <w:ind w:left="0" w:right="0" w:hanging="0"/>
              <w:jc w:val="center"/>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operating lease liabilities</w:t>
            </w:r>
          </w:p>
        </w:tc>
        <w:tc>
          <w:tcPr>
            <w:tcW w:w="34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384.0</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operating lease liabilities</w:t>
            </w:r>
          </w:p>
        </w:tc>
        <w:tc>
          <w:tcPr>
            <w:tcW w:w="346" w:type="dxa"/>
            <w:tcBorders/>
            <w:vAlign w:val="center"/>
          </w:tcPr>
          <w:p>
            <w:pPr>
              <w:pStyle w:val="TableContents"/>
              <w:bidi w:val="0"/>
              <w:spacing w:before="0" w:after="0"/>
              <w:ind w:left="0" w:right="0" w:hanging="0"/>
              <w:jc w:val="center"/>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46" w:type="dxa"/>
            <w:tcBorders/>
            <w:shd w:fill="CCEEFF" w:val="clear"/>
            <w:vAlign w:val="center"/>
          </w:tcPr>
          <w:p>
            <w:pPr>
              <w:pStyle w:val="TableContents"/>
              <w:bidi w:val="0"/>
              <w:spacing w:before="0" w:after="0"/>
              <w:ind w:left="0" w:right="0" w:hanging="0"/>
              <w:jc w:val="center"/>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251.2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54" w:name="Tc_ck51HpcQ60-8qe4FC_0lVA_13_11"/>
      <w:bookmarkStart w:id="1055" w:name="Tc_NJkm9rHzHkKsfcZkpBChiw_13_8"/>
      <w:bookmarkStart w:id="1056" w:name="Tc_WW1WZ1b420yU0uUB1tNRug_13_5"/>
      <w:bookmarkStart w:id="1057" w:name="Tc_1Y8zoirs1UCXKoCmsTILMw_13_2"/>
      <w:bookmarkStart w:id="1058" w:name="Tc_dnpdcdzkz0adQsKgoegB8A_13_0"/>
      <w:bookmarkStart w:id="1059" w:name="Tc_fbibIx8Z7ECsYCcBFIQUEw_12_6"/>
      <w:bookmarkStart w:id="1060" w:name="Tc_aHo2YqDNjkCjBrUM7-2EQg_12_0"/>
      <w:bookmarkStart w:id="1061" w:name="Tc_3qDOAOZfDEO5tn_UYMZfNg_11_6"/>
      <w:bookmarkStart w:id="1062" w:name="Tc_v_F5fFkLmEyCTAprFWTP2g_11_0"/>
      <w:bookmarkStart w:id="1063" w:name="Tc_7UrdyRxw30WqSBDiV8JrTg_10_0"/>
      <w:bookmarkStart w:id="1064" w:name="Tc_nCgXIeKkVkeIpeIOJe9W8g_9_0"/>
      <w:bookmarkStart w:id="1065" w:name="Tc_Ul4XpNX_gUW2pbH0H5hLUg_8_0"/>
      <w:bookmarkStart w:id="1066" w:name="Tc_1XMRhBofEUesjhxc_bXihQ_7_0"/>
      <w:bookmarkStart w:id="1067" w:name="Tc_-iy1zMmTPU-xCaIXWTAOIQ_6_0"/>
      <w:bookmarkStart w:id="1068" w:name="Tc_-NepRaqrPU6_D_qTw7lAcQ_5_0"/>
      <w:bookmarkStart w:id="1069" w:name="Tc_EVanOxMJGUymgTHjsG3vOQ_4_11"/>
      <w:bookmarkStart w:id="1070" w:name="Tc_pqZ9larnwEOdk4lypmGFOA_4_8"/>
      <w:bookmarkStart w:id="1071" w:name="Tc_Nv3GrOyIzkClQIJ_trirkw_4_5"/>
      <w:bookmarkStart w:id="1072" w:name="Tc_f19VxDlFyEmEIoBQwOcJPQ_4_2"/>
      <w:bookmarkStart w:id="1073" w:name="Tc_wGoERXc180C-Gdq7-jDcrA_4_0"/>
      <w:bookmarkStart w:id="1074" w:name="Tc_0ZaTebUkbUSTTye4sFy4Hw_3_0"/>
      <w:bookmarkStart w:id="1075" w:name="Tc_5FqJOVm_2kSm4kvhWwnNKw_2_11"/>
      <w:bookmarkStart w:id="1076" w:name="Tc_gOTTCDIGb02o0Dc_sXGvPg_2_8"/>
      <w:bookmarkStart w:id="1077" w:name="Tc_KRcXXnUNYka3lprkC47h2Q_2_5"/>
      <w:bookmarkStart w:id="1078" w:name="Tc_V04T4d-9jkOhCgQaoSpcIg_2_2"/>
      <w:bookmarkStart w:id="1079" w:name="Tc_qQPE51CjZ0qiLDxltbxyCg_2_0"/>
      <w:bookmarkStart w:id="1080" w:name="Tc_4wjnl15zbEGbJL1hw6eYfA_1_8"/>
      <w:bookmarkStart w:id="1081" w:name="Tc_KI1Ut5LDkEi_GYhLoz2M5g_1_2"/>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r>
        <w:rPr>
          <w:rFonts w:ascii="Times New Roman;Times;serif" w:hAnsi="Times New Roman;Times;serif"/>
          <w:b/>
          <w:sz w:val="20"/>
        </w:rPr>
        <w:t>10.          INCOME TAXES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income taxes are described in Note 10 to the Consolidated Financial Statements included in Part II, Item 8 of the Company’s Annual Report on Form 10-K for the year ended December 31,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Income Taxes:</w:t>
      </w:r>
      <w:r>
        <w:rPr>
          <w:rFonts w:ascii="Times New Roman;Times;serif" w:hAnsi="Times New Roman;Times;serif"/>
          <w:sz w:val="20"/>
        </w:rPr>
        <w:t xml:space="preserve"> Income taxes consist of the following for the three and six months ended June 30, 2026 and 2025:</w:t>
      </w:r>
    </w:p>
    <w:p>
      <w:pPr>
        <w:pStyle w:val="TextBody"/>
        <w:bidi w:val="0"/>
        <w:spacing w:before="0" w:after="0"/>
        <w:ind w:left="0" w:right="0" w:hanging="0"/>
        <w:jc w:val="left"/>
        <w:rPr/>
      </w:pPr>
      <w:r>
        <w:rPr/>
        <w:t>​</w:t>
      </w:r>
    </w:p>
    <w:tbl>
      <w:tblPr>
        <w:tblW w:w="7424" w:type="dxa"/>
        <w:jc w:val="left"/>
        <w:tblInd w:w="0" w:type="dxa"/>
        <w:tblLayout w:type="fixed"/>
        <w:tblCellMar>
          <w:top w:w="0" w:type="dxa"/>
          <w:left w:w="0" w:type="dxa"/>
          <w:bottom w:w="0" w:type="dxa"/>
          <w:right w:w="0" w:type="dxa"/>
        </w:tblCellMar>
      </w:tblPr>
      <w:tblGrid>
        <w:gridCol w:w="2266"/>
        <w:gridCol w:w="346"/>
        <w:gridCol w:w="281"/>
        <w:gridCol w:w="642"/>
        <w:gridCol w:w="462"/>
        <w:gridCol w:w="281"/>
        <w:gridCol w:w="642"/>
        <w:gridCol w:w="346"/>
        <w:gridCol w:w="250"/>
        <w:gridCol w:w="571"/>
        <w:gridCol w:w="410"/>
        <w:gridCol w:w="250"/>
        <w:gridCol w:w="677"/>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438910" cy="175260"/>
                      <wp:effectExtent l="0" t="0" r="0" b="0"/>
                      <wp:wrapNone/>
                      <wp:docPr id="222" name="Frame222"/>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78435" cy="175260"/>
                      <wp:effectExtent l="0" t="0" r="0" b="0"/>
                      <wp:wrapNone/>
                      <wp:docPr id="224" name="Frame224"/>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07670" cy="175260"/>
                      <wp:effectExtent l="0" t="0" r="0" b="0"/>
                      <wp:wrapNone/>
                      <wp:docPr id="225" name="Frame225"/>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93370" cy="175260"/>
                      <wp:effectExtent l="0" t="0" r="0" b="0"/>
                      <wp:wrapNone/>
                      <wp:docPr id="226" name="Frame226"/>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78435" cy="175260"/>
                      <wp:effectExtent l="0" t="0" r="0" b="0"/>
                      <wp:wrapNone/>
                      <wp:docPr id="227" name="Frame227"/>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07670" cy="175260"/>
                      <wp:effectExtent l="0" t="0" r="0" b="0"/>
                      <wp:wrapNone/>
                      <wp:docPr id="228" name="Frame228"/>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58750" cy="175260"/>
                      <wp:effectExtent l="0" t="0" r="0" b="0"/>
                      <wp:wrapNone/>
                      <wp:docPr id="230" name="Frame230"/>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62585" cy="175260"/>
                      <wp:effectExtent l="0" t="0" r="0" b="0"/>
                      <wp:wrapNone/>
                      <wp:docPr id="231" name="Frame23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60350" cy="175260"/>
                      <wp:effectExtent l="0" t="0" r="0" b="0"/>
                      <wp:wrapNone/>
                      <wp:docPr id="232" name="Frame232"/>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58750" cy="175260"/>
                      <wp:effectExtent l="0" t="0" r="0" b="0"/>
                      <wp:wrapNone/>
                      <wp:docPr id="233" name="Frame233"/>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29895" cy="175260"/>
                      <wp:effectExtent l="0" t="0" r="0" b="0"/>
                      <wp:wrapNone/>
                      <wp:docPr id="234" name="Frame234"/>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2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2" w:type="dxa"/>
            <w:tcBorders/>
            <w:vAlign w:val="center"/>
          </w:tcPr>
          <w:p>
            <w:pPr>
              <w:pStyle w:val="TableContents"/>
              <w:bidi w:val="0"/>
              <w:spacing w:before="0" w:after="0"/>
              <w:ind w:left="0" w:right="0" w:hanging="0"/>
              <w:jc w:val="left"/>
              <w:rPr/>
            </w:pPr>
            <w:r>
              <w:rPr/>
              <w:t>  ​ ​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0" w:type="dxa"/>
            <w:tcBorders/>
            <w:vAlign w:val="center"/>
          </w:tcPr>
          <w:p>
            <w:pPr>
              <w:pStyle w:val="TableContents"/>
              <w:bidi w:val="0"/>
              <w:spacing w:before="0" w:after="0"/>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410"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62"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10"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pPr>
            <w:r>
              <w:rPr/>
              <w:t>​</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410"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410"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expense</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62"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410"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410"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Income Tax Legislation:</w:t>
      </w:r>
      <w:r>
        <w:rPr>
          <w:rFonts w:ascii="Times New Roman;Times;serif" w:hAnsi="Times New Roman;Times;serif"/>
          <w:sz w:val="20"/>
        </w:rPr>
        <w:t xml:space="preserve"> On July 4, 2025, new legislation commonly referred to as the One Big Beautiful Bill Act (the “Act”) was signed into law. Among other things, the Act provides for numerous changes to existing tax law including extending or making permanent certain tax provisions of the Tax Cuts and Jobs Act of 2017 that were set to expire. Certain provisions of the Act were effective in fiscal 2025 and in the beginning of fiscal 2026, while others are effective in future years. The application of the Act did not have a material impact on the Company’s effective tax rate during the three and six months ended June 30, 2026 and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bookmarkStart w:id="1082" w:name="Tc_ryMqNbcrZk-Ci2QquKxibg_14_14"/>
      <w:bookmarkStart w:id="1083" w:name="Tc_LoH5YdS3yEOiGs_z66-18A_14_11"/>
      <w:bookmarkStart w:id="1084" w:name="Tc_rke67t_RiUus4fgbdxXn9w_14_8"/>
      <w:bookmarkStart w:id="1085" w:name="Tc_bYyqt0xQoEScNG0X-le37A_14_5"/>
      <w:bookmarkStart w:id="1086" w:name="Tc_VujFYw22OUapcqu2P_-GvA_14_2"/>
      <w:bookmarkStart w:id="1087" w:name="Tc_qkXis8UgkUW2fc9MftFlXA_14_0"/>
      <w:bookmarkStart w:id="1088" w:name="Tc_BejiJrQubEe2b6P2XEtpLw_13_9"/>
      <w:bookmarkStart w:id="1089" w:name="Tc_UJmYch_NXU--vcGsVQ3nYA_13_6"/>
      <w:bookmarkStart w:id="1090" w:name="Tc_8h-f1Y2O_ECZuRd_CfX4aA_13_3"/>
      <w:bookmarkStart w:id="1091" w:name="Tc_IrHIi1JBiUKuhsVu8rrwXA_13_0"/>
      <w:bookmarkStart w:id="1092" w:name="Tc_y4c4wtyHt0SSLtz7z9Bd_A_12_12"/>
      <w:bookmarkStart w:id="1093" w:name="Tc_v06PqIAlL0GR51gRWNaa3w_12_9"/>
      <w:bookmarkStart w:id="1094" w:name="Tc_jZtKCp4jl0e0B4idZMMmzQ_12_3"/>
      <w:bookmarkStart w:id="1095" w:name="Tc_ekHc1sByDk6bCqpOa4Fk2A_12_0"/>
      <w:bookmarkStart w:id="1096" w:name="Tc_OiKb2arB70CuKk7A127VkA_11_12"/>
      <w:bookmarkStart w:id="1097" w:name="Tc_LQtZABSOjEazEnppOVvetQ_11_9"/>
      <w:bookmarkStart w:id="1098" w:name="Tc_1BszncpnekSbgRKulMqmHQ_11_3"/>
      <w:bookmarkStart w:id="1099" w:name="Tc_qhcYdWP1cEGjsF3h3YFPDQ_11_0"/>
      <w:bookmarkStart w:id="1100" w:name="Tc_KbogUbViWE6nKf_hnqGbFw_10_0"/>
      <w:bookmarkStart w:id="1101" w:name="Tc_KbnGXfvTq0uwh0Zwp7gAeA_9_9"/>
      <w:bookmarkStart w:id="1102" w:name="Tc_aECisdTvsEOfmzu1HKtlkQ_9_6"/>
      <w:bookmarkStart w:id="1103" w:name="Tc_lyT-lRSZSUiPtYxfESOa4g_9_3"/>
      <w:bookmarkStart w:id="1104" w:name="Tc_7nXT__yr1kWEhYIkPYpEHA_9_0"/>
      <w:bookmarkStart w:id="1105" w:name="Tc_UjYbwj_cJke-vzPJfnbIUA_8_9"/>
      <w:bookmarkStart w:id="1106" w:name="Tc_QZ3_9ooLa0OPgx6ojqE5ZQ_8_6"/>
      <w:bookmarkStart w:id="1107" w:name="Tc_yIKZ8QllhUOD_PP2ST9khg_8_3"/>
      <w:bookmarkStart w:id="1108" w:name="Tc_eZvTGzddikGBZhGoIAeKhw_8_0"/>
      <w:bookmarkStart w:id="1109" w:name="Tc_7mnfx2TXd0upV80JGSxGeA_7_12"/>
      <w:bookmarkStart w:id="1110" w:name="Tc_OOR5GUEBAUufB3YYO8spPw_7_9"/>
      <w:bookmarkStart w:id="1111" w:name="Tc_pmn86igqM0WfYz0ix6OIaQ_7_3"/>
      <w:bookmarkStart w:id="1112" w:name="Tc_pfDxjd0KzU6BhqCRIWEQew_7_0"/>
      <w:bookmarkStart w:id="1113" w:name="Tc_CcaAF-IZEUuahpyJ5vBEdA_6_12"/>
      <w:bookmarkStart w:id="1114" w:name="Tc_O2RhLMLgyEitwhdtyD3d4g_6_9"/>
      <w:bookmarkStart w:id="1115" w:name="Tc_kxWbxKRM40OTrs6gnBau4A_6_3"/>
      <w:bookmarkStart w:id="1116" w:name="Tc_JACuVMjQBEqScbKloYcFIA_6_0"/>
      <w:bookmarkStart w:id="1117" w:name="Tc_QNy6r4R1jEKcl3prbbQoYg_5_14"/>
      <w:bookmarkStart w:id="1118" w:name="Tc_2nm0mByPJEKUhDvY8-3g1w_5_11"/>
      <w:bookmarkStart w:id="1119" w:name="Tc_AVhEsEpw50SM05lgrlP3VQ_5_8"/>
      <w:bookmarkStart w:id="1120" w:name="Tc_BNrND9M-5EGFf-HqNh3rfw_5_5"/>
      <w:bookmarkStart w:id="1121" w:name="Tc_UJVhtDZF60iagcbqOOPI6A_5_2"/>
      <w:bookmarkStart w:id="1122" w:name="Tc_WZ_66Wqm1kin6X5fk0YsOg_5_0"/>
      <w:bookmarkStart w:id="1123" w:name="Tc_sosjiHVWeEKAqjPaTfiDXg_4_14"/>
      <w:bookmarkStart w:id="1124" w:name="Tc_sOUUSOq5pUSBfmfzRaqzoA_4_11"/>
      <w:bookmarkStart w:id="1125" w:name="Tc_Zh7CG5raTUuN3Jkp5pVwTg_4_8"/>
      <w:bookmarkStart w:id="1126" w:name="Tc_UrgcpJE2gEmvJtgo1pUQOg_4_5"/>
      <w:bookmarkStart w:id="1127" w:name="Tc_ngokLWv4F0yZ_9B_Qsfa2A_4_2"/>
      <w:bookmarkStart w:id="1128" w:name="Tc_FKnQUohOBkyAaj-2BNAcrg_4_0"/>
      <w:bookmarkStart w:id="1129" w:name="Tc_xMvqrYovQ0qWy9IOPsS7NQ_3_14"/>
      <w:bookmarkStart w:id="1130" w:name="Tc_0jc9aKa-OEqgNeHS82EZuQ_3_8"/>
      <w:bookmarkStart w:id="1131" w:name="Tc_wFKxMeA-1kCt6RorBwVPvQ_3_5"/>
      <w:bookmarkStart w:id="1132" w:name="Tc_PAmpelSWD0OoyBfm-SkDjw_3_2"/>
      <w:bookmarkStart w:id="1133" w:name="Tc_bSJRihAhsU6yPytRp3kMEg_2_14"/>
      <w:bookmarkStart w:id="1134" w:name="Tc_gOJeVmVp4UyYdT91cl1jeA_2_8"/>
      <w:bookmarkStart w:id="1135" w:name="Tc_5b72-DCgTE2M1ll8T7W9fw_2_5"/>
      <w:bookmarkStart w:id="1136" w:name="Tc_sVJzWoTtgE2uvpGAemRu4w_1_14"/>
      <w:bookmarkStart w:id="1137" w:name="Tc_FYwFphrepUiPjjV38ZkZ6g_1_8"/>
      <w:bookmarkStart w:id="1138" w:name="_24824587_02f3_40af_a17f_16138927bde4"/>
      <w:bookmarkStart w:id="1139" w:name="Tc_ucWlK7dVL0SNPlZgRGO7zw_14_14"/>
      <w:bookmarkStart w:id="1140" w:name="Tc_EeLwz_JblEOVMV_Xzzq7cQ_14_11"/>
      <w:bookmarkStart w:id="1141" w:name="Tc_ZTxC1hFNm06OfkY9lpjkRA_14_8"/>
      <w:bookmarkStart w:id="1142" w:name="Tc_goa5n26480SzDZ7y1Db0DA_14_5"/>
      <w:bookmarkStart w:id="1143" w:name="Tc_xZ6wCsufuUGFFpmAMJwyFA_14_2"/>
      <w:bookmarkStart w:id="1144" w:name="Tc_YTZPdR5Vr0y7SmMF2tovng_14_0"/>
      <w:bookmarkStart w:id="1145" w:name="Tc_HEagSs_TREqNXRH2VICFBw_13_9"/>
      <w:bookmarkStart w:id="1146" w:name="Tc_QuGOL15gg0CsrT8XDGgrCA_13_6"/>
      <w:bookmarkStart w:id="1147" w:name="Tc_WHFFZuGy5kOt9FjLXh7fCw_13_3"/>
      <w:bookmarkStart w:id="1148" w:name="Tc_LrW-5U6kjUCKKb4nUL6JcQ_13_0"/>
      <w:bookmarkStart w:id="1149" w:name="Tc_IGGzT9eQFUmxfVvrH_MgcQ_12_12"/>
      <w:bookmarkStart w:id="1150" w:name="Tc_Je0I7LUr2kmJMN8rzGv3nA_12_9"/>
      <w:bookmarkStart w:id="1151" w:name="Tc_hp3LzOsPK0aRds243XcyFQ_12_3"/>
      <w:bookmarkStart w:id="1152" w:name="Tc_zfPlWGLEdUGTjE5wUYTFyQ_12_0"/>
      <w:bookmarkStart w:id="1153" w:name="Tc_gRnSCypZXE2pBU9MVOrfSw_11_12"/>
      <w:bookmarkStart w:id="1154" w:name="Tc_A3vYWsieaEOcXQYCjvTwlA_11_9"/>
      <w:bookmarkStart w:id="1155" w:name="Tc_ik2CG5vC9E-50-E6DhxnBw_11_3"/>
      <w:bookmarkStart w:id="1156" w:name="Tc_j14zPyHsekiWoMQlxuF3YQ_11_0"/>
      <w:bookmarkStart w:id="1157" w:name="Tc_aSdciDmWbUeWKKW_t5T3wA_10_0"/>
      <w:bookmarkStart w:id="1158" w:name="Tc_GTeY84HMSEGeDZ6X9ir2Iw_9_9"/>
      <w:bookmarkStart w:id="1159" w:name="Tc_ADeeVOLaT0OaKo4r6lMeVQ_9_6"/>
      <w:bookmarkStart w:id="1160" w:name="Tc_FqSFFO_VW0uo2fkV6LZllA_9_3"/>
      <w:bookmarkStart w:id="1161" w:name="Tc_uR3K1b8ywE-DNmMW9pOw9w_9_0"/>
      <w:bookmarkStart w:id="1162" w:name="Tc_CFEyRmlyS0KoaiGWYgilHA_8_9"/>
      <w:bookmarkStart w:id="1163" w:name="Tc_PjQZyBa9l0iE-YPhCKUZMw_8_6"/>
      <w:bookmarkStart w:id="1164" w:name="Tc_bx7XT8mAuEW9CW2mWoJW1Q_8_3"/>
      <w:bookmarkStart w:id="1165" w:name="Tc_52VjGmGFIEa5_bbw103jZQ_8_0"/>
      <w:bookmarkStart w:id="1166" w:name="Tc_Jw3MAe9nG0uBsfUH5VqXUA_7_12"/>
      <w:bookmarkStart w:id="1167" w:name="Tc_7b3w1TiB0EeY9GmIBEwZqw_7_9"/>
      <w:bookmarkStart w:id="1168" w:name="Tc_uJRcP3UowUeBuymVKPtu2Q_7_3"/>
      <w:bookmarkStart w:id="1169" w:name="Tc_nevMMG_iDk-obHw7ELEucw_7_0"/>
      <w:bookmarkStart w:id="1170" w:name="Tc_D38GxZX_dEiyeUJnt7kOfg_6_12"/>
      <w:bookmarkStart w:id="1171" w:name="Tc_qcfi2LyW9EubSyK44C_kJA_6_9"/>
      <w:bookmarkStart w:id="1172" w:name="Tc_TOLZpS8eVkOoNk2kZBUxiA_6_3"/>
      <w:bookmarkStart w:id="1173" w:name="Tc_UipOvywSeUC3MBPbdaS_Mw_6_0"/>
      <w:bookmarkStart w:id="1174" w:name="Tc_dZ_5PwdDXkWiA1vOAW8RXA_5_14"/>
      <w:bookmarkStart w:id="1175" w:name="Tc_L6j_wYO47kenM_DRkSGMuA_5_11"/>
      <w:bookmarkStart w:id="1176" w:name="Tc_-zADDCb1VUS0f-iQc-_6Tg_5_8"/>
      <w:bookmarkStart w:id="1177" w:name="Tc_x6QX4VsKPEWVngZ2EFdM8A_5_5"/>
      <w:bookmarkStart w:id="1178" w:name="Tc_Ak06sVSiX02g34PANR-0eg_5_2"/>
      <w:bookmarkStart w:id="1179" w:name="Tc_1BM5vZkYvE6ZQOjpTyXdnw_5_0"/>
      <w:bookmarkStart w:id="1180" w:name="Tc_QntTBRAtNkWr5V7655HZRQ_4_14"/>
      <w:bookmarkStart w:id="1181" w:name="Tc_n2F1iCOd1k6XdNB_AAMh-A_4_11"/>
      <w:bookmarkStart w:id="1182" w:name="Tc_pRnezY0QTEKBTRkMEZVoLw_4_8"/>
      <w:bookmarkStart w:id="1183" w:name="Tc_jivjtr-FlkiFh3pysaWfZQ_4_5"/>
      <w:bookmarkStart w:id="1184" w:name="Tc_W5_pIJDOy064vUVBkeHkEQ_4_2"/>
      <w:bookmarkStart w:id="1185" w:name="Tc_smL2-HtkO0-6vn6VrdfzPg_4_0"/>
      <w:bookmarkStart w:id="1186" w:name="Tc_RgE70X0wW0OZsOtakruVFA_3_14"/>
      <w:bookmarkStart w:id="1187" w:name="Tc_QN9HxwzC0USVLG-mgnddWg_3_8"/>
      <w:bookmarkStart w:id="1188" w:name="Tc_rw4jq9ox8UWKB0tvT5zE2g_3_5"/>
      <w:bookmarkStart w:id="1189" w:name="Tc_zBHj9C-Ov0eZLFSK8Y_v3w_3_2"/>
      <w:bookmarkStart w:id="1190" w:name="Tc_IHjGCqGIC0yAyPdsr12Ozg_2_14"/>
      <w:bookmarkStart w:id="1191" w:name="Tc_D15r1pB1qkKrM1jzqo0i3g_2_8"/>
      <w:bookmarkStart w:id="1192" w:name="Tc_fjQnYqM7ekeNI0sEh00JIg_2_5"/>
      <w:bookmarkStart w:id="1193" w:name="Tc_ENlI77DYjUqbRbl5zBgRrQ_1_14"/>
      <w:bookmarkStart w:id="1194" w:name="Tc_C9ws0YiGbUO9hy_j6t2kSQ_1_8"/>
      <w:bookmarkStart w:id="1195" w:name="_e1001717_62d6_4e4c_82f1_b7415064dd16"/>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r>
        <w:rPr>
          <w:rFonts w:ascii="Times New Roman;Times;serif" w:hAnsi="Times New Roman;Times;serif"/>
          <w:b/>
          <w:sz w:val="20"/>
        </w:rPr>
        <w:t>11.          ACCUMULATED OTHER COMPREHENSIVE INCOME (LOSS)</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income (loss) by component, net of tax, for the six months ended June 30, 2026 consisted of the following:</w:t>
      </w:r>
    </w:p>
    <w:tbl>
      <w:tblPr>
        <w:tblW w:w="9564" w:type="dxa"/>
        <w:jc w:val="left"/>
        <w:tblInd w:w="0" w:type="dxa"/>
        <w:tblLayout w:type="fixed"/>
        <w:tblCellMar>
          <w:top w:w="0" w:type="dxa"/>
          <w:left w:w="0" w:type="dxa"/>
          <w:bottom w:w="0" w:type="dxa"/>
          <w:right w:w="0" w:type="dxa"/>
        </w:tblCellMar>
      </w:tblPr>
      <w:tblGrid>
        <w:gridCol w:w="3346"/>
        <w:gridCol w:w="346"/>
        <w:gridCol w:w="211"/>
        <w:gridCol w:w="481"/>
        <w:gridCol w:w="346"/>
        <w:gridCol w:w="305"/>
        <w:gridCol w:w="611"/>
        <w:gridCol w:w="346"/>
        <w:gridCol w:w="260"/>
        <w:gridCol w:w="521"/>
        <w:gridCol w:w="346"/>
        <w:gridCol w:w="211"/>
        <w:gridCol w:w="481"/>
        <w:gridCol w:w="346"/>
        <w:gridCol w:w="404"/>
        <w:gridCol w:w="812"/>
        <w:gridCol w:w="191"/>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24710" cy="175895"/>
                      <wp:effectExtent l="0" t="0" r="0" b="0"/>
                      <wp:wrapNone/>
                      <wp:docPr id="235" name="Frame235"/>
                      <a:graphic xmlns:a="http://schemas.openxmlformats.org/drawingml/2006/main">
                        <a:graphicData uri="http://schemas.microsoft.com/office/word/2010/wordprocessingShape">
                          <wps:wsp>
                            <wps:cNvSpPr txBox="1"/>
                            <wps:spPr>
                              <a:xfrm>
                                <a:off x="0" y="0"/>
                                <a:ext cx="2124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895"/>
                      <wp:effectExtent l="0" t="0" r="0" b="0"/>
                      <wp:wrapNone/>
                      <wp:docPr id="236" name="Frame23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895"/>
                      <wp:effectExtent l="0" t="0" r="0" b="0"/>
                      <wp:wrapNone/>
                      <wp:docPr id="237" name="Frame237"/>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05435" cy="175895"/>
                      <wp:effectExtent l="0" t="0" r="0" b="0"/>
                      <wp:wrapNone/>
                      <wp:docPr id="238" name="Frame238"/>
                      <a:graphic xmlns:a="http://schemas.openxmlformats.org/drawingml/2006/main">
                        <a:graphicData uri="http://schemas.microsoft.com/office/word/2010/wordprocessingShape">
                          <wps:wsp>
                            <wps:cNvSpPr txBox="1"/>
                            <wps:spPr>
                              <a:xfrm>
                                <a:off x="0" y="0"/>
                                <a:ext cx="305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895"/>
                      <wp:effectExtent l="0" t="0" r="0" b="0"/>
                      <wp:wrapNone/>
                      <wp:docPr id="239" name="Frame239"/>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93675" cy="175895"/>
                      <wp:effectExtent l="0" t="0" r="0" b="0"/>
                      <wp:wrapNone/>
                      <wp:docPr id="240" name="Frame240"/>
                      <a:graphic xmlns:a="http://schemas.openxmlformats.org/drawingml/2006/main">
                        <a:graphicData uri="http://schemas.microsoft.com/office/word/2010/wordprocessingShape">
                          <wps:wsp>
                            <wps:cNvSpPr txBox="1"/>
                            <wps:spPr>
                              <a:xfrm>
                                <a:off x="0" y="0"/>
                                <a:ext cx="1936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87985" cy="175895"/>
                      <wp:effectExtent l="0" t="0" r="0" b="0"/>
                      <wp:wrapNone/>
                      <wp:docPr id="241" name="Frame241"/>
                      <a:graphic xmlns:a="http://schemas.openxmlformats.org/drawingml/2006/main">
                        <a:graphicData uri="http://schemas.microsoft.com/office/word/2010/wordprocessingShape">
                          <wps:wsp>
                            <wps:cNvSpPr txBox="1"/>
                            <wps:spPr>
                              <a:xfrm>
                                <a:off x="0" y="0"/>
                                <a:ext cx="387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895"/>
                      <wp:effectExtent l="0" t="0" r="0" b="0"/>
                      <wp:wrapNone/>
                      <wp:docPr id="242" name="Frame24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65100" cy="175895"/>
                      <wp:effectExtent l="0" t="0" r="0" b="0"/>
                      <wp:wrapNone/>
                      <wp:docPr id="243" name="Frame243"/>
                      <a:graphic xmlns:a="http://schemas.openxmlformats.org/drawingml/2006/main">
                        <a:graphicData uri="http://schemas.microsoft.com/office/word/2010/wordprocessingShape">
                          <wps:wsp>
                            <wps:cNvSpPr txBox="1"/>
                            <wps:spPr>
                              <a:xfrm>
                                <a:off x="0" y="0"/>
                                <a:ext cx="1651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30835" cy="175895"/>
                      <wp:effectExtent l="0" t="0" r="0" b="0"/>
                      <wp:wrapNone/>
                      <wp:docPr id="244" name="Frame244"/>
                      <a:graphic xmlns:a="http://schemas.openxmlformats.org/drawingml/2006/main">
                        <a:graphicData uri="http://schemas.microsoft.com/office/word/2010/wordprocessingShape">
                          <wps:wsp>
                            <wps:cNvSpPr txBox="1"/>
                            <wps:spPr>
                              <a:xfrm>
                                <a:off x="0" y="0"/>
                                <a:ext cx="3308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895"/>
                      <wp:effectExtent l="0" t="0" r="0" b="0"/>
                      <wp:wrapNone/>
                      <wp:docPr id="245" name="Frame245"/>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895"/>
                      <wp:effectExtent l="0" t="0" r="0" b="0"/>
                      <wp:wrapNone/>
                      <wp:docPr id="246" name="Frame246"/>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05435" cy="175895"/>
                      <wp:effectExtent l="0" t="0" r="0" b="0"/>
                      <wp:wrapNone/>
                      <wp:docPr id="247" name="Frame247"/>
                      <a:graphic xmlns:a="http://schemas.openxmlformats.org/drawingml/2006/main">
                        <a:graphicData uri="http://schemas.microsoft.com/office/word/2010/wordprocessingShape">
                          <wps:wsp>
                            <wps:cNvSpPr txBox="1"/>
                            <wps:spPr>
                              <a:xfrm>
                                <a:off x="0" y="0"/>
                                <a:ext cx="305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895"/>
                      <wp:effectExtent l="0" t="0" r="0" b="0"/>
                      <wp:wrapNone/>
                      <wp:docPr id="248" name="Frame248"/>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56540" cy="175895"/>
                      <wp:effectExtent l="0" t="0" r="0" b="0"/>
                      <wp:wrapNone/>
                      <wp:docPr id="249" name="Frame249"/>
                      <a:graphic xmlns:a="http://schemas.openxmlformats.org/drawingml/2006/main">
                        <a:graphicData uri="http://schemas.microsoft.com/office/word/2010/wordprocessingShape">
                          <wps:wsp>
                            <wps:cNvSpPr txBox="1"/>
                            <wps:spPr>
                              <a:xfrm>
                                <a:off x="0" y="0"/>
                                <a:ext cx="25654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15620" cy="175895"/>
                      <wp:effectExtent l="0" t="0" r="0" b="0"/>
                      <wp:wrapNone/>
                      <wp:docPr id="250" name="Frame250"/>
                      <a:graphic xmlns:a="http://schemas.openxmlformats.org/drawingml/2006/main">
                        <a:graphicData uri="http://schemas.microsoft.com/office/word/2010/wordprocessingShape">
                          <wps:wsp>
                            <wps:cNvSpPr txBox="1"/>
                            <wps:spPr>
                              <a:xfrm>
                                <a:off x="0" y="0"/>
                                <a:ext cx="5156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21285" cy="175895"/>
                      <wp:effectExtent l="0" t="0" r="0" b="0"/>
                      <wp:wrapNone/>
                      <wp:docPr id="251" name="Frame251"/>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4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91" w:type="dxa"/>
            <w:tcBorders/>
            <w:vAlign w:val="center"/>
          </w:tcPr>
          <w:p>
            <w:pPr>
              <w:pStyle w:val="TableContents"/>
              <w:bidi w:val="0"/>
              <w:spacing w:before="1" w:after="1"/>
              <w:ind w:left="0" w:right="0" w:hanging="0"/>
              <w:jc w:val="left"/>
              <w:rPr/>
            </w:pPr>
            <w:r>
              <w:rPr/>
              <w:t>​</w:t>
            </w:r>
          </w:p>
        </w:tc>
      </w:tr>
      <w:tr>
        <w:trPr/>
        <w:tc>
          <w:tcPr>
            <w:tcW w:w="334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Post-</w:t>
            </w:r>
          </w:p>
        </w:tc>
        <w:tc>
          <w:tcPr>
            <w:tcW w:w="34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Qualified</w:t>
            </w:r>
          </w:p>
        </w:tc>
        <w:tc>
          <w:tcPr>
            <w:tcW w:w="34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91" w:type="dxa"/>
            <w:tcBorders/>
            <w:vAlign w:val="center"/>
          </w:tcPr>
          <w:p>
            <w:pPr>
              <w:pStyle w:val="TableContents"/>
              <w:bidi w:val="0"/>
              <w:spacing w:before="1" w:after="1"/>
              <w:ind w:left="0" w:right="0" w:hanging="0"/>
              <w:jc w:val="left"/>
              <w:rPr/>
            </w:pPr>
            <w:r>
              <w:rPr/>
              <w:t>​</w:t>
            </w:r>
          </w:p>
        </w:tc>
      </w:tr>
      <w:tr>
        <w:trPr/>
        <w:tc>
          <w:tcPr>
            <w:tcW w:w="334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4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4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4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91" w:type="dxa"/>
            <w:tcBorders/>
            <w:vAlign w:val="center"/>
          </w:tcPr>
          <w:p>
            <w:pPr>
              <w:pStyle w:val="TableContents"/>
              <w:bidi w:val="0"/>
              <w:spacing w:before="1" w:after="1"/>
              <w:ind w:left="0" w:right="0" w:hanging="0"/>
              <w:jc w:val="left"/>
              <w:rPr/>
            </w:pPr>
            <w:r>
              <w:rPr/>
              <w:t>​</w:t>
            </w:r>
          </w:p>
        </w:tc>
      </w:tr>
      <w:tr>
        <w:trPr/>
        <w:tc>
          <w:tcPr>
            <w:tcW w:w="3346"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1" w:after="1"/>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46" w:type="dxa"/>
            <w:tcBorders/>
            <w:vAlign w:val="center"/>
          </w:tcPr>
          <w:p>
            <w:pPr>
              <w:pStyle w:val="TableContents"/>
              <w:bidi w:val="0"/>
              <w:spacing w:before="1" w:after="1"/>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46" w:type="dxa"/>
            <w:tcBorders/>
            <w:vAlign w:val="center"/>
          </w:tcPr>
          <w:p>
            <w:pPr>
              <w:pStyle w:val="TableContents"/>
              <w:bidi w:val="0"/>
              <w:spacing w:before="1" w:after="1"/>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46" w:type="dxa"/>
            <w:tcBorders/>
            <w:vAlign w:val="center"/>
          </w:tcPr>
          <w:p>
            <w:pPr>
              <w:pStyle w:val="TableContents"/>
              <w:bidi w:val="0"/>
              <w:spacing w:before="1" w:after="1"/>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1"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91" w:type="dxa"/>
            <w:tcBorders/>
            <w:vAlign w:val="center"/>
          </w:tcPr>
          <w:p>
            <w:pPr>
              <w:pStyle w:val="TableContents"/>
              <w:bidi w:val="0"/>
              <w:spacing w:before="1" w:after="1"/>
              <w:ind w:left="0" w:right="0" w:hanging="0"/>
              <w:jc w:val="left"/>
              <w:rPr/>
            </w:pPr>
            <w:r>
              <w:rPr/>
              <w:t> </w:t>
            </w:r>
          </w:p>
        </w:tc>
      </w:tr>
      <w:tr>
        <w:trPr/>
        <w:tc>
          <w:tcPr>
            <w:tcW w:w="334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shd w:fill="CCEEFF" w:val="clear"/>
            <w:vAlign w:val="center"/>
          </w:tcPr>
          <w:p>
            <w:pPr>
              <w:pStyle w:val="TableContents"/>
              <w:bidi w:val="0"/>
              <w:spacing w:before="1" w:after="1"/>
              <w:ind w:left="0" w:right="0" w:hanging="0"/>
              <w:jc w:val="left"/>
              <w:rPr/>
            </w:pPr>
            <w:r>
              <w:rPr/>
              <w:t>​</w:t>
            </w:r>
          </w:p>
        </w:tc>
        <w:tc>
          <w:tcPr>
            <w:tcW w:w="30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1" w:after="1"/>
              <w:ind w:left="0" w:right="0" w:hanging="0"/>
              <w:jc w:val="left"/>
              <w:rPr/>
            </w:pPr>
            <w:r>
              <w:rPr/>
              <w:t>​</w:t>
            </w:r>
          </w:p>
        </w:tc>
        <w:tc>
          <w:tcPr>
            <w:tcW w:w="26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1" w:after="1"/>
              <w:ind w:left="0" w:right="0" w:hanging="0"/>
              <w:jc w:val="left"/>
              <w:rPr/>
            </w:pPr>
            <w:r>
              <w:rPr/>
              <w:t>​</w:t>
            </w:r>
          </w:p>
        </w:tc>
        <w:tc>
          <w:tcPr>
            <w:tcW w:w="404"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334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305" w:type="dxa"/>
            <w:tcBorders/>
            <w:vAlign w:val="center"/>
          </w:tcPr>
          <w:p>
            <w:pPr>
              <w:pStyle w:val="TableContents"/>
              <w:bidi w:val="0"/>
              <w:spacing w:before="1" w:after="1"/>
              <w:ind w:left="0" w:right="0" w:hanging="0"/>
              <w:jc w:val="left"/>
              <w:rPr/>
            </w:pPr>
            <w:r>
              <w:rPr/>
              <w:t>​</w:t>
            </w:r>
          </w:p>
        </w:tc>
        <w:tc>
          <w:tcPr>
            <w:tcW w:w="61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1" w:after="1"/>
              <w:ind w:left="0" w:right="0" w:hanging="0"/>
              <w:jc w:val="left"/>
              <w:rPr/>
            </w:pPr>
            <w:r>
              <w:rPr/>
              <w:t>​</w:t>
            </w:r>
          </w:p>
        </w:tc>
        <w:tc>
          <w:tcPr>
            <w:tcW w:w="260"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191" w:type="dxa"/>
            <w:tcBorders/>
            <w:vAlign w:val="center"/>
          </w:tcPr>
          <w:p>
            <w:pPr>
              <w:pStyle w:val="TableContents"/>
              <w:bidi w:val="0"/>
              <w:spacing w:before="1" w:after="1"/>
              <w:ind w:left="0" w:right="0" w:hanging="0"/>
              <w:jc w:val="left"/>
              <w:rPr/>
            </w:pPr>
            <w:r>
              <w:rPr/>
              <w:t>​</w:t>
            </w:r>
          </w:p>
        </w:tc>
      </w:tr>
      <w:tr>
        <w:trPr/>
        <w:tc>
          <w:tcPr>
            <w:tcW w:w="334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net actuarial gain (loss)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48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305" w:type="dxa"/>
            <w:tcBorders/>
            <w:shd w:fill="CCEEFF" w:val="clear"/>
            <w:vAlign w:val="center"/>
          </w:tcPr>
          <w:p>
            <w:pPr>
              <w:pStyle w:val="TableContents"/>
              <w:bidi w:val="0"/>
              <w:spacing w:before="1" w:after="1"/>
              <w:ind w:left="0" w:right="0" w:hanging="0"/>
              <w:jc w:val="left"/>
              <w:rPr/>
            </w:pPr>
            <w:r>
              <w:rPr/>
              <w:t>​</w:t>
            </w:r>
          </w:p>
        </w:tc>
        <w:tc>
          <w:tcPr>
            <w:tcW w:w="61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1" w:after="1"/>
              <w:ind w:left="0" w:right="0" w:hanging="0"/>
              <w:jc w:val="left"/>
              <w:rPr/>
            </w:pPr>
            <w:r>
              <w:rPr/>
              <w:t>​</w:t>
            </w:r>
          </w:p>
        </w:tc>
        <w:tc>
          <w:tcPr>
            <w:tcW w:w="260" w:type="dxa"/>
            <w:tcBorders/>
            <w:shd w:fill="CCEEFF" w:val="clear"/>
            <w:vAlign w:val="center"/>
          </w:tcPr>
          <w:p>
            <w:pPr>
              <w:pStyle w:val="TableContents"/>
              <w:bidi w:val="0"/>
              <w:spacing w:before="1" w:after="1"/>
              <w:ind w:left="0" w:right="0" w:hanging="0"/>
              <w:jc w:val="left"/>
              <w:rPr/>
            </w:pPr>
            <w:r>
              <w:rPr/>
              <w:t>​</w:t>
            </w:r>
          </w:p>
        </w:tc>
        <w:tc>
          <w:tcPr>
            <w:tcW w:w="52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48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404" w:type="dxa"/>
            <w:tcBorders/>
            <w:shd w:fill="CCEEFF" w:val="clear"/>
            <w:vAlign w:val="center"/>
          </w:tcPr>
          <w:p>
            <w:pPr>
              <w:pStyle w:val="TableContents"/>
              <w:bidi w:val="0"/>
              <w:spacing w:before="1" w:after="1"/>
              <w:ind w:left="0" w:right="0" w:hanging="0"/>
              <w:jc w:val="left"/>
              <w:rPr/>
            </w:pPr>
            <w:r>
              <w:rPr/>
              <w:t>​</w:t>
            </w:r>
          </w:p>
        </w:tc>
        <w:tc>
          <w:tcPr>
            <w:tcW w:w="8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334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305" w:type="dxa"/>
            <w:tcBorders/>
            <w:vAlign w:val="center"/>
          </w:tcPr>
          <w:p>
            <w:pPr>
              <w:pStyle w:val="TableContents"/>
              <w:bidi w:val="0"/>
              <w:spacing w:before="1" w:after="1"/>
              <w:ind w:left="0" w:right="0" w:hanging="0"/>
              <w:jc w:val="left"/>
              <w:rPr/>
            </w:pPr>
            <w:r>
              <w:rPr/>
              <w:t>​</w:t>
            </w:r>
          </w:p>
        </w:tc>
        <w:tc>
          <w:tcPr>
            <w:tcW w:w="61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60"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191" w:type="dxa"/>
            <w:tcBorders/>
            <w:vAlign w:val="center"/>
          </w:tcPr>
          <w:p>
            <w:pPr>
              <w:pStyle w:val="TableContents"/>
              <w:bidi w:val="0"/>
              <w:spacing w:before="1" w:after="1"/>
              <w:ind w:left="0" w:right="0" w:hanging="0"/>
              <w:jc w:val="left"/>
              <w:rPr/>
            </w:pPr>
            <w:r>
              <w:rPr/>
              <w:t>​</w:t>
            </w:r>
          </w:p>
        </w:tc>
      </w:tr>
      <w:tr>
        <w:trPr/>
        <w:tc>
          <w:tcPr>
            <w:tcW w:w="334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1" w:after="1"/>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334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March 31, 2026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1" w:after="1"/>
              <w:ind w:left="0" w:right="0" w:hanging="0"/>
              <w:jc w:val="left"/>
              <w:rPr/>
            </w:pPr>
            <w:r>
              <w:rPr/>
              <w:t>​</w:t>
            </w:r>
          </w:p>
        </w:tc>
        <w:tc>
          <w:tcPr>
            <w:tcW w:w="305" w:type="dxa"/>
            <w:tcBorders/>
            <w:vAlign w:val="center"/>
          </w:tcPr>
          <w:p>
            <w:pPr>
              <w:pStyle w:val="TableContents"/>
              <w:bidi w:val="0"/>
              <w:spacing w:before="1" w:after="1"/>
              <w:ind w:left="0" w:right="0" w:hanging="0"/>
              <w:jc w:val="left"/>
              <w:rPr/>
            </w:pPr>
            <w:r>
              <w:rPr/>
              <w:t>​</w:t>
            </w:r>
          </w:p>
        </w:tc>
        <w:tc>
          <w:tcPr>
            <w:tcW w:w="61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1" w:after="1"/>
              <w:ind w:left="0" w:right="0" w:hanging="0"/>
              <w:jc w:val="left"/>
              <w:rPr/>
            </w:pPr>
            <w:r>
              <w:rPr/>
              <w:t>​</w:t>
            </w:r>
          </w:p>
        </w:tc>
        <w:tc>
          <w:tcPr>
            <w:tcW w:w="260"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91" w:type="dxa"/>
            <w:tcBorders/>
            <w:vAlign w:val="center"/>
          </w:tcPr>
          <w:p>
            <w:pPr>
              <w:pStyle w:val="TableContents"/>
              <w:bidi w:val="0"/>
              <w:spacing w:before="1" w:after="1"/>
              <w:ind w:left="0" w:right="0" w:hanging="0"/>
              <w:jc w:val="left"/>
              <w:rPr/>
            </w:pPr>
            <w:r>
              <w:rPr/>
              <w:t>​</w:t>
            </w:r>
          </w:p>
        </w:tc>
      </w:tr>
      <w:tr>
        <w:trPr/>
        <w:tc>
          <w:tcPr>
            <w:tcW w:w="334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credit </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48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305" w:type="dxa"/>
            <w:tcBorders/>
            <w:shd w:fill="CCEEFF" w:val="clear"/>
            <w:vAlign w:val="center"/>
          </w:tcPr>
          <w:p>
            <w:pPr>
              <w:pStyle w:val="TableContents"/>
              <w:bidi w:val="0"/>
              <w:spacing w:before="1" w:after="1"/>
              <w:ind w:left="0" w:right="0" w:hanging="0"/>
              <w:jc w:val="left"/>
              <w:rPr/>
            </w:pPr>
            <w:r>
              <w:rPr/>
              <w:t>​</w:t>
            </w:r>
          </w:p>
        </w:tc>
        <w:tc>
          <w:tcPr>
            <w:tcW w:w="61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shd w:fill="CCEEFF" w:val="clear"/>
            <w:vAlign w:val="center"/>
          </w:tcPr>
          <w:p>
            <w:pPr>
              <w:pStyle w:val="TableContents"/>
              <w:bidi w:val="0"/>
              <w:spacing w:before="1" w:after="1"/>
              <w:ind w:left="0" w:right="0" w:hanging="0"/>
              <w:jc w:val="left"/>
              <w:rPr/>
            </w:pPr>
            <w:r>
              <w:rPr/>
              <w:t>​</w:t>
            </w:r>
          </w:p>
        </w:tc>
        <w:tc>
          <w:tcPr>
            <w:tcW w:w="260" w:type="dxa"/>
            <w:tcBorders/>
            <w:shd w:fill="CCEEFF" w:val="clear"/>
            <w:vAlign w:val="center"/>
          </w:tcPr>
          <w:p>
            <w:pPr>
              <w:pStyle w:val="TableContents"/>
              <w:bidi w:val="0"/>
              <w:spacing w:before="1" w:after="1"/>
              <w:ind w:left="0" w:right="0" w:hanging="0"/>
              <w:jc w:val="left"/>
              <w:rPr/>
            </w:pPr>
            <w:r>
              <w:rPr/>
              <w:t>​</w:t>
            </w:r>
          </w:p>
        </w:tc>
        <w:tc>
          <w:tcPr>
            <w:tcW w:w="52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48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404" w:type="dxa"/>
            <w:tcBorders/>
            <w:shd w:fill="CCEEFF" w:val="clear"/>
            <w:vAlign w:val="center"/>
          </w:tcPr>
          <w:p>
            <w:pPr>
              <w:pStyle w:val="TableContents"/>
              <w:bidi w:val="0"/>
              <w:spacing w:before="1" w:after="1"/>
              <w:ind w:left="0" w:right="0" w:hanging="0"/>
              <w:jc w:val="left"/>
              <w:rPr/>
            </w:pPr>
            <w:r>
              <w:rPr/>
              <w:t>​</w:t>
            </w:r>
          </w:p>
        </w:tc>
        <w:tc>
          <w:tcPr>
            <w:tcW w:w="8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334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net actuarial loss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305" w:type="dxa"/>
            <w:tcBorders/>
            <w:vAlign w:val="center"/>
          </w:tcPr>
          <w:p>
            <w:pPr>
              <w:pStyle w:val="TableContents"/>
              <w:bidi w:val="0"/>
              <w:spacing w:before="1" w:after="1"/>
              <w:ind w:left="0" w:right="0" w:hanging="0"/>
              <w:jc w:val="left"/>
              <w:rPr/>
            </w:pPr>
            <w:r>
              <w:rPr/>
              <w:t>​</w:t>
            </w:r>
          </w:p>
        </w:tc>
        <w:tc>
          <w:tcPr>
            <w:tcW w:w="61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1" w:after="1"/>
              <w:ind w:left="0" w:right="0" w:hanging="0"/>
              <w:jc w:val="left"/>
              <w:rPr/>
            </w:pPr>
            <w:r>
              <w:rPr/>
              <w:t>​</w:t>
            </w:r>
          </w:p>
        </w:tc>
        <w:tc>
          <w:tcPr>
            <w:tcW w:w="260"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vAlign w:val="center"/>
          </w:tcPr>
          <w:p>
            <w:pPr>
              <w:pStyle w:val="TableContents"/>
              <w:bidi w:val="0"/>
              <w:spacing w:before="1" w:after="1"/>
              <w:ind w:left="0" w:right="0" w:hanging="0"/>
              <w:jc w:val="left"/>
              <w:rPr/>
            </w:pPr>
            <w:r>
              <w:rPr/>
              <w:t>​</w:t>
            </w:r>
          </w:p>
        </w:tc>
      </w:tr>
      <w:tr>
        <w:trPr/>
        <w:tc>
          <w:tcPr>
            <w:tcW w:w="334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1" w:after="1"/>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334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vAlign w:val="center"/>
          </w:tcPr>
          <w:p>
            <w:pPr>
              <w:pStyle w:val="TableContents"/>
              <w:bidi w:val="0"/>
              <w:spacing w:before="1" w:after="1"/>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vAlign w:val="center"/>
          </w:tcPr>
          <w:p>
            <w:pPr>
              <w:pStyle w:val="TableContents"/>
              <w:bidi w:val="0"/>
              <w:spacing w:before="1" w:after="1"/>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vAlign w:val="center"/>
          </w:tcPr>
          <w:p>
            <w:pPr>
              <w:pStyle w:val="TableContents"/>
              <w:bidi w:val="0"/>
              <w:spacing w:before="1" w:after="1"/>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income (loss) by component, net of tax, for the six months ended June 30, 2025 consisted of the following:</w:t>
      </w:r>
    </w:p>
    <w:tbl>
      <w:tblPr>
        <w:tblW w:w="9669" w:type="dxa"/>
        <w:jc w:val="left"/>
        <w:tblInd w:w="0" w:type="dxa"/>
        <w:tblLayout w:type="fixed"/>
        <w:tblCellMar>
          <w:top w:w="0" w:type="dxa"/>
          <w:left w:w="0" w:type="dxa"/>
          <w:bottom w:w="0" w:type="dxa"/>
          <w:right w:w="0" w:type="dxa"/>
        </w:tblCellMar>
      </w:tblPr>
      <w:tblGrid>
        <w:gridCol w:w="3346"/>
        <w:gridCol w:w="346"/>
        <w:gridCol w:w="211"/>
        <w:gridCol w:w="586"/>
        <w:gridCol w:w="346"/>
        <w:gridCol w:w="305"/>
        <w:gridCol w:w="611"/>
        <w:gridCol w:w="346"/>
        <w:gridCol w:w="260"/>
        <w:gridCol w:w="521"/>
        <w:gridCol w:w="346"/>
        <w:gridCol w:w="211"/>
        <w:gridCol w:w="481"/>
        <w:gridCol w:w="346"/>
        <w:gridCol w:w="404"/>
        <w:gridCol w:w="812"/>
        <w:gridCol w:w="191"/>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24710" cy="175260"/>
                      <wp:effectExtent l="0" t="0" r="0" b="0"/>
                      <wp:wrapNone/>
                      <wp:docPr id="252" name="Frame252"/>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72110" cy="175260"/>
                      <wp:effectExtent l="0" t="0" r="0" b="0"/>
                      <wp:wrapNone/>
                      <wp:docPr id="255" name="Frame25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93675" cy="175260"/>
                      <wp:effectExtent l="0" t="0" r="0" b="0"/>
                      <wp:wrapNone/>
                      <wp:docPr id="257" name="Frame257"/>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87985" cy="175260"/>
                      <wp:effectExtent l="0" t="0" r="0" b="0"/>
                      <wp:wrapNone/>
                      <wp:docPr id="258" name="Frame258"/>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65100" cy="175260"/>
                      <wp:effectExtent l="0" t="0" r="0" b="0"/>
                      <wp:wrapNone/>
                      <wp:docPr id="260" name="Frame260"/>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30835" cy="175260"/>
                      <wp:effectExtent l="0" t="0" r="0" b="0"/>
                      <wp:wrapNone/>
                      <wp:docPr id="261" name="Frame261"/>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05435" cy="175260"/>
                      <wp:effectExtent l="0" t="0" r="0" b="0"/>
                      <wp:wrapNone/>
                      <wp:docPr id="264" name="Frame26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56540" cy="175260"/>
                      <wp:effectExtent l="0" t="0" r="0" b="0"/>
                      <wp:wrapNone/>
                      <wp:docPr id="266" name="Frame266"/>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15620" cy="175260"/>
                      <wp:effectExtent l="0" t="0" r="0" b="0"/>
                      <wp:wrapNone/>
                      <wp:docPr id="267" name="Frame267"/>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21285" cy="175260"/>
                      <wp:effectExtent l="0" t="0" r="0" b="0"/>
                      <wp:wrapNone/>
                      <wp:docPr id="268" name="Frame26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Qualified</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4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4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46" w:type="dxa"/>
            <w:tcBorders/>
            <w:vAlign w:val="center"/>
          </w:tcPr>
          <w:p>
            <w:pPr>
              <w:pStyle w:val="TableContents"/>
              <w:bidi w:val="0"/>
              <w:spacing w:before="0" w:after="0"/>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91" w:type="dxa"/>
            <w:tcBorders/>
            <w:vAlign w:val="center"/>
          </w:tcPr>
          <w:p>
            <w:pPr>
              <w:pStyle w:val="TableContents"/>
              <w:bidi w:val="0"/>
              <w:spacing w:before="0" w:after="0"/>
              <w:ind w:left="0" w:right="0" w:hanging="0"/>
              <w:jc w:val="left"/>
              <w:rPr/>
            </w:pPr>
            <w:r>
              <w:rPr/>
              <w:t> </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actuarial gain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actuarial gain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91" w:type="dxa"/>
            <w:tcBorders/>
            <w:vAlign w:val="center"/>
          </w:tcPr>
          <w:p>
            <w:pPr>
              <w:pStyle w:val="TableContents"/>
              <w:bidi w:val="0"/>
              <w:spacing w:before="0" w:after="0"/>
              <w:ind w:left="0" w:right="0" w:hanging="0"/>
              <w:jc w:val="left"/>
              <w:rPr/>
            </w:pPr>
            <w:r>
              <w:rPr/>
              <w:t>​</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12.</w:t>
      </w:r>
      <w:r>
        <w:rPr>
          <w:rFonts w:ascii="Times New Roman;Times;serif" w:hAnsi="Times New Roman;Times;serif"/>
          <w:sz w:val="20"/>
        </w:rPr>
        <w:t>          </w:t>
      </w:r>
      <w:r>
        <w:rPr>
          <w:rFonts w:ascii="Times New Roman;Times;serif" w:hAnsi="Times New Roman;Times;serif"/>
          <w:b/>
          <w:sz w:val="20"/>
        </w:rPr>
        <w:t>FAIR VALUE OF FINANCIAL INSTRUMENTS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uses Level 1 inputs for the fair values of its cash and cash equivalents, and CCF cash and cash equivalents and investments, and Level 2 inputs for fixed rate debt. The fair values of cash and cash equivalents, and CCF cash and cash equivalents approximate their carrying values due to the nature of the instruments. The fair value of CCF investments is calculated based upon quoted prices available in active markets. The fair value of fixed rate debt is calculated based upon interest rates available for debt with terms and maturities similar to the Company’s existing debt arrangements.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196" w:name="Tc_RIgW_XioQ0iIGHZwEyAbYQ_14_15"/>
      <w:bookmarkStart w:id="1197" w:name="Tc_NeIJicclIUOOMUSy3LvV4Q_14_14"/>
      <w:bookmarkStart w:id="1198" w:name="Tc_NMKF0mgGCUOwjK8G1S2j0Q_14_11"/>
      <w:bookmarkStart w:id="1199" w:name="Tc_YcEdUbdIGESbYwgAJK3poA_14_9"/>
      <w:bookmarkStart w:id="1200" w:name="Tc_aZCSQLlzwUKq--1kCgMmTw_14_8"/>
      <w:bookmarkStart w:id="1201" w:name="Tc_bI140JszQEOn9ceOb6HzGw_14_5"/>
      <w:bookmarkStart w:id="1202" w:name="Tc_HDwoNPokh0eU7mLzrsOifg_14_2"/>
      <w:bookmarkStart w:id="1203" w:name="Tc_UDkKqwQvhUmOCYRaPEgj3g_14_0"/>
      <w:bookmarkStart w:id="1204" w:name="Tc_YlFbIRzrbEurgxn9rxAtJA_13_15"/>
      <w:bookmarkStart w:id="1205" w:name="Tc_CJhuGsfaG0yBtEU96WjMMw_13_14"/>
      <w:bookmarkStart w:id="1206" w:name="Tc_aNorBma5u0qnEiv0fbpX_g_13_12"/>
      <w:bookmarkStart w:id="1207" w:name="Tc_c3UVMMMwYk6g2bqYX2Ow-Q_13_11"/>
      <w:bookmarkStart w:id="1208" w:name="Tc_ad1WBWuHfE27Lik19zE9Rg_13_8"/>
      <w:bookmarkStart w:id="1209" w:name="Tc_0Qx1qBU_HUqemJTRanj88g_13_5"/>
      <w:bookmarkStart w:id="1210" w:name="Tc_UbB3fZjXJkamb87NTEyZqA_13_2"/>
      <w:bookmarkStart w:id="1211" w:name="Tc_vkXp-BOZc0ucMYFlR1T40Q_13_0"/>
      <w:bookmarkStart w:id="1212" w:name="Tc_TlOQo0erJUuSOuzuJCyp9A_12_15"/>
      <w:bookmarkStart w:id="1213" w:name="Tc_d3lOxHGxh0a2ADKacqSHbQ_12_14"/>
      <w:bookmarkStart w:id="1214" w:name="Tc_im-rigu8Ikmm1j5-DK82HQ_12_12"/>
      <w:bookmarkStart w:id="1215" w:name="Tc_RgDUjYVutE606ylILbuTuw_12_11"/>
      <w:bookmarkStart w:id="1216" w:name="Tc_LriOfC4tBUON7Fs3_o5kHg_12_8"/>
      <w:bookmarkStart w:id="1217" w:name="Tc_4UN--cw4q0Go519AM5z1NQ_12_5"/>
      <w:bookmarkStart w:id="1218" w:name="Tc_0RHXSguIVU2ycanyZB5z5w_12_2"/>
      <w:bookmarkStart w:id="1219" w:name="Tc_o_s7LgW_h06taeaTXZWgTA_12_0"/>
      <w:bookmarkStart w:id="1220" w:name="Tc_W0MyBQt_aUC9RaEd5P7sIQ_11_15"/>
      <w:bookmarkStart w:id="1221" w:name="Tc_xuE_B49O4Eei5sfNrxJEZQ_11_14"/>
      <w:bookmarkStart w:id="1222" w:name="Tc_P2EgdO4mEkS54nKYq29GQQ_11_12"/>
      <w:bookmarkStart w:id="1223" w:name="Tc_cRifZPOmMkWtJmIdULOmTg_11_11"/>
      <w:bookmarkStart w:id="1224" w:name="Tc_IrktzWAHfECzeyLR1_BoJw_11_8"/>
      <w:bookmarkStart w:id="1225" w:name="Tc_kyn59zTrZUCUaQT6z5r5yw_11_5"/>
      <w:bookmarkStart w:id="1226" w:name="Tc_XZXjtS9N2kSJj4DMpi2Pvg_11_2"/>
      <w:bookmarkStart w:id="1227" w:name="Tc_15_3xQ_2j0ay8vaZYsRUhQ_11_0"/>
      <w:bookmarkStart w:id="1228" w:name="Tc_x98cMhvekkOQ1uKblGoC9A_10_5"/>
      <w:bookmarkStart w:id="1229" w:name="Tc_jO0JQADI1kmvHKurTUORHQ_10_2"/>
      <w:bookmarkStart w:id="1230" w:name="Tc_yIiBGa7fn0uHfYzCvuvH6Q_10_0"/>
      <w:bookmarkStart w:id="1231" w:name="Tc_CgOkI0meK023x-32j9FftQ_8_15"/>
      <w:bookmarkStart w:id="1232" w:name="Tc_cSgB_UZdn0Gh7p4EC8VdAg_8_14"/>
      <w:bookmarkStart w:id="1233" w:name="Tc_qi9h-nVLAkKDD-ujDX1qoA_8_11"/>
      <w:bookmarkStart w:id="1234" w:name="Tc_cGXNjEBhHUC8thC4v_aPCw_8_9"/>
      <w:bookmarkStart w:id="1235" w:name="Tc_WKTcRSomAk2xKnDutnHXMQ_8_8"/>
      <w:bookmarkStart w:id="1236" w:name="Tc_TOL8luTm4ESNDmINHqsJog_8_5"/>
      <w:bookmarkStart w:id="1237" w:name="Tc_N96FFaG7EE2k3wsErH_TtQ_8_2"/>
      <w:bookmarkStart w:id="1238" w:name="Tc_sGRJQkOZxk2oec7IZuPRXw_8_0"/>
      <w:bookmarkStart w:id="1239" w:name="Tc_cmmmfP2B7kOek4JqtPQM3Q_7_15"/>
      <w:bookmarkStart w:id="1240" w:name="Tc_rWUmAaYw3UGNcM7yYv5bIg_7_14"/>
      <w:bookmarkStart w:id="1241" w:name="Tc_52AVCqZCPUW9XNnTXieIyg_7_12"/>
      <w:bookmarkStart w:id="1242" w:name="Tc_OCHHoesRTEeNbjLkz2DgPQ_7_11"/>
      <w:bookmarkStart w:id="1243" w:name="Tc_93O0II98FEWVJSPzf7gUgQ_7_8"/>
      <w:bookmarkStart w:id="1244" w:name="Tc_wNQXaZ3fUUiPt39dXSRFPw_7_5"/>
      <w:bookmarkStart w:id="1245" w:name="Tc_20BkXByjVUCh7ooJzAGEjQ_7_2"/>
      <w:bookmarkStart w:id="1246" w:name="Tc_TGxJP9kSDk26go7laysbnQ_7_0"/>
      <w:bookmarkStart w:id="1247" w:name="Tc_lGRf_Xgd3k6PgUkX0QILfw_6_15"/>
      <w:bookmarkStart w:id="1248" w:name="Tc_OxihFG9_mU6OhTFaX0hhuA_6_14"/>
      <w:bookmarkStart w:id="1249" w:name="Tc_0Dm7SHGqYUuapL455RsIPQ_6_12"/>
      <w:bookmarkStart w:id="1250" w:name="Tc_t5qPFbnjD0a4t1lGXofnGg_6_11"/>
      <w:bookmarkStart w:id="1251" w:name="Tc_MXqTKrHG0kuPh2Alaxwvfw_6_8"/>
      <w:bookmarkStart w:id="1252" w:name="Tc_PSo8X2FUXU2UbVdMFxf4AQ_6_5"/>
      <w:bookmarkStart w:id="1253" w:name="Tc_Z0Z1mZuoVEOcPcYyrvB6Cg_6_2"/>
      <w:bookmarkStart w:id="1254" w:name="Tc_Q1hwGjdfxEKZ1k7R8AvM5A_6_0"/>
      <w:bookmarkStart w:id="1255" w:name="Tc_FDmunWvfLESGUoNP_4VEqA_5_15"/>
      <w:bookmarkStart w:id="1256" w:name="Tc_Zg2h_GenrUuAKKx4hpHw3A_5_14"/>
      <w:bookmarkStart w:id="1257" w:name="Tc_XvAWDUXVWEySHvTHWxLOfg_5_12"/>
      <w:bookmarkStart w:id="1258" w:name="Tc_iJWFLUwbfUWjhBMCwZbmZQ_5_11"/>
      <w:bookmarkStart w:id="1259" w:name="Tc_eIZjZQbXFkmfDeK5gXvz8Q_5_8"/>
      <w:bookmarkStart w:id="1260" w:name="Tc_cMelCOkqTU2ES253i5Zx5g_5_5"/>
      <w:bookmarkStart w:id="1261" w:name="Tc_ugoRCey0ikWEJiABFPsVoQ_5_2"/>
      <w:bookmarkStart w:id="1262" w:name="Tc_A51KAn48CEq5SIz9uf9ulw_5_0"/>
      <w:bookmarkStart w:id="1263" w:name="Tc_Vzld8HRAfk6GdwVCtrZ2Cw_4_5"/>
      <w:bookmarkStart w:id="1264" w:name="Tc_6pvhqj5qoEee0lq58mU3SQ_4_2"/>
      <w:bookmarkStart w:id="1265" w:name="Tc_JCewDBw4qkmVHhaY3ob1vQ_4_0"/>
      <w:bookmarkStart w:id="1266" w:name="Tc_WWoiFw1e90uypy5wnvkeoA_3_14"/>
      <w:bookmarkStart w:id="1267" w:name="Tc_bG-rhVo4QEekDOxfr4I5hQ_3_11"/>
      <w:bookmarkStart w:id="1268" w:name="Tc__5D5xJJPqEiLrctPBnuX6A_3_8"/>
      <w:bookmarkStart w:id="1269" w:name="Tc_4p1t0uavrEqtYWEfyu_V2Q_3_5"/>
      <w:bookmarkStart w:id="1270" w:name="Tc_d48AEVK7jkmQdf-yN3-VCQ_3_2"/>
      <w:bookmarkStart w:id="1271" w:name="Tc_6SnrCHa0xEmqVb5Neu9-aw_2_14"/>
      <w:bookmarkStart w:id="1272" w:name="Tc_YCiC45tZfEqvEOZDSvWJtA_2_11"/>
      <w:bookmarkStart w:id="1273" w:name="Tc_zIMzhVtDX0CLs1fcZdtZ-A_2_8"/>
      <w:bookmarkStart w:id="1274" w:name="Tc_UTHE4CKeBkGwAleH1y4I2A_2_2"/>
      <w:bookmarkStart w:id="1275" w:name="Tc_a0jiCldAsUqDyiv5bhwy-w_1_14"/>
      <w:bookmarkStart w:id="1276" w:name="Tc_usDPwBaq-UKqhqsWNXoH_Q_1_11"/>
      <w:bookmarkStart w:id="1277" w:name="Tc_9iP4lHUNM0K1ZuGxOq7-3A_1_8"/>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r>
        <w:rPr>
          <w:rFonts w:ascii="Times New Roman;Times;serif" w:hAnsi="Times New Roman;Times;serif"/>
          <w:sz w:val="20"/>
        </w:rPr>
        <w:t>The carrying value and fair value of the Company’s financial instruments as of June 30, 2026 and December 31, 2025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91"/>
        <w:gridCol w:w="346"/>
        <w:gridCol w:w="448"/>
        <w:gridCol w:w="1134"/>
        <w:gridCol w:w="346"/>
        <w:gridCol w:w="307"/>
        <w:gridCol w:w="831"/>
        <w:gridCol w:w="346"/>
        <w:gridCol w:w="352"/>
        <w:gridCol w:w="954"/>
        <w:gridCol w:w="346"/>
        <w:gridCol w:w="298"/>
        <w:gridCol w:w="810"/>
        <w:gridCol w:w="346"/>
        <w:gridCol w:w="450"/>
        <w:gridCol w:w="742"/>
        <w:gridCol w:w="158"/>
      </w:tblGrid>
      <w:tr>
        <w:trPr/>
        <w:tc>
          <w:tcPr>
            <w:tcW w:w="1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264285" cy="175260"/>
                      <wp:effectExtent l="0" t="0" r="0" b="0"/>
                      <wp:wrapNone/>
                      <wp:docPr id="269" name="Frame269"/>
                      <a:graphic xmlns:a="http://schemas.openxmlformats.org/drawingml/2006/main">
                        <a:graphicData uri="http://schemas.microsoft.com/office/word/2010/wordprocessingShape">
                          <wps:wsp>
                            <wps:cNvSpPr txBox="1"/>
                            <wps:spPr>
                              <a:xfrm>
                                <a:off x="0" y="0"/>
                                <a:ext cx="126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84480" cy="175260"/>
                      <wp:effectExtent l="0" t="0" r="0" b="0"/>
                      <wp:wrapNone/>
                      <wp:docPr id="271" name="Frame271"/>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720090" cy="175260"/>
                      <wp:effectExtent l="0" t="0" r="0" b="0"/>
                      <wp:wrapNone/>
                      <wp:docPr id="272" name="Frame272"/>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94945" cy="175260"/>
                      <wp:effectExtent l="0" t="0" r="0" b="0"/>
                      <wp:wrapNone/>
                      <wp:docPr id="274" name="Frame274"/>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27685" cy="175260"/>
                      <wp:effectExtent l="0" t="0" r="0" b="0"/>
                      <wp:wrapNone/>
                      <wp:docPr id="275" name="Frame275"/>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23520" cy="175260"/>
                      <wp:effectExtent l="0" t="0" r="0" b="0"/>
                      <wp:wrapNone/>
                      <wp:docPr id="277" name="Frame277"/>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05790" cy="175260"/>
                      <wp:effectExtent l="0" t="0" r="0" b="0"/>
                      <wp:wrapNone/>
                      <wp:docPr id="278" name="Frame278"/>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89230" cy="175260"/>
                      <wp:effectExtent l="0" t="0" r="0" b="0"/>
                      <wp:wrapNone/>
                      <wp:docPr id="280" name="Frame280"/>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14350" cy="175260"/>
                      <wp:effectExtent l="0" t="0" r="0" b="0"/>
                      <wp:wrapNone/>
                      <wp:docPr id="281" name="Frame281"/>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85750" cy="175260"/>
                      <wp:effectExtent l="0" t="0" r="0" b="0"/>
                      <wp:wrapNone/>
                      <wp:docPr id="283" name="Frame283"/>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71170" cy="175260"/>
                      <wp:effectExtent l="0" t="0" r="0" b="0"/>
                      <wp:wrapNone/>
                      <wp:docPr id="284" name="Frame284"/>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00330" cy="175260"/>
                      <wp:effectExtent l="0" t="0" r="0" b="0"/>
                      <wp:wrapNone/>
                      <wp:docPr id="285" name="Frame285"/>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8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38"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0"/>
              <w:ind w:left="0" w:right="0" w:hanging="0"/>
              <w:jc w:val="left"/>
              <w:rPr/>
            </w:pPr>
            <w:r>
              <w:rPr/>
              <w:t>​</w:t>
            </w:r>
          </w:p>
        </w:tc>
        <w:tc>
          <w:tcPr>
            <w:tcW w:w="110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11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158" w:type="dxa"/>
            <w:tcBorders/>
            <w:vAlign w:val="center"/>
          </w:tcPr>
          <w:p>
            <w:pPr>
              <w:pStyle w:val="TableContents"/>
              <w:bidi w:val="0"/>
              <w:spacing w:before="0" w:after="0"/>
              <w:ind w:left="0" w:right="0" w:hanging="0"/>
              <w:jc w:val="left"/>
              <w:rPr/>
            </w:pPr>
            <w:r>
              <w:rPr/>
              <w:t>​</w:t>
            </w:r>
          </w:p>
        </w:tc>
      </w:tr>
      <w:tr>
        <w:trPr/>
        <w:tc>
          <w:tcPr>
            <w:tcW w:w="1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1138"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0"/>
              <w:ind w:left="0" w:right="0" w:hanging="0"/>
              <w:jc w:val="left"/>
              <w:rPr/>
            </w:pPr>
            <w:r>
              <w:rPr/>
              <w:t>​</w:t>
            </w:r>
          </w:p>
        </w:tc>
        <w:tc>
          <w:tcPr>
            <w:tcW w:w="110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w:t>
            </w:r>
          </w:p>
        </w:tc>
        <w:tc>
          <w:tcPr>
            <w:tcW w:w="346" w:type="dxa"/>
            <w:tcBorders/>
            <w:vAlign w:val="center"/>
          </w:tcPr>
          <w:p>
            <w:pPr>
              <w:pStyle w:val="TableContents"/>
              <w:bidi w:val="0"/>
              <w:spacing w:before="0" w:after="0"/>
              <w:ind w:left="0" w:right="0" w:hanging="0"/>
              <w:jc w:val="left"/>
              <w:rPr/>
            </w:pPr>
            <w:r>
              <w:rPr/>
              <w:t>​</w:t>
            </w:r>
          </w:p>
        </w:tc>
        <w:tc>
          <w:tcPr>
            <w:tcW w:w="11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w:t>
            </w:r>
          </w:p>
        </w:tc>
        <w:tc>
          <w:tcPr>
            <w:tcW w:w="158" w:type="dxa"/>
            <w:tcBorders/>
            <w:vAlign w:val="center"/>
          </w:tcPr>
          <w:p>
            <w:pPr>
              <w:pStyle w:val="TableContents"/>
              <w:bidi w:val="0"/>
              <w:spacing w:before="0" w:after="0"/>
              <w:ind w:left="0" w:right="0" w:hanging="0"/>
              <w:jc w:val="left"/>
              <w:rPr/>
            </w:pPr>
            <w:r>
              <w:rPr/>
              <w:t>​</w:t>
            </w:r>
          </w:p>
        </w:tc>
      </w:tr>
      <w:tr>
        <w:trPr/>
        <w:tc>
          <w:tcPr>
            <w:tcW w:w="1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8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 ​ ​</w:t>
            </w:r>
            <w:r>
              <w:rPr>
                <w:rFonts w:ascii="Times New Roman;Times;serif" w:hAnsi="Times New Roman;Times;serif"/>
                <w:b/>
                <w:sz w:val="16"/>
              </w:rPr>
              <w:t>Carrying Value    </w:t>
            </w:r>
          </w:p>
        </w:tc>
        <w:tc>
          <w:tcPr>
            <w:tcW w:w="346" w:type="dxa"/>
            <w:tcBorders/>
            <w:vAlign w:val="center"/>
          </w:tcPr>
          <w:p>
            <w:pPr>
              <w:pStyle w:val="TableContents"/>
              <w:bidi w:val="0"/>
              <w:spacing w:before="0" w:after="0"/>
              <w:ind w:left="0" w:right="0" w:hanging="0"/>
              <w:jc w:val="left"/>
              <w:rPr/>
            </w:pPr>
            <w:r>
              <w:rPr/>
              <w:t>  ​ ​ ​</w:t>
            </w:r>
          </w:p>
        </w:tc>
        <w:tc>
          <w:tcPr>
            <w:tcW w:w="113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 ​ ​ ​ ​ ​ ​</w:t>
            </w:r>
            <w:r>
              <w:rPr>
                <w:rFonts w:ascii="Times New Roman;Times;serif" w:hAnsi="Times New Roman;Times;serif"/>
                <w:b/>
                <w:sz w:val="16"/>
              </w:rPr>
              <w:t>Total         </w:t>
            </w:r>
          </w:p>
        </w:tc>
        <w:tc>
          <w:tcPr>
            <w:tcW w:w="346" w:type="dxa"/>
            <w:tcBorders/>
            <w:vAlign w:val="center"/>
          </w:tcPr>
          <w:p>
            <w:pPr>
              <w:pStyle w:val="TableContents"/>
              <w:bidi w:val="0"/>
              <w:spacing w:before="0" w:after="0"/>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11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346" w:type="dxa"/>
            <w:tcBorders/>
            <w:vAlign w:val="center"/>
          </w:tcPr>
          <w:p>
            <w:pPr>
              <w:pStyle w:val="TableContents"/>
              <w:bidi w:val="0"/>
              <w:spacing w:before="0" w:after="0"/>
              <w:ind w:left="0" w:right="0" w:hanging="0"/>
              <w:jc w:val="left"/>
              <w:rPr/>
            </w:pPr>
            <w:r>
              <w:rPr/>
              <w:t>  ​ ​ ​</w:t>
            </w:r>
          </w:p>
        </w:tc>
        <w:tc>
          <w:tcPr>
            <w:tcW w:w="11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3)</w:t>
            </w:r>
          </w:p>
        </w:tc>
        <w:tc>
          <w:tcPr>
            <w:tcW w:w="158" w:type="dxa"/>
            <w:tcBorders/>
            <w:vAlign w:val="center"/>
          </w:tcPr>
          <w:p>
            <w:pPr>
              <w:pStyle w:val="TableContents"/>
              <w:bidi w:val="0"/>
              <w:spacing w:before="0" w:after="0"/>
              <w:ind w:left="0" w:right="0" w:hanging="0"/>
              <w:jc w:val="left"/>
              <w:rPr/>
            </w:pPr>
            <w:r>
              <w:rPr/>
              <w:t>​</w:t>
            </w:r>
          </w:p>
        </w:tc>
      </w:tr>
      <w:tr>
        <w:trPr/>
        <w:tc>
          <w:tcPr>
            <w:tcW w:w="1020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19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w:t>
            </w:r>
          </w:p>
        </w:tc>
        <w:tc>
          <w:tcPr>
            <w:tcW w:w="15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w:t>
            </w:r>
          </w:p>
        </w:tc>
        <w:tc>
          <w:tcPr>
            <w:tcW w:w="578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June 30, 2026</w:t>
            </w:r>
          </w:p>
        </w:tc>
        <w:tc>
          <w:tcPr>
            <w:tcW w:w="158" w:type="dxa"/>
            <w:tcBorders/>
            <w:vAlign w:val="center"/>
          </w:tcPr>
          <w:p>
            <w:pPr>
              <w:pStyle w:val="TableContents"/>
              <w:bidi w:val="0"/>
              <w:spacing w:before="0" w:after="0"/>
              <w:ind w:left="0" w:right="0" w:hanging="0"/>
              <w:jc w:val="left"/>
              <w:rPr/>
            </w:pPr>
            <w:r>
              <w:rPr/>
              <w:t>​</w:t>
            </w:r>
          </w:p>
        </w:tc>
      </w:tr>
      <w:tr>
        <w:trPr/>
        <w:tc>
          <w:tcPr>
            <w:tcW w:w="1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1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equivalents</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1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1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debt</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341.3</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272.8</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272.8</w:t>
            </w:r>
          </w:p>
        </w:tc>
        <w:tc>
          <w:tcPr>
            <w:tcW w:w="346"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1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19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15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w:t>
            </w:r>
          </w:p>
        </w:tc>
        <w:tc>
          <w:tcPr>
            <w:tcW w:w="5782" w:type="dxa"/>
            <w:gridSpan w:val="11"/>
            <w:tcBorders>
              <w:bottom w:val="single" w:sz="2" w:space="0" w:color="000000"/>
            </w:tcBorders>
            <w:tcMar>
              <w:bottom w:w="28" w:type="dxa"/>
            </w:tcMar>
            <w:vAlign w:val="center"/>
          </w:tcPr>
          <w:p>
            <w:pPr>
              <w:pStyle w:val="TableContents"/>
              <w:bidi w:val="0"/>
              <w:spacing w:before="0" w:after="0"/>
              <w:ind w:left="0" w:right="0" w:hanging="0"/>
              <w:jc w:val="center"/>
              <w:rPr/>
            </w:pPr>
            <w:r>
              <w:rPr/>
              <w:t>  ​ ​ ​ ​ ​ ​ ​ ​ ​ ​ ​ ​ ​ ​</w:t>
            </w:r>
            <w:r>
              <w:rPr>
                <w:rFonts w:ascii="Times New Roman;Times;serif" w:hAnsi="Times New Roman;Times;serif"/>
                <w:b/>
                <w:sz w:val="16"/>
              </w:rPr>
              <w:t>Fair Value Measurements at December 31, 2025</w:t>
            </w:r>
          </w:p>
        </w:tc>
        <w:tc>
          <w:tcPr>
            <w:tcW w:w="158" w:type="dxa"/>
            <w:tcBorders/>
            <w:vAlign w:val="center"/>
          </w:tcPr>
          <w:p>
            <w:pPr>
              <w:pStyle w:val="TableContents"/>
              <w:bidi w:val="0"/>
              <w:spacing w:before="0" w:after="0"/>
              <w:ind w:left="0" w:right="0" w:hanging="0"/>
              <w:jc w:val="left"/>
              <w:rPr/>
            </w:pPr>
            <w:r>
              <w:rPr/>
              <w:t>​</w:t>
            </w:r>
          </w:p>
        </w:tc>
      </w:tr>
      <w:tr>
        <w:trPr/>
        <w:tc>
          <w:tcPr>
            <w:tcW w:w="1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46" w:type="dxa"/>
            <w:tcBorders/>
            <w:shd w:fill="CCEEFF" w:val="clear"/>
            <w:vAlign w:val="center"/>
          </w:tcPr>
          <w:p>
            <w:pPr>
              <w:pStyle w:val="TableContents"/>
              <w:bidi w:val="0"/>
              <w:spacing w:before="0" w:after="0"/>
              <w:ind w:left="0" w:right="0" w:hanging="0"/>
              <w:jc w:val="left"/>
              <w:rPr/>
            </w:pPr>
            <w:r>
              <w:rPr/>
              <w:t>  ​</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1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equivalents</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1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226.4</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226.4</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1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debt</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w:t>
            </w:r>
          </w:p>
        </w:tc>
        <w:tc>
          <w:tcPr>
            <w:tcW w:w="346"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vAlign w:val="center"/>
          </w:tcPr>
          <w:p>
            <w:pPr>
              <w:pStyle w:val="TableContents"/>
              <w:bidi w:val="0"/>
              <w:spacing w:before="0" w:after="0"/>
              <w:ind w:left="0" w:right="0" w:hanging="0"/>
              <w:jc w:val="right"/>
              <w:rPr/>
            </w:pPr>
            <w:r>
              <w:rPr/>
              <w:t>—</w:t>
            </w:r>
          </w:p>
        </w:tc>
        <w:tc>
          <w:tcPr>
            <w:tcW w:w="15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278" w:name="Tc_LZ8S2XPZsUS3uPR67QS7tw_8_15"/>
      <w:bookmarkStart w:id="1279" w:name="Tc_MChQN_9oAkKwboqYOBrDjg_8_10"/>
      <w:bookmarkStart w:id="1280" w:name="Tc_3jJRvzneNE-5TZg2WeH5VQ_8_7"/>
      <w:bookmarkStart w:id="1281" w:name="Tc_ZwrFT2qhYUqxYYYbOtbwzg_8_2"/>
      <w:bookmarkStart w:id="1282" w:name="Tc_EPEeDUsyH0yFIaAilyelyA_8_0"/>
      <w:bookmarkStart w:id="1283" w:name="Tc_SFvM4-9YNEec22vaypd3-w_7_0"/>
      <w:bookmarkStart w:id="1284" w:name="Tc_lgzah0DfNU2EaAVeHaUfLQ_6_15"/>
      <w:bookmarkStart w:id="1285" w:name="Tc_isexelghOEWAIb8OsyX3kA_6_10"/>
      <w:bookmarkStart w:id="1286" w:name="Tc_joBLkqitUEmNGT2ClfSNUA_6_7"/>
      <w:bookmarkStart w:id="1287" w:name="Tc_AZKY-afP2EOy7ZsopjcuuQ_6_2"/>
      <w:bookmarkStart w:id="1288" w:name="Tc_VrOwn3tn40Wg61AldtQ63A_6_0"/>
      <w:bookmarkStart w:id="1289" w:name="Tc_VByGwP6TVkykq5a2vVNNYg_5_15"/>
      <w:bookmarkStart w:id="1290" w:name="Tc_PPcsYEcc2EiV4bXJlvbPTQ_5_13"/>
      <w:bookmarkStart w:id="1291" w:name="Tc_ORjbhQv1n0C71NEmgKRdzQ_5_10"/>
      <w:bookmarkStart w:id="1292" w:name="Tc_mFLzV59wvEqlIawnN5_0WA_5_7"/>
      <w:bookmarkStart w:id="1293" w:name="Tc_fBJj9qM4sUitwVPod15YiA_5_5"/>
      <w:bookmarkStart w:id="1294" w:name="Tc_LrJ1yfK5hEesIhuLEe-OAA_5_2"/>
      <w:bookmarkStart w:id="1295" w:name="Tc_psUw_mQlFU-vlbF0rAZk9w_5_0"/>
      <w:bookmarkStart w:id="1296" w:name="Tc_1KE3Eq_vjECtVb43FNA53A_4_15"/>
      <w:bookmarkStart w:id="1297" w:name="Tc_7LC52k3KQEaJn4EgCEkq9A_4_13"/>
      <w:bookmarkStart w:id="1298" w:name="Tc_Oku7S0wKNE--wLOIMJ2EWg_4_10"/>
      <w:bookmarkStart w:id="1299" w:name="Tc_x6I6M94x-0C7O1v22X5TWg_4_7"/>
      <w:bookmarkStart w:id="1300" w:name="Tc_NYfGsldHY0C7vNfIXFasvA_4_5"/>
      <w:bookmarkStart w:id="1301" w:name="Tc_8PKFd_2zP0yqxd0n_NlvSQ_4_2"/>
      <w:bookmarkStart w:id="1302" w:name="Tc_4vaaacbVR0iaWqVQLGryEA_3_15"/>
      <w:bookmarkStart w:id="1303" w:name="Tc_JOItT6_klEaPfM825JKZIg_3_13"/>
      <w:bookmarkStart w:id="1304" w:name="Tc_F8HLTmOSs0iphHwkYJKshA_3_7"/>
      <w:bookmarkStart w:id="1305" w:name="Tc_uWUb4g0xjUeT41lE1dZ1aQ_3_5"/>
      <w:bookmarkStart w:id="1306" w:name="Tc_rLp_HOZYfE2cVZybAJ2-5g_2_15"/>
      <w:bookmarkStart w:id="1307" w:name="Tc_5oDzt4HFPU-nQQE7KE3LWA_2_13"/>
      <w:bookmarkStart w:id="1308" w:name="Tc_j9tp8fTcZUG9JrXuc4wkRg_2_7"/>
      <w:bookmarkStart w:id="1309" w:name="Tc_kdwqPYtQkkGIM6oxhyeKOQ_2_5"/>
      <w:bookmarkStart w:id="1310" w:name="Tc_DdlZAJCe802oRMcCTOeEKA_1_10"/>
      <w:bookmarkStart w:id="1311" w:name="Tc_eJTLypC990i7x0nE5QIZiQ_1_2"/>
      <w:bookmarkStart w:id="1312" w:name="_6e94c368_8c8b_48e6_a0dc_c8339bdc8daf"/>
      <w:bookmarkStart w:id="1313" w:name="Tc_8k4zgqc5_UW5eLv23EPJ7w_8_15"/>
      <w:bookmarkStart w:id="1314" w:name="Tc_oraByzOvEUaRMiG6w5vzeg_8_10"/>
      <w:bookmarkStart w:id="1315" w:name="Tc_0lDXX_KRwUyAfNglp_Ya9A_8_7"/>
      <w:bookmarkStart w:id="1316" w:name="Tc_2TlEJiToV0uyUVZOw4_uKw_8_2"/>
      <w:bookmarkStart w:id="1317" w:name="Tc_ZBBoWKxspEmccHhNz3IstQ_8_0"/>
      <w:bookmarkStart w:id="1318" w:name="Tc_zSCw4CdX9E6u8HB3FwQUnA_7_0"/>
      <w:bookmarkStart w:id="1319" w:name="Tc_zj3Yrnn0u0G9-6xiZZHsCA_6_15"/>
      <w:bookmarkStart w:id="1320" w:name="Tc_6i7EGcubVE2NcMCmU3T9Jg_6_10"/>
      <w:bookmarkStart w:id="1321" w:name="Tc_qx5yin4sdUyYNKuJQPoADA_6_7"/>
      <w:bookmarkStart w:id="1322" w:name="Tc_n4TpmAWURU2iBPB3jSD-KA_6_2"/>
      <w:bookmarkStart w:id="1323" w:name="Tc_Fum91KITSUuaaURqj89zTQ_6_0"/>
      <w:bookmarkStart w:id="1324" w:name="Tc_cGu6fkvJSkmJM-92MPnxkQ_5_15"/>
      <w:bookmarkStart w:id="1325" w:name="Tc_kC2Tvn0JXUmLLOX9PQM0Iw_5_13"/>
      <w:bookmarkStart w:id="1326" w:name="Tc_HDkKAhfjA06GrLmhHhNexw_5_10"/>
      <w:bookmarkStart w:id="1327" w:name="Tc_uRKg8BcD30u3reje1mdp4Q_5_7"/>
      <w:bookmarkStart w:id="1328" w:name="Tc_wVh-IaKBGkiUC1TQbcLYgg_5_5"/>
      <w:bookmarkStart w:id="1329" w:name="Tc_tFkP935-f0yQhE36P6Lzng_5_2"/>
      <w:bookmarkStart w:id="1330" w:name="Tc_5pzUTzYW906rPFx9oueoTA_5_0"/>
      <w:bookmarkStart w:id="1331" w:name="Tc_zFRnexZFVkKWsVCO-I-GOg_4_15"/>
      <w:bookmarkStart w:id="1332" w:name="Tc_zYC5ussvjkuWHxdwAZK_3w_4_13"/>
      <w:bookmarkStart w:id="1333" w:name="Tc_Gw2PJ_do_kSmHbTi3kVG-g_4_10"/>
      <w:bookmarkStart w:id="1334" w:name="Tc_A-0g9A61R0usaSWmvwFAdw_4_7"/>
      <w:bookmarkStart w:id="1335" w:name="Tc_yB5PfjdAQUOtSuf_BAi9kQ_4_5"/>
      <w:bookmarkStart w:id="1336" w:name="Tc_QM9Cy592M0OjDyLtos7NrQ_4_2"/>
      <w:bookmarkStart w:id="1337" w:name="Tc_bx2nju9lV0etpiN2uw3QZA_3_15"/>
      <w:bookmarkStart w:id="1338" w:name="Tc_zKvGVhK4gUyYxncL4gcB6Q_3_13"/>
      <w:bookmarkStart w:id="1339" w:name="Tc_OX2-SFTrBUWZtdFrplvuwQ_3_7"/>
      <w:bookmarkStart w:id="1340" w:name="Tc_zSBOBNyyCEmDUgNwff7Ygw_3_5"/>
      <w:bookmarkStart w:id="1341" w:name="Tc_9PZMAxTJj06Pv0UlYO5qNA_2_15"/>
      <w:bookmarkStart w:id="1342" w:name="Tc_i2VMBDEZhUKfdb9iRCj2Ng_2_13"/>
      <w:bookmarkStart w:id="1343" w:name="Tc_yCTuepPeXkKeQ_WOUAHoyQ_2_7"/>
      <w:bookmarkStart w:id="1344" w:name="Tc_WP_AFgf_ZEKZ4Shz6rm3Qg_2_5"/>
      <w:bookmarkStart w:id="1345" w:name="Tc_8W9Ub2PSREW346CyXMXM_Q_1_10"/>
      <w:bookmarkStart w:id="1346" w:name="Tc_X-BxR5pvmE-NtFnWHmXtHw_1_2"/>
      <w:bookmarkStart w:id="1347" w:name="_ebab54ea_f793_424b_9dc6_5543211b1aa6"/>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r>
        <w:rPr>
          <w:rFonts w:ascii="Times New Roman;Times;serif" w:hAnsi="Times New Roman;Times;serif"/>
          <w:b/>
          <w:sz w:val="20"/>
        </w:rPr>
        <w:t>13.</w:t>
      </w:r>
      <w:r>
        <w:rPr>
          <w:rFonts w:ascii="Times New Roman;Times;serif" w:hAnsi="Times New Roman;Times;serif"/>
          <w:sz w:val="20"/>
        </w:rPr>
        <w:t>          </w:t>
      </w:r>
      <w:r>
        <w:rPr>
          <w:rFonts w:ascii="Times New Roman;Times;serif" w:hAnsi="Times New Roman;Times;serif"/>
          <w:b/>
          <w:sz w:val="20"/>
        </w:rPr>
        <w:t>EARNINGS PER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 is determined by dividing net income by the weighted average common shares outstanding during the period. The calculation of diluted earnings per share includes the dilutive effect of non-vested restricted stock units. The computation of weighted average common shares outstanding excluded a nominal amount of anti-dilutive restricted stock units for each period ended June 30, 2026 and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computations for basic and diluted earnings per share for the three and six months ended June 30, 2026 and 2025 are as follows:</w:t>
      </w:r>
    </w:p>
    <w:tbl>
      <w:tblPr>
        <w:tblW w:w="9107" w:type="dxa"/>
        <w:jc w:val="left"/>
        <w:tblInd w:w="0" w:type="dxa"/>
        <w:tblLayout w:type="fixed"/>
        <w:tblCellMar>
          <w:top w:w="0" w:type="dxa"/>
          <w:left w:w="0" w:type="dxa"/>
          <w:bottom w:w="0" w:type="dxa"/>
          <w:right w:w="0" w:type="dxa"/>
        </w:tblCellMar>
      </w:tblPr>
      <w:tblGrid>
        <w:gridCol w:w="2656"/>
        <w:gridCol w:w="346"/>
        <w:gridCol w:w="196"/>
        <w:gridCol w:w="511"/>
        <w:gridCol w:w="346"/>
        <w:gridCol w:w="721"/>
        <w:gridCol w:w="346"/>
        <w:gridCol w:w="196"/>
        <w:gridCol w:w="541"/>
        <w:gridCol w:w="346"/>
        <w:gridCol w:w="196"/>
        <w:gridCol w:w="511"/>
        <w:gridCol w:w="346"/>
        <w:gridCol w:w="721"/>
        <w:gridCol w:w="346"/>
        <w:gridCol w:w="196"/>
        <w:gridCol w:w="58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686560" cy="175260"/>
                      <wp:effectExtent l="0" t="0" r="0" b="0"/>
                      <wp:wrapNone/>
                      <wp:docPr id="286" name="Frame286"/>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24460" cy="175260"/>
                      <wp:effectExtent l="0" t="0" r="0" b="0"/>
                      <wp:wrapNone/>
                      <wp:docPr id="288" name="Frame2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24485" cy="175260"/>
                      <wp:effectExtent l="0" t="0" r="0" b="0"/>
                      <wp:wrapNone/>
                      <wp:docPr id="289" name="Frame28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57835" cy="175260"/>
                      <wp:effectExtent l="0" t="0" r="0" b="0"/>
                      <wp:wrapNone/>
                      <wp:docPr id="291" name="Frame29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24460" cy="175260"/>
                      <wp:effectExtent l="0" t="0" r="0" b="0"/>
                      <wp:wrapNone/>
                      <wp:docPr id="293" name="Frame2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43535" cy="175260"/>
                      <wp:effectExtent l="0" t="0" r="0" b="0"/>
                      <wp:wrapNone/>
                      <wp:docPr id="294" name="Frame29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24460" cy="175260"/>
                      <wp:effectExtent l="0" t="0" r="0" b="0"/>
                      <wp:wrapNone/>
                      <wp:docPr id="296" name="Frame2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24485" cy="175260"/>
                      <wp:effectExtent l="0" t="0" r="0" b="0"/>
                      <wp:wrapNone/>
                      <wp:docPr id="297" name="Frame29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57835" cy="175260"/>
                      <wp:effectExtent l="0" t="0" r="0" b="0"/>
                      <wp:wrapNone/>
                      <wp:docPr id="299" name="Frame29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24460" cy="175260"/>
                      <wp:effectExtent l="0" t="0" r="0" b="0"/>
                      <wp:wrapNone/>
                      <wp:docPr id="301" name="Frame3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72110" cy="175260"/>
                      <wp:effectExtent l="0" t="0" r="0" b="0"/>
                      <wp:wrapNone/>
                      <wp:docPr id="302" name="Frame30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June 30, 2026</w:t>
            </w:r>
          </w:p>
        </w:tc>
        <w:tc>
          <w:tcPr>
            <w:tcW w:w="346" w:type="dxa"/>
            <w:tcBorders/>
            <w:vAlign w:val="center"/>
          </w:tcPr>
          <w:p>
            <w:pPr>
              <w:pStyle w:val="TableContents"/>
              <w:bidi w:val="0"/>
              <w:spacing w:before="0" w:after="0"/>
              <w:ind w:left="0" w:right="0" w:hanging="0"/>
              <w:jc w:val="left"/>
              <w:rPr/>
            </w:pPr>
            <w:r>
              <w:rPr/>
              <w:t>​</w:t>
            </w:r>
          </w:p>
        </w:tc>
        <w:tc>
          <w:tcPr>
            <w:tcW w:w="290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Six Months Ended June 30, 2026</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46" w:type="dxa"/>
            <w:tcBorders/>
            <w:vAlign w:val="center"/>
          </w:tcPr>
          <w:p>
            <w:pPr>
              <w:pStyle w:val="TableContents"/>
              <w:bidi w:val="0"/>
              <w:spacing w:before="0" w:after="0"/>
              <w:ind w:left="0" w:right="0" w:hanging="0"/>
              <w:jc w:val="left"/>
              <w:rPr/>
            </w:pPr>
            <w:r>
              <w:rPr/>
              <w:t>  ​ ​ ​</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4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4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(In millions, except per share amounts)</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186.0</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6.16</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(0.06)</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129.4</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186.0</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6.10</w:t>
            </w:r>
          </w:p>
        </w:tc>
      </w:tr>
    </w:tbl>
    <w:p>
      <w:pPr>
        <w:pStyle w:val="TextBody"/>
        <w:bidi w:val="0"/>
        <w:spacing w:before="0" w:after="0"/>
        <w:ind w:left="0" w:right="0" w:hanging="0"/>
        <w:jc w:val="left"/>
        <w:rPr/>
      </w:pPr>
      <w:r>
        <w:rPr/>
        <w:t>​</w:t>
      </w:r>
    </w:p>
    <w:tbl>
      <w:tblPr>
        <w:tblW w:w="8957" w:type="dxa"/>
        <w:jc w:val="left"/>
        <w:tblInd w:w="0" w:type="dxa"/>
        <w:tblLayout w:type="fixed"/>
        <w:tblCellMar>
          <w:top w:w="0" w:type="dxa"/>
          <w:left w:w="0" w:type="dxa"/>
          <w:bottom w:w="0" w:type="dxa"/>
          <w:right w:w="0" w:type="dxa"/>
        </w:tblCellMar>
      </w:tblPr>
      <w:tblGrid>
        <w:gridCol w:w="2656"/>
        <w:gridCol w:w="286"/>
        <w:gridCol w:w="196"/>
        <w:gridCol w:w="421"/>
        <w:gridCol w:w="346"/>
        <w:gridCol w:w="721"/>
        <w:gridCol w:w="346"/>
        <w:gridCol w:w="196"/>
        <w:gridCol w:w="541"/>
        <w:gridCol w:w="346"/>
        <w:gridCol w:w="196"/>
        <w:gridCol w:w="511"/>
        <w:gridCol w:w="346"/>
        <w:gridCol w:w="721"/>
        <w:gridCol w:w="346"/>
        <w:gridCol w:w="196"/>
        <w:gridCol w:w="58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686560" cy="175260"/>
                      <wp:effectExtent l="0" t="0" r="0" b="0"/>
                      <wp:wrapNone/>
                      <wp:docPr id="303" name="Frame303"/>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81610" cy="175260"/>
                      <wp:effectExtent l="0" t="0" r="0" b="0"/>
                      <wp:wrapNone/>
                      <wp:docPr id="304" name="Frame30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24460" cy="175260"/>
                      <wp:effectExtent l="0" t="0" r="0" b="0"/>
                      <wp:wrapNone/>
                      <wp:docPr id="305" name="Frame3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67335" cy="175260"/>
                      <wp:effectExtent l="0" t="0" r="0" b="0"/>
                      <wp:wrapNone/>
                      <wp:docPr id="306" name="Frame30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57835" cy="175260"/>
                      <wp:effectExtent l="0" t="0" r="0" b="0"/>
                      <wp:wrapNone/>
                      <wp:docPr id="308" name="Frame30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24460" cy="175260"/>
                      <wp:effectExtent l="0" t="0" r="0" b="0"/>
                      <wp:wrapNone/>
                      <wp:docPr id="310" name="Frame3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343535" cy="175260"/>
                      <wp:effectExtent l="0" t="0" r="0" b="0"/>
                      <wp:wrapNone/>
                      <wp:docPr id="311" name="Frame31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24460" cy="175260"/>
                      <wp:effectExtent l="0" t="0" r="0" b="0"/>
                      <wp:wrapNone/>
                      <wp:docPr id="313" name="Frame3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324485" cy="175260"/>
                      <wp:effectExtent l="0" t="0" r="0" b="0"/>
                      <wp:wrapNone/>
                      <wp:docPr id="314" name="Frame31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5"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57835" cy="175260"/>
                      <wp:effectExtent l="0" t="0" r="0" b="0"/>
                      <wp:wrapNone/>
                      <wp:docPr id="316" name="Frame31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24460" cy="175260"/>
                      <wp:effectExtent l="0" t="0" r="0" b="0"/>
                      <wp:wrapNone/>
                      <wp:docPr id="318" name="Frame3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372110" cy="175260"/>
                      <wp:effectExtent l="0" t="0" r="0" b="0"/>
                      <wp:wrapNone/>
                      <wp:docPr id="319" name="Frame31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276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June 30, 2025</w:t>
            </w:r>
          </w:p>
        </w:tc>
        <w:tc>
          <w:tcPr>
            <w:tcW w:w="346" w:type="dxa"/>
            <w:tcBorders/>
            <w:vAlign w:val="center"/>
          </w:tcPr>
          <w:p>
            <w:pPr>
              <w:pStyle w:val="TableContents"/>
              <w:bidi w:val="0"/>
              <w:spacing w:before="0" w:after="0"/>
              <w:ind w:left="0" w:right="0" w:hanging="0"/>
              <w:jc w:val="left"/>
              <w:rPr/>
            </w:pPr>
            <w:r>
              <w:rPr/>
              <w:t>​</w:t>
            </w:r>
          </w:p>
        </w:tc>
        <w:tc>
          <w:tcPr>
            <w:tcW w:w="290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Six Months Ended June 30, 2025</w:t>
            </w:r>
          </w:p>
        </w:tc>
      </w:tr>
      <w:tr>
        <w:trPr/>
        <w:tc>
          <w:tcPr>
            <w:tcW w:w="26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46" w:type="dxa"/>
            <w:tcBorders/>
            <w:vAlign w:val="center"/>
          </w:tcPr>
          <w:p>
            <w:pPr>
              <w:pStyle w:val="TableContents"/>
              <w:bidi w:val="0"/>
              <w:spacing w:before="0" w:after="0"/>
              <w:ind w:left="0" w:right="0" w:hanging="0"/>
              <w:jc w:val="left"/>
              <w:rPr/>
            </w:pPr>
            <w:r>
              <w:rPr/>
              <w:t>  ​ ​ ​</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r>
      <w:tr>
        <w:trPr/>
        <w:tc>
          <w:tcPr>
            <w:tcW w:w="26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4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r>
      <w:tr>
        <w:trPr/>
        <w:tc>
          <w:tcPr>
            <w:tcW w:w="26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1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4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(In millions, except per share amounts)</w:t>
            </w:r>
          </w:p>
        </w:tc>
        <w:tc>
          <w:tcPr>
            <w:tcW w:w="286" w:type="dxa"/>
            <w:tcBorders/>
            <w:vAlign w:val="center"/>
          </w:tcPr>
          <w:p>
            <w:pPr>
              <w:pStyle w:val="TableContents"/>
              <w:bidi w:val="0"/>
              <w:spacing w:before="0" w:after="0"/>
              <w:ind w:left="0" w:right="0" w:hanging="0"/>
              <w:jc w:val="left"/>
              <w:rPr/>
            </w:pPr>
            <w:r>
              <w:rPr/>
              <w:t>​</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4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94.7</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167.0</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(0.05)</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94.7</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167.0</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5.09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348" w:name="_Hlk164155045"/>
      <w:bookmarkEnd w:id="1348"/>
      <w:r>
        <w:rPr>
          <w:rFonts w:ascii="Times New Roman;Times;serif" w:hAnsi="Times New Roman;Times;serif"/>
          <w:b/>
          <w:sz w:val="20"/>
        </w:rPr>
        <w:t>14.</w:t>
      </w:r>
      <w:r>
        <w:rPr>
          <w:rFonts w:ascii="Times New Roman;Times;serif" w:hAnsi="Times New Roman;Times;serif"/>
          <w:sz w:val="20"/>
        </w:rPr>
        <w:t>          </w:t>
      </w:r>
      <w:r>
        <w:rPr>
          <w:rFonts w:ascii="Times New Roman;Times;serif" w:hAnsi="Times New Roman;Times;serif"/>
          <w:b/>
          <w:sz w:val="20"/>
        </w:rPr>
        <w:t>SHARE-BASED AWARDS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share-based awards are described in Note 15 to the Consolidated Financial Statements included in Part II, Item 8 of the Company’s Annual Report on Form 10-K for the year ended December 31, 2025. During the three and six months ended June 30, 2026, the Company granted time-based restricted stock units and performance-based shares to certain of its employees totaling approximately 6,500 shares and 267,400 shares, with a combined weighted average grant date fair value of $170.13 and $117.58 per share,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share-based compensation expense, net of forfeitures recognized in the Condensed Consolidated Statements of Income and Comprehensive Income as a component of general and administrative expenses was $6.2 million and $5.9 million for the three months ended June 30, 2026 and 2025, and $11.7 million and $11.7 million for the six months ended June 30, 2026 and 2025, respectively. Total unrecognized compensation cost related to non-vested stock units and performance based equity awards was $33.4 million at June 30, 2026, and is expected to be recognized over a weighted average period of approximately 1.9 years.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349" w:name="Tc_RWdztRKtQkKNQxudyblJYA_10_11"/>
      <w:bookmarkStart w:id="1350" w:name="Tc_AH-AJm3JA0qH3rSlDhY-FA_10_8"/>
      <w:bookmarkStart w:id="1351" w:name="Tc_lVWz47zWFEiRZ3ssNo767g_10_5"/>
      <w:bookmarkStart w:id="1352" w:name="Tc_C-2GhefTSEOd6vE87DE4mg_10_2"/>
      <w:bookmarkStart w:id="1353" w:name="Tc_qkEUsOZjAkmXljOby2uQjA_10_0"/>
      <w:bookmarkStart w:id="1354" w:name="Tc_HO5Hyvr4_0uODNwAUh2P_g_9_6"/>
      <w:bookmarkStart w:id="1355" w:name="Tc_pPStCIj7tk26sejQa_yizg_9_3"/>
      <w:bookmarkStart w:id="1356" w:name="Tc_IkZaZZlgXE6Bz4WKKPVqGw_9_0"/>
      <w:bookmarkStart w:id="1357" w:name="Tc_qpiKrEdkH0uyOGHTIcfqXA_8_6"/>
      <w:bookmarkStart w:id="1358" w:name="Tc_qMQ1FhhTW0Glq4xNow0i8g_8_3"/>
      <w:bookmarkStart w:id="1359" w:name="Tc_Mjz3SmEYS06fqa82rZ6ZUQ_8_0"/>
      <w:bookmarkStart w:id="1360" w:name="Tc_3bUgaIwt-UyIHfNqj9SdsQ_7_12"/>
      <w:bookmarkStart w:id="1361" w:name="Tc_67_-Hlm9fka-tKlJ5RQQFQ_7_9"/>
      <w:bookmarkStart w:id="1362" w:name="Tc_Og06y6-xbkmdthojYuUxZg_7_0"/>
      <w:bookmarkStart w:id="1363" w:name="Tc_iy9a0s0cvUeRcgNroExhSQ_6_0"/>
      <w:bookmarkStart w:id="1364" w:name="Tc_id_wLpR-kkit5nNEgiRTFQ_5_11"/>
      <w:bookmarkStart w:id="1365" w:name="Tc_iHGv_PG_60GJYLJHKtKRog_5_8"/>
      <w:bookmarkStart w:id="1366" w:name="Tc_uxhEpUKa5UuU_2cMDUy_Nw_5_5"/>
      <w:bookmarkStart w:id="1367" w:name="Tc_CigelBLWUUWdp_W6zc5Svw_5_2"/>
      <w:bookmarkStart w:id="1368" w:name="Tc_yX3H8Rk7EE6pc9F7Y5itfA_5_0"/>
      <w:bookmarkStart w:id="1369" w:name="Tc_J1c3wWdmYkmgTsPKH99FUA_4_0"/>
      <w:bookmarkStart w:id="1370" w:name="Tc_QL53FMgkO0qjYFsO-p7EFg_3_11"/>
      <w:bookmarkStart w:id="1371" w:name="Tc_2toe9L9EOkueqG9eou6LSA_3_8"/>
      <w:bookmarkStart w:id="1372" w:name="Tc_msbiMBFiQECu5IaCNTUv6g_3_5"/>
      <w:bookmarkStart w:id="1373" w:name="Tc_f6x8gbgEAEyOTN3ibdf0_w_3_2"/>
      <w:bookmarkStart w:id="1374" w:name="Tc_fHk_HVk79kSexjdnaRz5lw_3_0"/>
      <w:bookmarkStart w:id="1375" w:name="Tc_hX0y3Cn1zUKQAuVosHAmvA_2_8"/>
      <w:bookmarkStart w:id="1376" w:name="Tc_piWf8agSp0e9jvs3kXrYHg_2_2"/>
      <w:bookmarkStart w:id="1377" w:name="Tc_zyuuq9qSQE24xwSDil7mxA_1_8"/>
      <w:bookmarkStart w:id="1378" w:name="Tc_8g3giTr-rU6SlPsY2g6gWw_1_2"/>
      <w:bookmarkStart w:id="1379" w:name="_f4b8834f_6650_4775_bbe5_a0c54e022708"/>
      <w:bookmarkStart w:id="1380" w:name="Tc_pIYc1V_5nEq6elMPI04nrw_10_11"/>
      <w:bookmarkStart w:id="1381" w:name="Tc_ancWq2frtk2YTlst-UJxug_10_8"/>
      <w:bookmarkStart w:id="1382" w:name="Tc_Wnzoc4_kd0SFSM-FIe_Liw_10_5"/>
      <w:bookmarkStart w:id="1383" w:name="Tc_mEFP6nOglEak3PSL89sMtg_10_3"/>
      <w:bookmarkStart w:id="1384" w:name="Tc_R6OJSOXBDE2YqVe8IdogQg_10_2"/>
      <w:bookmarkStart w:id="1385" w:name="Tc_L6Tw0xqnD0K2pTf1eXb5XQ_10_0"/>
      <w:bookmarkStart w:id="1386" w:name="Tc_BmUPIRUZwU6Ah32R-ikfkA_9_6"/>
      <w:bookmarkStart w:id="1387" w:name="Tc_wNjoyxWQ1EWSP2i5QR7g0Q_9_3"/>
      <w:bookmarkStart w:id="1388" w:name="Tc_gOVxo4YkM0yxakK3kMZ4Dw_9_0"/>
      <w:bookmarkStart w:id="1389" w:name="Tc_kqbUi9dt9EeYoEBZMLoZVQ_8_6"/>
      <w:bookmarkStart w:id="1390" w:name="Tc_yTTHelUKEEGWEZl4-5mV-g_8_3"/>
      <w:bookmarkStart w:id="1391" w:name="Tc_LBLti2vp9ECcAWPT99ZsIg_8_0"/>
      <w:bookmarkStart w:id="1392" w:name="Tc_NpNsSACru0CrVLYqG2kRAw_7_12"/>
      <w:bookmarkStart w:id="1393" w:name="Tc_m8DV41yS80WYMfFyB7y-cg_7_9"/>
      <w:bookmarkStart w:id="1394" w:name="Tc_ECcfGsG3MkGTd_WjIP16hw_7_0"/>
      <w:bookmarkStart w:id="1395" w:name="Tc_f_v1HCOPgE6MK-6kat85mQ_6_0"/>
      <w:bookmarkStart w:id="1396" w:name="Tc_z0ochsS1Nka-eJAMMJ8T3w_5_11"/>
      <w:bookmarkStart w:id="1397" w:name="Tc_Y05tYpYvpk6nnET9jZtvYg_5_9"/>
      <w:bookmarkStart w:id="1398" w:name="Tc_-7rFvZ45502bj8hywKHEKA_5_8"/>
      <w:bookmarkStart w:id="1399" w:name="Tc_uQh6X2Ae0EWOeq61pl8MIQ_5_5"/>
      <w:bookmarkStart w:id="1400" w:name="Tc_VUN1LlxpcUucwQpViNsX3w_5_2"/>
      <w:bookmarkStart w:id="1401" w:name="Tc_YBa14kaxGE-gzSkCWM2ziw_5_0"/>
      <w:bookmarkStart w:id="1402" w:name="Tc_Cv6QEA-o9U2e82QyphSXVA_4_0"/>
      <w:bookmarkStart w:id="1403" w:name="Tc_0KIDr52NTkyltXQGFjy3QA_3_11"/>
      <w:bookmarkStart w:id="1404" w:name="Tc_HXolKZorIkGF-YfHhlVlmw_3_8"/>
      <w:bookmarkStart w:id="1405" w:name="Tc_8rbNjAJAC0y0VE74Q3HgZQ_3_5"/>
      <w:bookmarkStart w:id="1406" w:name="Tc_PwDQkX0Ry0WaIyW_4R6Pbw_3_2"/>
      <w:bookmarkStart w:id="1407" w:name="Tc_YrK4ThQUsE2HbVxns7yjmQ_3_0"/>
      <w:bookmarkStart w:id="1408" w:name="Tc_JDnirF1jhkO14J8t--jpCQ_2_8"/>
      <w:bookmarkStart w:id="1409" w:name="Tc_a0JXEJjnVEyeAZirSuDRow_2_2"/>
      <w:bookmarkStart w:id="1410" w:name="Tc_jrLsW7lfo0OTErZMjVfMgQ_1_8"/>
      <w:bookmarkStart w:id="1411" w:name="Tc_cKGS2VSzSUalF3f_L8C93w_1_2"/>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r>
        <w:rPr>
          <w:rFonts w:ascii="Times New Roman;Times;serif" w:hAnsi="Times New Roman;Times;serif"/>
          <w:b/>
          <w:sz w:val="20"/>
        </w:rPr>
        <w:t>15.</w:t>
      </w:r>
      <w:r>
        <w:rPr>
          <w:rFonts w:ascii="Times New Roman;Times;serif" w:hAnsi="Times New Roman;Times;serif"/>
          <w:sz w:val="20"/>
        </w:rPr>
        <w:t>          </w:t>
      </w:r>
      <w:r>
        <w:rPr>
          <w:rFonts w:ascii="Times New Roman;Times;serif" w:hAnsi="Times New Roman;Times;serif"/>
          <w:b/>
          <w:sz w:val="20"/>
        </w:rPr>
        <w:t>PENSION AND POST-RETIREMENT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pension and post-retirement plans are described in Note 11 to the Consolidated Financial Statements included in Part II, Item 8 of the Company’s Annual Report on Form 10-K for the year ended December 31, 2025. Components of net periodic benefit cost and other amounts recognized in Other Comprehensive Income (Loss) for the qualified pension plans and the post-retirement benefit plans for the three and six months ended June 30, 2026 and 2025 consisted of the following:</w:t>
      </w:r>
    </w:p>
    <w:p>
      <w:pPr>
        <w:pStyle w:val="TextBody"/>
        <w:bidi w:val="0"/>
        <w:spacing w:before="0" w:after="0"/>
        <w:ind w:left="0" w:right="0" w:hanging="0"/>
        <w:jc w:val="left"/>
        <w:rPr/>
      </w:pPr>
      <w:r>
        <w:rPr/>
        <w:t>​</w:t>
      </w:r>
    </w:p>
    <w:tbl>
      <w:tblPr>
        <w:tblW w:w="9420" w:type="dxa"/>
        <w:jc w:val="left"/>
        <w:tblInd w:w="0" w:type="dxa"/>
        <w:tblLayout w:type="fixed"/>
        <w:tblCellMar>
          <w:top w:w="0" w:type="dxa"/>
          <w:left w:w="0" w:type="dxa"/>
          <w:bottom w:w="0" w:type="dxa"/>
          <w:right w:w="0" w:type="dxa"/>
        </w:tblCellMar>
      </w:tblPr>
      <w:tblGrid>
        <w:gridCol w:w="4066"/>
        <w:gridCol w:w="346"/>
        <w:gridCol w:w="281"/>
        <w:gridCol w:w="642"/>
        <w:gridCol w:w="462"/>
        <w:gridCol w:w="281"/>
        <w:gridCol w:w="642"/>
        <w:gridCol w:w="346"/>
        <w:gridCol w:w="300"/>
        <w:gridCol w:w="598"/>
        <w:gridCol w:w="491"/>
        <w:gridCol w:w="300"/>
        <w:gridCol w:w="665"/>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581910" cy="175260"/>
                      <wp:effectExtent l="0" t="0" r="0" b="0"/>
                      <wp:wrapNone/>
                      <wp:docPr id="320" name="Frame320"/>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78435" cy="175260"/>
                      <wp:effectExtent l="0" t="0" r="0" b="0"/>
                      <wp:wrapNone/>
                      <wp:docPr id="322" name="Frame322"/>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07670" cy="175260"/>
                      <wp:effectExtent l="0" t="0" r="0" b="0"/>
                      <wp:wrapNone/>
                      <wp:docPr id="323" name="Frame323"/>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93370" cy="175260"/>
                      <wp:effectExtent l="0" t="0" r="0" b="0"/>
                      <wp:wrapNone/>
                      <wp:docPr id="324" name="Frame324"/>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78435" cy="175260"/>
                      <wp:effectExtent l="0" t="0" r="0" b="0"/>
                      <wp:wrapNone/>
                      <wp:docPr id="325" name="Frame32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07670" cy="175260"/>
                      <wp:effectExtent l="0" t="0" r="0" b="0"/>
                      <wp:wrapNone/>
                      <wp:docPr id="326" name="Frame326"/>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90500" cy="175260"/>
                      <wp:effectExtent l="0" t="0" r="0" b="0"/>
                      <wp:wrapNone/>
                      <wp:docPr id="328" name="Frame328"/>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379730" cy="175260"/>
                      <wp:effectExtent l="0" t="0" r="0" b="0"/>
                      <wp:wrapNone/>
                      <wp:docPr id="329" name="Frame329"/>
                      <a:graphic xmlns:a="http://schemas.openxmlformats.org/drawingml/2006/main">
                        <a:graphicData uri="http://schemas.microsoft.com/office/word/2010/wordprocessingShape">
                          <wps:wsp>
                            <wps:cNvSpPr txBox="1"/>
                            <wps:spPr>
                              <a:xfrm>
                                <a:off x="0" y="0"/>
                                <a:ext cx="379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11785" cy="175260"/>
                      <wp:effectExtent l="0" t="0" r="0" b="0"/>
                      <wp:wrapNone/>
                      <wp:docPr id="330" name="Frame330"/>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90500" cy="175260"/>
                      <wp:effectExtent l="0" t="0" r="0" b="0"/>
                      <wp:wrapNone/>
                      <wp:docPr id="331" name="Frame331"/>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22275" cy="175260"/>
                      <wp:effectExtent l="0" t="0" r="0" b="0"/>
                      <wp:wrapNone/>
                      <wp:docPr id="332" name="Frame332"/>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346" w:type="dxa"/>
            <w:tcBorders/>
            <w:vAlign w:val="center"/>
          </w:tcPr>
          <w:p>
            <w:pPr>
              <w:pStyle w:val="TableContents"/>
              <w:bidi w:val="0"/>
              <w:spacing w:before="0" w:after="0"/>
              <w:ind w:left="0" w:right="0" w:hanging="0"/>
              <w:jc w:val="left"/>
              <w:rPr/>
            </w:pPr>
            <w:r>
              <w:rPr/>
              <w:t>​</w:t>
            </w:r>
          </w:p>
        </w:tc>
        <w:tc>
          <w:tcPr>
            <w:tcW w:w="235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3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40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2" w:type="dxa"/>
            <w:tcBorders/>
            <w:vAlign w:val="center"/>
          </w:tcPr>
          <w:p>
            <w:pPr>
              <w:pStyle w:val="TableContents"/>
              <w:bidi w:val="0"/>
              <w:spacing w:before="0" w:after="0"/>
              <w:ind w:left="0" w:right="0" w:hanging="0"/>
              <w:jc w:val="left"/>
              <w:rPr/>
            </w:pPr>
            <w:r>
              <w:rPr/>
              <w:t>  ​ ​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91" w:type="dxa"/>
            <w:tcBorders/>
            <w:vAlign w:val="center"/>
          </w:tcPr>
          <w:p>
            <w:pPr>
              <w:pStyle w:val="TableContents"/>
              <w:bidi w:val="0"/>
              <w:spacing w:before="0" w:after="0"/>
              <w:ind w:left="0" w:right="0" w:hanging="0"/>
              <w:jc w:val="left"/>
              <w:rPr/>
            </w:pPr>
            <w:r>
              <w:rPr/>
              <w:t>  ​ ​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Components of net periodic benefit cost (credit):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642" w:type="dxa"/>
            <w:tcBorders/>
            <w:shd w:fill="CCEEFF" w:val="clear"/>
            <w:vAlign w:val="center"/>
          </w:tcPr>
          <w:p>
            <w:pPr>
              <w:pStyle w:val="TableContents"/>
              <w:bidi w:val="0"/>
              <w:spacing w:before="0" w:after="0"/>
              <w:ind w:left="0" w:right="0" w:hanging="0"/>
              <w:jc w:val="center"/>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64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center"/>
              <w:rPr/>
            </w:pPr>
            <w:r>
              <w:rPr/>
              <w:t>​</w:t>
            </w:r>
          </w:p>
        </w:tc>
        <w:tc>
          <w:tcPr>
            <w:tcW w:w="598" w:type="dxa"/>
            <w:tcBorders/>
            <w:shd w:fill="CCEEFF" w:val="clear"/>
            <w:vAlign w:val="center"/>
          </w:tcPr>
          <w:p>
            <w:pPr>
              <w:pStyle w:val="TableContents"/>
              <w:bidi w:val="0"/>
              <w:spacing w:before="0" w:after="0"/>
              <w:ind w:left="0" w:right="0" w:hanging="0"/>
              <w:jc w:val="center"/>
              <w:rPr/>
            </w:pPr>
            <w:r>
              <w:rPr/>
              <w:t>​</w:t>
            </w:r>
          </w:p>
        </w:tc>
        <w:tc>
          <w:tcPr>
            <w:tcW w:w="491"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center"/>
              <w:rPr/>
            </w:pPr>
            <w:r>
              <w:rPr/>
              <w:t>​</w:t>
            </w:r>
          </w:p>
        </w:tc>
        <w:tc>
          <w:tcPr>
            <w:tcW w:w="665" w:type="dxa"/>
            <w:tcBorders/>
            <w:shd w:fill="CCEEFF" w:val="clear"/>
            <w:vAlign w:val="center"/>
          </w:tcPr>
          <w:p>
            <w:pPr>
              <w:pStyle w:val="TableContents"/>
              <w:bidi w:val="0"/>
              <w:spacing w:before="0" w:after="0"/>
              <w:ind w:left="0" w:right="0" w:hanging="0"/>
              <w:jc w:val="center"/>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5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491"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598" w:type="dxa"/>
            <w:tcBorders/>
            <w:vAlign w:val="center"/>
          </w:tcPr>
          <w:p>
            <w:pPr>
              <w:pStyle w:val="TableContents"/>
              <w:bidi w:val="0"/>
              <w:spacing w:before="0" w:after="0"/>
              <w:ind w:left="0" w:right="0" w:hanging="0"/>
              <w:jc w:val="right"/>
              <w:rPr/>
            </w:pPr>
            <w:r>
              <w:rPr/>
              <w:t>—</w:t>
            </w:r>
          </w:p>
        </w:tc>
        <w:tc>
          <w:tcPr>
            <w:tcW w:w="491"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actuarial loss (gain)</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5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91"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62"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491"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benefit credit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491"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bl>
    <w:p>
      <w:pPr>
        <w:pStyle w:val="TextBody"/>
        <w:bidi w:val="0"/>
        <w:spacing w:before="0" w:after="0"/>
        <w:ind w:left="0" w:right="0" w:hanging="0"/>
        <w:jc w:val="left"/>
        <w:rPr/>
      </w:pPr>
      <w:r>
        <w:rPr/>
        <w:t>​</w:t>
      </w:r>
    </w:p>
    <w:tbl>
      <w:tblPr>
        <w:tblW w:w="9031" w:type="dxa"/>
        <w:jc w:val="left"/>
        <w:tblInd w:w="0" w:type="dxa"/>
        <w:tblLayout w:type="fixed"/>
        <w:tblCellMar>
          <w:top w:w="0" w:type="dxa"/>
          <w:left w:w="0" w:type="dxa"/>
          <w:bottom w:w="0" w:type="dxa"/>
          <w:right w:w="0" w:type="dxa"/>
        </w:tblCellMar>
      </w:tblPr>
      <w:tblGrid>
        <w:gridCol w:w="4066"/>
        <w:gridCol w:w="346"/>
        <w:gridCol w:w="258"/>
        <w:gridCol w:w="588"/>
        <w:gridCol w:w="423"/>
        <w:gridCol w:w="258"/>
        <w:gridCol w:w="588"/>
        <w:gridCol w:w="346"/>
        <w:gridCol w:w="275"/>
        <w:gridCol w:w="548"/>
        <w:gridCol w:w="451"/>
        <w:gridCol w:w="275"/>
        <w:gridCol w:w="609"/>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581910" cy="175260"/>
                      <wp:effectExtent l="0" t="0" r="0" b="0"/>
                      <wp:wrapNone/>
                      <wp:docPr id="333" name="Frame333"/>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63830" cy="175260"/>
                      <wp:effectExtent l="0" t="0" r="0" b="0"/>
                      <wp:wrapNone/>
                      <wp:docPr id="335" name="Frame335"/>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373380" cy="175260"/>
                      <wp:effectExtent l="0" t="0" r="0" b="0"/>
                      <wp:wrapNone/>
                      <wp:docPr id="336" name="Frame336"/>
                      <a:graphic xmlns:a="http://schemas.openxmlformats.org/drawingml/2006/main">
                        <a:graphicData uri="http://schemas.microsoft.com/office/word/2010/wordprocessingShape">
                          <wps:wsp>
                            <wps:cNvSpPr txBox="1"/>
                            <wps:spPr>
                              <a:xfrm>
                                <a:off x="0" y="0"/>
                                <a:ext cx="373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68605" cy="175260"/>
                      <wp:effectExtent l="0" t="0" r="0" b="0"/>
                      <wp:wrapNone/>
                      <wp:docPr id="337" name="Frame337"/>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63830" cy="175260"/>
                      <wp:effectExtent l="0" t="0" r="0" b="0"/>
                      <wp:wrapNone/>
                      <wp:docPr id="338" name="Frame338"/>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73380" cy="175260"/>
                      <wp:effectExtent l="0" t="0" r="0" b="0"/>
                      <wp:wrapNone/>
                      <wp:docPr id="339" name="Frame339"/>
                      <a:graphic xmlns:a="http://schemas.openxmlformats.org/drawingml/2006/main">
                        <a:graphicData uri="http://schemas.microsoft.com/office/word/2010/wordprocessingShape">
                          <wps:wsp>
                            <wps:cNvSpPr txBox="1"/>
                            <wps:spPr>
                              <a:xfrm>
                                <a:off x="0" y="0"/>
                                <a:ext cx="373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40"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74625" cy="175260"/>
                      <wp:effectExtent l="0" t="0" r="0" b="0"/>
                      <wp:wrapNone/>
                      <wp:docPr id="341" name="Frame341"/>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347980" cy="175260"/>
                      <wp:effectExtent l="0" t="0" r="0" b="0"/>
                      <wp:wrapNone/>
                      <wp:docPr id="342" name="Frame342"/>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86385" cy="175260"/>
                      <wp:effectExtent l="0" t="0" r="0" b="0"/>
                      <wp:wrapNone/>
                      <wp:docPr id="343" name="Frame34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74625" cy="175260"/>
                      <wp:effectExtent l="0" t="0" r="0" b="0"/>
                      <wp:wrapNone/>
                      <wp:docPr id="344" name="Frame344"/>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86715" cy="175260"/>
                      <wp:effectExtent l="0" t="0" r="0" b="0"/>
                      <wp:wrapNone/>
                      <wp:docPr id="345" name="Frame345"/>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346" w:type="dxa"/>
            <w:tcBorders/>
            <w:vAlign w:val="center"/>
          </w:tcPr>
          <w:p>
            <w:pPr>
              <w:pStyle w:val="TableContents"/>
              <w:bidi w:val="0"/>
              <w:spacing w:before="0" w:after="0"/>
              <w:ind w:left="0" w:right="0" w:hanging="0"/>
              <w:jc w:val="left"/>
              <w:rPr/>
            </w:pPr>
            <w:r>
              <w:rPr/>
              <w:t>​</w:t>
            </w:r>
          </w:p>
        </w:tc>
        <w:tc>
          <w:tcPr>
            <w:tcW w:w="215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0"/>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0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8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3" w:type="dxa"/>
            <w:tcBorders/>
            <w:vAlign w:val="center"/>
          </w:tcPr>
          <w:p>
            <w:pPr>
              <w:pStyle w:val="TableContents"/>
              <w:bidi w:val="0"/>
              <w:spacing w:before="0" w:after="0"/>
              <w:ind w:left="0" w:right="0" w:hanging="0"/>
              <w:jc w:val="left"/>
              <w:rPr/>
            </w:pPr>
            <w:r>
              <w:rPr/>
              <w:t>  ​ ​ ​</w:t>
            </w:r>
          </w:p>
        </w:tc>
        <w:tc>
          <w:tcPr>
            <w:tcW w:w="8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1" w:type="dxa"/>
            <w:tcBorders/>
            <w:vAlign w:val="center"/>
          </w:tcPr>
          <w:p>
            <w:pPr>
              <w:pStyle w:val="TableContents"/>
              <w:bidi w:val="0"/>
              <w:spacing w:before="0" w:after="0"/>
              <w:ind w:left="0" w:right="0" w:hanging="0"/>
              <w:jc w:val="left"/>
              <w:rPr/>
            </w:pPr>
            <w:r>
              <w:rPr/>
              <w:t>  ​ ​ ​</w:t>
            </w:r>
          </w:p>
        </w:tc>
        <w:tc>
          <w:tcPr>
            <w:tcW w:w="8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Components of net periodic benefit cost (credit):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center"/>
              <w:rPr/>
            </w:pPr>
            <w:r>
              <w:rPr/>
              <w:t>​</w:t>
            </w:r>
          </w:p>
        </w:tc>
        <w:tc>
          <w:tcPr>
            <w:tcW w:w="588" w:type="dxa"/>
            <w:tcBorders/>
            <w:shd w:fill="CCEEFF" w:val="clear"/>
            <w:vAlign w:val="center"/>
          </w:tcPr>
          <w:p>
            <w:pPr>
              <w:pStyle w:val="TableContents"/>
              <w:bidi w:val="0"/>
              <w:spacing w:before="0" w:after="0"/>
              <w:ind w:left="0" w:right="0" w:hanging="0"/>
              <w:jc w:val="center"/>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center"/>
              <w:rPr/>
            </w:pPr>
            <w:r>
              <w:rPr/>
              <w:t>​</w:t>
            </w:r>
          </w:p>
        </w:tc>
        <w:tc>
          <w:tcPr>
            <w:tcW w:w="588"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center"/>
              <w:rPr/>
            </w:pPr>
            <w:r>
              <w:rPr/>
              <w:t>​</w:t>
            </w:r>
          </w:p>
        </w:tc>
        <w:tc>
          <w:tcPr>
            <w:tcW w:w="548" w:type="dxa"/>
            <w:tcBorders/>
            <w:shd w:fill="CCEEFF" w:val="clear"/>
            <w:vAlign w:val="center"/>
          </w:tcPr>
          <w:p>
            <w:pPr>
              <w:pStyle w:val="TableContents"/>
              <w:bidi w:val="0"/>
              <w:spacing w:before="0" w:after="0"/>
              <w:ind w:left="0" w:right="0" w:hanging="0"/>
              <w:jc w:val="center"/>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center"/>
              <w:rPr/>
            </w:pPr>
            <w:r>
              <w:rPr/>
              <w:t>​</w:t>
            </w:r>
          </w:p>
        </w:tc>
        <w:tc>
          <w:tcPr>
            <w:tcW w:w="609" w:type="dxa"/>
            <w:tcBorders/>
            <w:shd w:fill="CCEEFF" w:val="clear"/>
            <w:vAlign w:val="center"/>
          </w:tcPr>
          <w:p>
            <w:pPr>
              <w:pStyle w:val="TableContents"/>
              <w:bidi w:val="0"/>
              <w:spacing w:before="0" w:after="0"/>
              <w:ind w:left="0" w:right="0" w:hanging="0"/>
              <w:jc w:val="center"/>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423"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51"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5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423"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5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451"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 </w:t>
            </w:r>
          </w:p>
        </w:tc>
        <w:tc>
          <w:tcPr>
            <w:tcW w:w="6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423"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5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right"/>
              <w:rPr/>
            </w:pPr>
            <w:r>
              <w:rPr/>
              <w:t>—</w:t>
            </w:r>
          </w:p>
        </w:tc>
        <w:tc>
          <w:tcPr>
            <w:tcW w:w="451"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 </w:t>
            </w:r>
          </w:p>
        </w:tc>
        <w:tc>
          <w:tcPr>
            <w:tcW w:w="609"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actuarial loss (gain)</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588" w:type="dxa"/>
            <w:tcBorders/>
            <w:shd w:fill="CCEEFF" w:val="clear"/>
            <w:vAlign w:val="center"/>
          </w:tcPr>
          <w:p>
            <w:pPr>
              <w:pStyle w:val="TableContents"/>
              <w:bidi w:val="0"/>
              <w:spacing w:before="0" w:after="0"/>
              <w:ind w:left="0" w:right="0" w:hanging="0"/>
              <w:jc w:val="right"/>
              <w:rPr/>
            </w:pPr>
            <w:r>
              <w:rPr/>
              <w:t>—</w:t>
            </w:r>
          </w:p>
        </w:tc>
        <w:tc>
          <w:tcPr>
            <w:tcW w:w="423"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5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451"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 </w:t>
            </w:r>
          </w:p>
        </w:tc>
        <w:tc>
          <w:tcPr>
            <w:tcW w:w="6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4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23"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51"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benefit credit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423"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451"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16.</w:t>
      </w:r>
      <w:r>
        <w:rPr>
          <w:rFonts w:ascii="Times New Roman;Times;serif" w:hAnsi="Times New Roman;Times;serif"/>
          <w:sz w:val="20"/>
        </w:rPr>
        <w:t>          </w:t>
      </w:r>
      <w:r>
        <w:rPr>
          <w:rFonts w:ascii="Times New Roman;Times;serif" w:hAnsi="Times New Roman;Times;serif"/>
          <w:b/>
          <w:sz w:val="20"/>
        </w:rPr>
        <w:t>COMMITMENTS AND CONTINGENCIES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commitments and contingencies are described in Note 17 to the Consolidated Financial Statements included in Part II, Item 8 of the Company’s Annual Report on Form 10-K for the year ended December 31, 2025. Contingencies and other litigation related matters are described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Environmental Matters:</w:t>
      </w:r>
      <w:r>
        <w:rPr>
          <w:rFonts w:ascii="Times New Roman;Times;serif" w:hAnsi="Times New Roman;Times;serif"/>
          <w:sz w:val="20"/>
        </w:rPr>
        <w:t xml:space="preserve"> The Company faces certain risks that could result in material expenditures related to environmental remediation. The Company believes that based on all information currently available to it, the Company is currently in compliance, in all material respects, with applicable environmental laws and regulations.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Other Matters:</w:t>
      </w:r>
      <w:r>
        <w:rPr>
          <w:rFonts w:ascii="Times New Roman;Times;serif" w:hAnsi="Times New Roman;Times;serif"/>
          <w:sz w:val="20"/>
        </w:rPr>
        <w:t xml:space="preserve"> 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12" w:name="ITEM_2_MDA"/>
      <w:bookmarkStart w:id="1413" w:name="_71243358_1bd0_4645_93fc_ab66bd87e356"/>
      <w:bookmarkEnd w:id="1412"/>
      <w:bookmarkEnd w:id="1413"/>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discussion and analysis should be read in conjunction with the Condensed Consolidated Financial Statements and related notes, and other financial information appearing elsewhere in this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 Company, from time to time, may make or may have made certain forward-looking statements, whether orally or in writing, such as, among others, forecasts or projections of the Company’s future performance or statements of management’s plans and objectives. These statements are considered “forward-looking” statements as that term is defined in the Private Securities Litigation Reform Act of 1995. Such forward-looking statements may be contained in, among other things, Securities and Exchange Commission (“SEC”) filings such as Forms 10-K, 10-Q and 8-K, the Company’s Annual Report to Shareholders, the Company’s Sustainability Report, press releases made by the Company, the Company’s Internet websites (including websites of its subsidiaries), and oral statements made by officers of the Company. Except for historical information contained in these written or oral communications, all other statements are forward-looking statements. These include, for example, all references to 2026 or future years, including such references included under “Second Quarter 2026 Discussion and Outlook for 2026,” as well as statements generally identified through the inclusion of words such as “anticipate,” “believe,” “can,” “commit,” “estimate,” “expect,” “focus,” “goal,” “hope,” “intend,” “may,” “plan,” “seek,” “should,” “target,” and “will,” or similar statements or variations of such terms and other similar expressions. New risks or uncertainties may emerge from time to time, risks that the Company currently does not consider to be material could become material, and it is not possible for the Company to predict all such risks, nor can it assess the impact of all such risks on the Company’s business or the extent to which any factor, or combination of factors, may cause actual results or outcomes, or the timing of results or outcomes, to differ materially from those contained in any forward-looking statements. Accordingly, forward-looking statements cannot be relied upon as a guarantee of future results or outcomes and involve a number of risks and uncertainties that could cause actual results or outcomes to differ materially from those projected in the statements, including but not limited to the factors that are described in Part II, Item 1A under the caption “Risk Factors” of the Company’s </w:t>
      </w:r>
      <w:hyperlink r:id="rId2">
        <w:r>
          <w:rPr>
            <w:rStyle w:val="InternetLink"/>
            <w:rFonts w:ascii="Times New Roman;Times;serif" w:hAnsi="Times New Roman;Times;serif"/>
            <w:b w:val="false"/>
            <w:i w:val="false"/>
            <w:caps w:val="false"/>
            <w:smallCaps w:val="false"/>
            <w:sz w:val="20"/>
          </w:rPr>
          <w:t>Form 10-K for the year ended December 31, 2025</w:t>
        </w:r>
      </w:hyperlink>
      <w:r>
        <w:rPr>
          <w:rFonts w:ascii="Times New Roman;Times;serif" w:hAnsi="Times New Roman;Times;serif"/>
          <w:sz w:val="20"/>
        </w:rPr>
        <w:t>. Except as required by law, the Company undertakes no obligation to revise or update publicly forward-looking statements or any factors that may affect actual results, whether as a result of new information, future events, circumstances occurring after the date of this report, or otherwise.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Condensed Consolidated Financial Statements from period to period, the primary factors that accounted for those changes, and how certain accounting principles, policies and estimates affected the Company’s Condensed Consolidated Financial Statements. The MD&amp;A is provided as a supplement to the Condensed Consolidated Financial Statements and notes herein, and should be read in conjunction with the Company’s </w:t>
      </w:r>
      <w:hyperlink r:id="rId3">
        <w:r>
          <w:rPr>
            <w:rStyle w:val="InternetLink"/>
            <w:rFonts w:ascii="Times New Roman;Times;serif" w:hAnsi="Times New Roman;Times;serif"/>
            <w:b w:val="false"/>
            <w:i w:val="false"/>
            <w:caps w:val="false"/>
            <w:smallCaps w:val="false"/>
            <w:sz w:val="20"/>
          </w:rPr>
          <w:t>Annual Report on Form 10-K for the year ended December 31, 2025</w:t>
        </w:r>
      </w:hyperlink>
      <w:r>
        <w:rPr>
          <w:rFonts w:ascii="Times New Roman;Times;serif" w:hAnsi="Times New Roman;Times;serif"/>
          <w:sz w:val="20"/>
        </w:rPr>
        <w:t>, the Company’s reports on Forms 10-Q and 8-K, and other publicly available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SECOND</w:t>
      </w:r>
      <w:r>
        <w:rPr>
          <w:rFonts w:ascii="Times New Roman;Times;serif" w:hAnsi="Times New Roman;Times;serif"/>
          <w:sz w:val="20"/>
        </w:rPr>
        <w:t xml:space="preserve"> </w:t>
      </w:r>
      <w:r>
        <w:rPr>
          <w:rFonts w:ascii="Times New Roman;Times;serif" w:hAnsi="Times New Roman;Times;serif"/>
          <w:b/>
          <w:sz w:val="20"/>
        </w:rPr>
        <w:t>QUARTER 2026 DISCUSSION AND OUTLOOK FOR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Ocean Transportation:</w:t>
      </w:r>
      <w:r>
        <w:rPr>
          <w:rFonts w:ascii="Times New Roman;Times;serif" w:hAnsi="Times New Roman;Times;serif"/>
          <w:sz w:val="20"/>
        </w:rPr>
        <w:t xml:space="preserve"> The Company’s container volume in the Hawaii service in the second quarter 2026 was 1.1 percent lower year-over-year primarily due to lower general demand. Hawaii’s economy remains stable, supported by strong construction activity and modest growth in tourist arrivals, but continues to face headwinds from higher energy-related inflation. The Company expects volume in full year 2026 to approach the level achieved in 2025, based on the Company’s expectation of similar economic conditions and stable market share.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China service, the Company’s container volume in the second quarter 2026 increased 15.2 percent year-over-year primarily due to significantly higher demand compared to the prior year period, which included a market decline in Transpacific demand due to the tariffs imposed in April 2025. In the second quarter 2026, momentum in the China service carried over from the post-Lunar New Year period, and the Company’s CLX and MAX services saw higher-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than-expected freight rates and demand across e-commerce, garments and e-goods against a backdrop of tighter supply conditions in the Transpacific tradelane. The Company expects its China service to be at or near capacity through peak season. For the fourth quarter 2026, the Company expects demand to reflect a more traditional seasonality pattern compared to the elevated period of freight demand experienced in the Transpacific market in the fourth quarter 2025 following the U.S.-China trade and economic agreement announced on October 30, 2025. As such, the Company expects volume in full year 2026 to be higher than the level achieved in 2025 based on the Company’s expectations of continued solid U.S. consumer demand and a stable trading environment in the Transpacific tradelane.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Guam service, the Company’s container volume in the second quarter 2026 increased 4.4 percent year-over-year. In the near term, the Company expects Guam’s economy to remain stable. For full year 2026, the Company expects volume to be comparable to the level achieved last year.</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Alaska service, the Company’s container volume in the second quarter 2026 decreased 2.3 percent year-over-year primarily due to lower export seafood volume on AAX, partially offset by one additional northbound sailing. In the near term, the Company expects Alaska’s economy to remain stable supported by a low unemployment rate, steady job market and continued oil and gas exploration and production activity. For full year 2026, the Company expects volume to approach the level achieved last year.</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contribution from the Company’s SSAT joint venture investment was $4.8 million in the second quarter 2026, or $2.5 million lower than second quarter 2025. The decrease was primarily due to lower lift volume and higher operating expenses. For full year 2026, the Company expects the contribution from SSAT to be lower than the $32.5 million achieved in full year 2025.</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the outlook trends noted above, the Company expects Ocean Transportation operating income in the third quarter 2026 to be approximately 45 percent higher than the $147.4 million achieved in the third quarter 2025. The Company also expects Ocean Transportation operating income in the fourth quarter 2026 to be modestly lower than the $136.0 million achieved in the fourth quarter 2025. For full year 2026, the Company expects Ocean Transportation operating income to be higher than the $455.6 million achieved in full year 2025.</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Logistics:</w:t>
      </w:r>
      <w:r>
        <w:rPr>
          <w:rFonts w:ascii="Times New Roman;Times;serif" w:hAnsi="Times New Roman;Times;serif"/>
          <w:sz w:val="20"/>
        </w:rPr>
        <w:t xml:space="preserve"> Operating income for the Company’s Logistics segment was $14.9 million in the second quarter 2026, or $0.5 million higher compared to the level achieved in the second quarter 2025. The increase was primarily due to higher contributions from freight forwarding and transportation brokerage, partially offset by a lower contribution from warehousing. For the third and fourth quarters 2026, the Company expects Logistics operating income to be modestly higher than the $13.6 million and $7.7 million achieved in the third and fourth quarters 2025, respectively. For full year 2026, the Company expects Logistics operating income to be higher than the $44.2 million achieved in full year 2025.</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Consolidated Operating Income:</w:t>
      </w:r>
      <w:r>
        <w:rPr>
          <w:rFonts w:ascii="Times New Roman;Times;serif" w:hAnsi="Times New Roman;Times;serif"/>
          <w:sz w:val="20"/>
        </w:rPr>
        <w:t xml:space="preserve"> To date, the Iran conflict has not impacted the Company’s operating performance or service levels; however, it has impacted fuel prices in all of the Company’s markets. The Company continues to expect to fully recover fuel costs by the end of the year. For the third quarter 2026, the Company expects consolidated operating income to be approximately 45 percent higher than the level achieved in the third quarter 2025. For full year 2026, the Company expects consolidated operating income to be higher than the level achieved in full year 2025 based on the Company’s expectations of continued solid U.S. consumer demand and a stable trading environment in the Transpacific tradelane.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Depreciation and Amortization:</w:t>
      </w:r>
      <w:r>
        <w:rPr>
          <w:rFonts w:ascii="Times New Roman;Times;serif" w:hAnsi="Times New Roman;Times;serif"/>
          <w:sz w:val="20"/>
        </w:rPr>
        <w:t xml:space="preserve"> For full year 2026, the Company expects depreciation and amortization expense to be approximately $205 million, inclusive of dry-docking amortization of approximately $35 million.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 xml:space="preserve">The Company expects interest income for the full year 2026 to be approximately $18 million.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Expense, Net:</w:t>
      </w:r>
      <w:r>
        <w:rPr>
          <w:rFonts w:ascii="Times New Roman;Times;serif" w:hAnsi="Times New Roman;Times;serif"/>
          <w:sz w:val="20"/>
        </w:rPr>
        <w:t xml:space="preserve"> The Company expects interest expense, net for the full year 2026 to be approximately $6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414" w:name="_Hlk179577062"/>
      <w:bookmarkEnd w:id="1414"/>
      <w:r>
        <w:rPr>
          <w:rFonts w:ascii="Times New Roman;Times;serif" w:hAnsi="Times New Roman;Times;serif"/>
          <w:i/>
          <w:sz w:val="20"/>
        </w:rPr>
        <w:t xml:space="preserve">Other Income (Expense), Net: </w:t>
      </w:r>
      <w:r>
        <w:rPr>
          <w:rFonts w:ascii="Times New Roman;Times;serif" w:hAnsi="Times New Roman;Times;serif"/>
          <w:sz w:val="20"/>
        </w:rPr>
        <w:t>The Company expects full year 2026 other income (expense), net to be approximately $7 million in income, which is attributable to the amortization of certain components of net periodic benefit costs or gains related to the Company’s pension and post-retirement plans.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For the second quarter 2026, the Company’s effective tax rate was 21.0 percent. For the full year 2026, the Company expects its effective tax rate to be approximately 21.0 percent.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bookmarkStart w:id="1415" w:name="_Hlk179577135"/>
      <w:bookmarkEnd w:id="1415"/>
      <w:r>
        <w:rPr>
          <w:rFonts w:ascii="Times New Roman;Times;serif" w:hAnsi="Times New Roman;Times;serif"/>
          <w:i/>
          <w:sz w:val="20"/>
        </w:rPr>
        <w:t>Capital and Vessel Dry-docking Expenditures:</w:t>
      </w:r>
      <w:r>
        <w:rPr>
          <w:rFonts w:ascii="Times New Roman;Times;serif" w:hAnsi="Times New Roman;Times;serif"/>
          <w:sz w:val="20"/>
        </w:rPr>
        <w:t xml:space="preserve"> For the second quarter 2026, the Company made capital expenditure payments excluding vessel construction expenditures of $25.4 million, vessel construction expenditures (including capitalized interest and owner’s items) of $181.8 million, and dry-docking payments of $12.7 million. For the full year 2026, the Company expects to make capital expenditure payments, including maintenance capital expenditures, of approximately $150 to $170 million, vessel construction expenditures (including capitalized interest and owner’s items) of approximately $400 million, and dry-docking payments of approximately $45 million.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Consolidated Results – Three months ended June 30, 2026 compared with 2025:</w:t>
      </w:r>
    </w:p>
    <w:p>
      <w:pPr>
        <w:pStyle w:val="TextBody"/>
        <w:bidi w:val="0"/>
        <w:spacing w:before="0" w:after="0"/>
        <w:ind w:left="0" w:right="0" w:hanging="0"/>
        <w:jc w:val="left"/>
        <w:rPr/>
      </w:pPr>
      <w:r>
        <w:rPr/>
        <w:t>​</w:t>
      </w:r>
    </w:p>
    <w:tbl>
      <w:tblPr>
        <w:tblW w:w="8368" w:type="dxa"/>
        <w:jc w:val="left"/>
        <w:tblInd w:w="0" w:type="dxa"/>
        <w:tblLayout w:type="fixed"/>
        <w:tblCellMar>
          <w:top w:w="0" w:type="dxa"/>
          <w:left w:w="0" w:type="dxa"/>
          <w:bottom w:w="0" w:type="dxa"/>
          <w:right w:w="0" w:type="dxa"/>
        </w:tblCellMar>
      </w:tblPr>
      <w:tblGrid>
        <w:gridCol w:w="3481"/>
        <w:gridCol w:w="346"/>
        <w:gridCol w:w="211"/>
        <w:gridCol w:w="691"/>
        <w:gridCol w:w="346"/>
        <w:gridCol w:w="211"/>
        <w:gridCol w:w="691"/>
        <w:gridCol w:w="346"/>
        <w:gridCol w:w="211"/>
        <w:gridCol w:w="586"/>
        <w:gridCol w:w="346"/>
        <w:gridCol w:w="586"/>
        <w:gridCol w:w="31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210435" cy="175260"/>
                      <wp:effectExtent l="0" t="0" r="0" b="0"/>
                      <wp:wrapNone/>
                      <wp:docPr id="346" name="Frame346"/>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7"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8" name="Frame3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38785" cy="175260"/>
                      <wp:effectExtent l="0" t="0" r="0" b="0"/>
                      <wp:wrapNone/>
                      <wp:docPr id="349" name="Frame3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50"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51" name="Frame3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38785" cy="175260"/>
                      <wp:effectExtent l="0" t="0" r="0" b="0"/>
                      <wp:wrapNone/>
                      <wp:docPr id="352" name="Frame35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3"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54" name="Frame3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72110" cy="175260"/>
                      <wp:effectExtent l="0" t="0" r="0" b="0"/>
                      <wp:wrapNone/>
                      <wp:docPr id="355" name="Frame35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372110" cy="175260"/>
                      <wp:effectExtent l="0" t="0" r="0" b="0"/>
                      <wp:wrapNone/>
                      <wp:docPr id="357" name="Frame35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0660" cy="175260"/>
                      <wp:effectExtent l="0" t="0" r="0" b="0"/>
                      <wp:wrapNone/>
                      <wp:docPr id="358" name="Frame35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2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 except per share amounts)</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7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969.4</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830.5</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w:t>
            </w:r>
          </w:p>
        </w:tc>
        <w:tc>
          <w:tcPr>
            <w:tcW w:w="346" w:type="dxa"/>
            <w:tcBorders/>
            <w:shd w:fill="CCEEFF" w:val="clear"/>
            <w:vAlign w:val="center"/>
          </w:tcPr>
          <w:p>
            <w:pPr>
              <w:pStyle w:val="TableContents"/>
              <w:bidi w:val="0"/>
              <w:spacing w:before="0" w:after="0"/>
              <w:ind w:left="0" w:right="0" w:hanging="0"/>
              <w:jc w:val="left"/>
              <w:rPr/>
            </w:pPr>
            <w:r>
              <w:rPr/>
              <w:t>  ​ ​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16.7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13.0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40.6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Consolidated Operating Revenues</w:t>
      </w:r>
      <w:r>
        <w:rPr>
          <w:rFonts w:ascii="Times New Roman;Times;serif" w:hAnsi="Times New Roman;Times;serif"/>
          <w:sz w:val="20"/>
        </w:rPr>
        <w:t xml:space="preserve"> for the three months ended June 30, 2026 increased by $138.9 million, or 16.7 percent, compared to the three months ended June 30, 2025. The increase was due to an increase in Ocean Transportation revenue of $91.8 million and an increase in Logistics revenue of $47.1 million.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xml:space="preserve"> for the three months ended June 30, 2026 increased by $93.0 million, or 13.0 percent, compared to the three months ended June 30, 2025. The increase was due to an increase in Ocean Transportation operating costs and expenses of $46.4 million and an increase in Logistics operating costs and expenses of $46.6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Operating Income</w:t>
      </w:r>
      <w:r>
        <w:rPr>
          <w:rFonts w:ascii="Times New Roman;Times;serif" w:hAnsi="Times New Roman;Times;serif"/>
          <w:sz w:val="20"/>
        </w:rPr>
        <w:t xml:space="preserve"> for the three months ended June 30, 2026 increased by $45.9 million, or 40.6 percent, compared to the three months ended June 30, 2025. The increase was due to an increase in Ocean Transportation operating income of $45.4 million and an increase in Logistics operating income of $0.5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revenue, operating costs and expenses, and operating income are further described below in the Analysis of Operating Revenue and Income by Segment.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Income</w:t>
      </w:r>
      <w:r>
        <w:rPr>
          <w:rFonts w:ascii="Times New Roman;Times;serif" w:hAnsi="Times New Roman;Times;serif"/>
          <w:sz w:val="20"/>
        </w:rPr>
        <w:t xml:space="preserve"> was $5.0 million for the three months ended June 30, 2026, compared to $8.0 million for the three months ended June 30, 2025. The decrease in interest income for the three months ended June 30, 2026, compared to the three months ended June 30, 2025, was due to lower amounts of cash and cash equivalents, and CCF funds that were invested in interest bearing accounts during the three months ended June 30, 2026.</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Expense, Net</w:t>
      </w:r>
      <w:r>
        <w:rPr>
          <w:rFonts w:ascii="Times New Roman;Times;serif" w:hAnsi="Times New Roman;Times;serif"/>
          <w:sz w:val="20"/>
        </w:rPr>
        <w:t xml:space="preserve"> was $1.6 million for the three months ended June 30, 2026, compared to $1.7 million for the three months ended June 30, 2025. Interest expense, net incurred during the quarter ended June 30, 2026 was lower due to a reduction in outstanding debt during the period, which was offset by a reduction in capitalized interest related to the construction of three new vessels for the three months ended June 30, 2026, compared to the three months ended June 30, 2025.</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Other Income (Expense), Net</w:t>
      </w:r>
      <w:r>
        <w:rPr>
          <w:rFonts w:ascii="Times New Roman;Times;serif" w:hAnsi="Times New Roman;Times;serif"/>
          <w:sz w:val="20"/>
        </w:rPr>
        <w:t xml:space="preserve"> was $1.6 million for the three months ended June 30, 2026, compared to $2.4 million for the three months ended June 30, 2025. Other income (expense), net relates to the amortization of certain components of net periodic benefit costs or gains related to the Company’s pension and post-retirement plans. The decrease in other income (expense), net was due to a decrease in the amortization of favorable adjustments related to the Company’s pension and post-retirement plan liabilities.</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were $34.5 million, or 21.0 percent of income before taxes, for the three months ended June 30, 2026, compared to $27.0 million, or 22.2 percent of income before taxes, for the three months ended June 30, 2025. The effective tax rate for the three months ended June 30, 2026 benefited from higher discrete tax adjustments that lowered the effective tax rate for that period, compared to the same prior year period.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Consolidated Results – Six months ended June 30, 2026 compared with 2025:</w:t>
      </w:r>
    </w:p>
    <w:p>
      <w:pPr>
        <w:pStyle w:val="TextBody"/>
        <w:bidi w:val="0"/>
        <w:spacing w:before="0" w:after="0"/>
        <w:ind w:left="0" w:right="0" w:hanging="0"/>
        <w:jc w:val="left"/>
        <w:rPr/>
      </w:pPr>
      <w:r>
        <w:rPr/>
        <w:t>​</w:t>
      </w:r>
    </w:p>
    <w:tbl>
      <w:tblPr>
        <w:tblW w:w="8668" w:type="dxa"/>
        <w:jc w:val="left"/>
        <w:tblInd w:w="0" w:type="dxa"/>
        <w:tblLayout w:type="fixed"/>
        <w:tblCellMar>
          <w:top w:w="0" w:type="dxa"/>
          <w:left w:w="0" w:type="dxa"/>
          <w:bottom w:w="0" w:type="dxa"/>
          <w:right w:w="0" w:type="dxa"/>
        </w:tblCellMar>
      </w:tblPr>
      <w:tblGrid>
        <w:gridCol w:w="3481"/>
        <w:gridCol w:w="346"/>
        <w:gridCol w:w="211"/>
        <w:gridCol w:w="841"/>
        <w:gridCol w:w="346"/>
        <w:gridCol w:w="211"/>
        <w:gridCol w:w="841"/>
        <w:gridCol w:w="346"/>
        <w:gridCol w:w="211"/>
        <w:gridCol w:w="586"/>
        <w:gridCol w:w="346"/>
        <w:gridCol w:w="586"/>
        <w:gridCol w:w="31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210435" cy="175260"/>
                      <wp:effectExtent l="0" t="0" r="0" b="0"/>
                      <wp:wrapNone/>
                      <wp:docPr id="359" name="Frame359"/>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3985" cy="175260"/>
                      <wp:effectExtent l="0" t="0" r="0" b="0"/>
                      <wp:wrapNone/>
                      <wp:docPr id="361" name="Frame3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34035" cy="175260"/>
                      <wp:effectExtent l="0" t="0" r="0" b="0"/>
                      <wp:wrapNone/>
                      <wp:docPr id="362" name="Frame36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64"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34035" cy="175260"/>
                      <wp:effectExtent l="0" t="0" r="0" b="0"/>
                      <wp:wrapNone/>
                      <wp:docPr id="365" name="Frame36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67"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372110" cy="175260"/>
                      <wp:effectExtent l="0" t="0" r="0" b="0"/>
                      <wp:wrapNone/>
                      <wp:docPr id="368" name="Frame36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372110" cy="175260"/>
                      <wp:effectExtent l="0" t="0" r="0" b="0"/>
                      <wp:wrapNone/>
                      <wp:docPr id="370" name="Frame37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0660" cy="175260"/>
                      <wp:effectExtent l="0" t="0" r="0" b="0"/>
                      <wp:wrapNone/>
                      <wp:docPr id="371" name="Frame37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2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 except per share amounts)</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7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1,727.2</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1,612.5</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w:t>
            </w:r>
          </w:p>
        </w:tc>
        <w:tc>
          <w:tcPr>
            <w:tcW w:w="346" w:type="dxa"/>
            <w:tcBorders/>
            <w:shd w:fill="CCEEFF" w:val="clear"/>
            <w:vAlign w:val="center"/>
          </w:tcPr>
          <w:p>
            <w:pPr>
              <w:pStyle w:val="TableContents"/>
              <w:bidi w:val="0"/>
              <w:spacing w:before="0" w:after="0"/>
              <w:ind w:left="0" w:right="0" w:hanging="0"/>
              <w:jc w:val="left"/>
              <w:rPr/>
            </w:pPr>
            <w:r>
              <w:rPr/>
              <w:t>  ​ ​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7.1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6.3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12.9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Consolidated Operating Revenues</w:t>
      </w:r>
      <w:r>
        <w:rPr>
          <w:rFonts w:ascii="Times New Roman;Times;serif" w:hAnsi="Times New Roman;Times;serif"/>
          <w:sz w:val="20"/>
        </w:rPr>
        <w:t xml:space="preserve"> for the six months ended June 30, 2026 increased by $114.7 million, or 7.1 percent, compared to the six months ended June 30, 2025. The increase was due to an increase in Ocean Transportation revenue of $60.9 million and an increase in Logistics revenue of $53.8 million.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xml:space="preserve"> for the six months ended June 30, 2026 increased by $89.5 million, or 6.3 percent, compared to the six months ended June 30, 2025. The increase was due to an increase in Ocean Transportation operating costs and expenses of $34.5 million and an increase in Logistics operating costs and expenses of $55.0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Operating Income</w:t>
      </w:r>
      <w:r>
        <w:rPr>
          <w:rFonts w:ascii="Times New Roman;Times;serif" w:hAnsi="Times New Roman;Times;serif"/>
          <w:sz w:val="20"/>
        </w:rPr>
        <w:t xml:space="preserve"> for the six months ended June 30, 2026 increased by $25.2 million, or 12.9 percent, compared to the six months ended June 30, 2025. The increase was due to an increase in Ocean Transportation operating income of $26.4 million, partially offset by a decrease in Logistics operating income of $1.2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revenue, operating costs and expenses, and operating income are further described below in the Analysis of Operating Revenue and Income by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Income</w:t>
      </w:r>
      <w:r>
        <w:rPr>
          <w:rFonts w:ascii="Times New Roman;Times;serif" w:hAnsi="Times New Roman;Times;serif"/>
          <w:sz w:val="20"/>
        </w:rPr>
        <w:t xml:space="preserve"> was $11.1 million for the six months ended June 30, 2026, compared to $17.4 million for the six months ended June 30, 2025. The decrease in interest income for the six months ended June 30, 2026, compared to the six months ended June 30, 2025, was due to lower amounts of cash and cash equivalents, and CCF funds that were invested in interest bearing accounts during the six months ended June 30,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Expense, Net</w:t>
      </w:r>
      <w:r>
        <w:rPr>
          <w:rFonts w:ascii="Times New Roman;Times;serif" w:hAnsi="Times New Roman;Times;serif"/>
          <w:sz w:val="20"/>
        </w:rPr>
        <w:t xml:space="preserve"> was $3.2 million for the six months ended June 30, 2026, compared to $3.4 million for the six months ended June 30, 2025. Interest expense, net incurred during the six months ended June 30, 2026 was lower due to a reduction in outstanding debt during the period, which was offset by a reduction in capitalized interest related to the construction of three new vessels for the six months ended June 30, 2026, compared to the six months ended June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Other Income (Expense), Net</w:t>
      </w:r>
      <w:r>
        <w:rPr>
          <w:rFonts w:ascii="Times New Roman;Times;serif" w:hAnsi="Times New Roman;Times;serif"/>
          <w:sz w:val="20"/>
        </w:rPr>
        <w:t xml:space="preserve"> was $3.6 million for the six months ended June 30, 2026, compared to $4.8 million for the six months ended June 30, 2025. Other income (expense), net relates to the amortization of certain components of net periodic benefit costs or gains related to the Company’s pension and post-retirement plans. The decrease in other income (expense), net was due to a decrease in the amortization of favorable adjustments related to the Company’s pension and post-retirement plan liabilities.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were $45.8 million, or 19.8 percent of income before taxes, for the six months ended June 30, 2026, compared to $46.9 million, or 21.9 percent of income before taxes, for the six months ended June 30, 2025. The effective tax rate for the six months ended June 30, 2026 benefited from higher discrete tax adjustments related to share-based payment awards and other adjustments that lowered the effective tax rate for that period, compared to the same prior year period.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ANALYSIS OF OPERATING REVENUE AND INCOME BY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Ocean Transportation Operating Results – Three months ended June 30, 2026 compared with 2025:</w:t>
      </w:r>
    </w:p>
    <w:p>
      <w:pPr>
        <w:pStyle w:val="TextBody"/>
        <w:bidi w:val="0"/>
        <w:spacing w:before="0" w:after="0"/>
        <w:ind w:left="0" w:right="0" w:hanging="0"/>
        <w:jc w:val="left"/>
        <w:rPr/>
      </w:pPr>
      <w:r>
        <w:rPr/>
        <w:t>​</w:t>
      </w:r>
    </w:p>
    <w:tbl>
      <w:tblPr>
        <w:tblW w:w="9466" w:type="dxa"/>
        <w:jc w:val="left"/>
        <w:tblInd w:w="0" w:type="dxa"/>
        <w:tblLayout w:type="fixed"/>
        <w:tblCellMar>
          <w:top w:w="0" w:type="dxa"/>
          <w:left w:w="0" w:type="dxa"/>
          <w:bottom w:w="0" w:type="dxa"/>
          <w:right w:w="0" w:type="dxa"/>
        </w:tblCellMar>
      </w:tblPr>
      <w:tblGrid>
        <w:gridCol w:w="4816"/>
        <w:gridCol w:w="346"/>
        <w:gridCol w:w="211"/>
        <w:gridCol w:w="691"/>
        <w:gridCol w:w="346"/>
        <w:gridCol w:w="211"/>
        <w:gridCol w:w="691"/>
        <w:gridCol w:w="346"/>
        <w:gridCol w:w="211"/>
        <w:gridCol w:w="586"/>
        <w:gridCol w:w="109"/>
        <w:gridCol w:w="586"/>
        <w:gridCol w:w="31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3058160" cy="175260"/>
                      <wp:effectExtent l="0" t="0" r="0" b="0"/>
                      <wp:wrapNone/>
                      <wp:docPr id="372" name="Frame372"/>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3"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74"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38785" cy="175260"/>
                      <wp:effectExtent l="0" t="0" r="0" b="0"/>
                      <wp:wrapNone/>
                      <wp:docPr id="375" name="Frame3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38785" cy="175260"/>
                      <wp:effectExtent l="0" t="0" r="0" b="0"/>
                      <wp:wrapNone/>
                      <wp:docPr id="378" name="Frame3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3985" cy="175260"/>
                      <wp:effectExtent l="0" t="0" r="0" b="0"/>
                      <wp:wrapNone/>
                      <wp:docPr id="380"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372110" cy="175260"/>
                      <wp:effectExtent l="0" t="0" r="0" b="0"/>
                      <wp:wrapNone/>
                      <wp:docPr id="381" name="Frame38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9215" cy="175260"/>
                      <wp:effectExtent l="0" t="0" r="0" b="0"/>
                      <wp:wrapNone/>
                      <wp:docPr id="382" name="Frame3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372110" cy="175260"/>
                      <wp:effectExtent l="0" t="0" r="0" b="0"/>
                      <wp:wrapNone/>
                      <wp:docPr id="383" name="Frame38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0660" cy="175260"/>
                      <wp:effectExtent l="0" t="0" r="0" b="0"/>
                      <wp:wrapNone/>
                      <wp:docPr id="384" name="Frame38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8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48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49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13.6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8.0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Volume by Service (Forty-foot equivalent units (FEU))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containers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containers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21,700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containers (2)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4,900</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15.2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Guam containers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109" w:type="dxa"/>
            <w:tcBorders/>
            <w:vAlign w:val="center"/>
          </w:tcPr>
          <w:p>
            <w:pPr>
              <w:pStyle w:val="TableContents"/>
              <w:bidi w:val="0"/>
              <w:spacing w:before="0" w:after="0"/>
              <w:ind w:left="0" w:right="0" w:hanging="0"/>
              <w:jc w:val="righ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containers (3)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shd w:fill="CCEEFF" w:val="clear"/>
            <w:vAlign w:val="center"/>
          </w:tcPr>
          <w:p>
            <w:pPr>
              <w:pStyle w:val="TableContents"/>
              <w:bidi w:val="0"/>
              <w:spacing w:before="0" w:after="0"/>
              <w:ind w:left="0" w:right="0" w:hanging="0"/>
              <w:jc w:val="righ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Approximate volume included for the period is based on the voyage departure date, but revenue and operating income are adjusted to reflect the percentage of revenue and operating income earned during the reporting period for voyages in transit at the end of each reporting period.</w:t>
            </w:r>
          </w:p>
        </w:tc>
      </w:tr>
    </w:tbl>
    <w:tbl>
      <w:tblPr>
        <w:tblW w:w="4277" w:type="dxa"/>
        <w:jc w:val="left"/>
        <w:tblInd w:w="0" w:type="dxa"/>
        <w:tblLayout w:type="fixed"/>
        <w:tblCellMar>
          <w:top w:w="0" w:type="dxa"/>
          <w:left w:w="0" w:type="dxa"/>
          <w:bottom w:w="0" w:type="dxa"/>
          <w:right w:w="0" w:type="dxa"/>
        </w:tblCellMar>
      </w:tblPr>
      <w:tblGrid>
        <w:gridCol w:w="331"/>
        <w:gridCol w:w="394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39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containers from China and other Asia origins.</w:t>
            </w:r>
          </w:p>
        </w:tc>
      </w:tr>
    </w:tbl>
    <w:tbl>
      <w:tblPr>
        <w:tblW w:w="8072" w:type="dxa"/>
        <w:jc w:val="left"/>
        <w:tblInd w:w="0" w:type="dxa"/>
        <w:tblLayout w:type="fixed"/>
        <w:tblCellMar>
          <w:top w:w="0" w:type="dxa"/>
          <w:left w:w="0" w:type="dxa"/>
          <w:bottom w:w="0" w:type="dxa"/>
          <w:right w:w="0" w:type="dxa"/>
        </w:tblCellMar>
      </w:tblPr>
      <w:tblGrid>
        <w:gridCol w:w="331"/>
        <w:gridCol w:w="77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77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containers from services in various islands in Micronesia and the South Pacific, and Okinawa, Japan.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 increased $91.8 million, or 13.6 percent, during the three months ended June 30, 2026, compared with the three months ended June 30, 2025. The increase was primarily due to higher volume and freight rates in the China service.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 year-over-year FEU basis, Hawaii service container volume decreased 1.1 percent primarily due to lower general demand; Alaska service volume decreased 2.3 percent primarily due to lower export seafood volume on AAX, partially offset by one additional northbound sailing; China service volume increased 15.2 percent primarily due to significantly higher demand compared to the prior year period, which included a market decline in Transpacific demand due to the tariffs imposed in April 2025; Guam service volume increased 4.4 percent; and Other containers volume decreased 11.4 percent.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operating income increased $45.4 million, or 46.0 percent, during the three months ended June 30, 2026, compared with the three months ended June 30, 2025. The increase was primarily due to a higher contribution from the China service, partially offset by higher vessel operating expense primarily due to higher fuel-related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SSAT terminal joint venture investment contributed $4.8 million during the three months ended June 30, 2026, compared to $7.3 million during the three months ended June 30, 2025. The decrease was primarily due to lower lift volume and higher operating expenses.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Ocean Transportation Operating Results – Six months ended June 30, 2026 compared with 2025:</w:t>
      </w:r>
    </w:p>
    <w:p>
      <w:pPr>
        <w:pStyle w:val="TextBody"/>
        <w:bidi w:val="0"/>
        <w:spacing w:before="0" w:after="0"/>
        <w:ind w:left="0" w:right="0" w:hanging="0"/>
        <w:jc w:val="left"/>
        <w:rPr/>
      </w:pPr>
      <w:r>
        <w:rPr/>
        <w:t>​</w:t>
      </w:r>
    </w:p>
    <w:tbl>
      <w:tblPr>
        <w:tblW w:w="9973" w:type="dxa"/>
        <w:jc w:val="left"/>
        <w:tblInd w:w="0" w:type="dxa"/>
        <w:tblLayout w:type="fixed"/>
        <w:tblCellMar>
          <w:top w:w="0" w:type="dxa"/>
          <w:left w:w="0" w:type="dxa"/>
          <w:bottom w:w="0" w:type="dxa"/>
          <w:right w:w="0" w:type="dxa"/>
        </w:tblCellMar>
      </w:tblPr>
      <w:tblGrid>
        <w:gridCol w:w="4816"/>
        <w:gridCol w:w="346"/>
        <w:gridCol w:w="211"/>
        <w:gridCol w:w="841"/>
        <w:gridCol w:w="346"/>
        <w:gridCol w:w="211"/>
        <w:gridCol w:w="841"/>
        <w:gridCol w:w="346"/>
        <w:gridCol w:w="211"/>
        <w:gridCol w:w="691"/>
        <w:gridCol w:w="286"/>
        <w:gridCol w:w="511"/>
        <w:gridCol w:w="31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3058160" cy="175260"/>
                      <wp:effectExtent l="0" t="0" r="0" b="0"/>
                      <wp:wrapNone/>
                      <wp:docPr id="385" name="Frame385"/>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87"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34035" cy="175260"/>
                      <wp:effectExtent l="0" t="0" r="0" b="0"/>
                      <wp:wrapNone/>
                      <wp:docPr id="388" name="Frame38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9"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3985" cy="175260"/>
                      <wp:effectExtent l="0" t="0" r="0" b="0"/>
                      <wp:wrapNone/>
                      <wp:docPr id="390"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534035" cy="175260"/>
                      <wp:effectExtent l="0" t="0" r="0" b="0"/>
                      <wp:wrapNone/>
                      <wp:docPr id="391" name="Frame39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92"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3"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38785" cy="175260"/>
                      <wp:effectExtent l="0" t="0" r="0" b="0"/>
                      <wp:wrapNone/>
                      <wp:docPr id="394" name="Frame3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81610" cy="175260"/>
                      <wp:effectExtent l="0" t="0" r="0" b="0"/>
                      <wp:wrapNone/>
                      <wp:docPr id="395" name="Frame39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324485" cy="175260"/>
                      <wp:effectExtent l="0" t="0" r="0" b="0"/>
                      <wp:wrapNone/>
                      <wp:docPr id="396" name="Frame39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00660" cy="175260"/>
                      <wp:effectExtent l="0" t="0" r="0" b="0"/>
                      <wp:wrapNone/>
                      <wp:docPr id="397" name="Frame39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48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6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286" w:type="dxa"/>
            <w:tcBorders/>
            <w:shd w:fill="CCEEFF" w:val="clear"/>
            <w:vAlign w:val="center"/>
          </w:tcPr>
          <w:p>
            <w:pPr>
              <w:pStyle w:val="TableContents"/>
              <w:bidi w:val="0"/>
              <w:spacing w:before="0" w:after="0"/>
              <w:ind w:left="0" w:right="0" w:hanging="0"/>
              <w:jc w:val="left"/>
              <w:rPr/>
            </w:pPr>
            <w:r>
              <w:rPr/>
              <w:t>  ​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4.6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15.3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Volume by Service (Forty-foot equivalent units (FEU))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containers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w:t>
            </w:r>
          </w:p>
        </w:tc>
        <w:tc>
          <w:tcPr>
            <w:tcW w:w="28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containers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41,400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28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containers (2)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28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3.6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Guam containers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28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containers (3)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28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Approximate volume included for the period is based on the voyage departure date, but revenue and operating income are adjusted to reflect the percentage of revenue and operating income earned during the reporting period for voyages in transit at the end of each reporting period.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277" w:type="dxa"/>
        <w:jc w:val="left"/>
        <w:tblInd w:w="0" w:type="dxa"/>
        <w:tblLayout w:type="fixed"/>
        <w:tblCellMar>
          <w:top w:w="0" w:type="dxa"/>
          <w:left w:w="0" w:type="dxa"/>
          <w:bottom w:w="0" w:type="dxa"/>
          <w:right w:w="0" w:type="dxa"/>
        </w:tblCellMar>
      </w:tblPr>
      <w:tblGrid>
        <w:gridCol w:w="331"/>
        <w:gridCol w:w="394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39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containers from China and other Asia origins.</w:t>
            </w:r>
          </w:p>
        </w:tc>
      </w:tr>
    </w:tbl>
    <w:tbl>
      <w:tblPr>
        <w:tblW w:w="8072" w:type="dxa"/>
        <w:jc w:val="left"/>
        <w:tblInd w:w="0" w:type="dxa"/>
        <w:tblLayout w:type="fixed"/>
        <w:tblCellMar>
          <w:top w:w="0" w:type="dxa"/>
          <w:left w:w="0" w:type="dxa"/>
          <w:bottom w:w="0" w:type="dxa"/>
          <w:right w:w="0" w:type="dxa"/>
        </w:tblCellMar>
      </w:tblPr>
      <w:tblGrid>
        <w:gridCol w:w="331"/>
        <w:gridCol w:w="7741"/>
      </w:tblGrid>
      <w:tr>
        <w:trPr/>
        <w:tc>
          <w:tcPr>
            <w:tcW w:w="33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(3)</w:t>
            </w:r>
          </w:p>
        </w:tc>
        <w:tc>
          <w:tcPr>
            <w:tcW w:w="774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Includes containers from services in various islands in Micronesia and the South Pacific, and Okinawa, Japan.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 increased $60.9 million, or 4.6 percent, during the six months ended June 30, 2026, compared with the six months ended June 30, 2025. The increase was primarily due to higher freight rates and volume in the China service.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 year-over-year FEU basis, Hawaii service container volume decreased 3.3 percent primarily due to lower general demand; Alaska service volume decreased 2.2 percent primarily due to lower general demand; China service volume increased 3.6 percent primarily due to significantly higher demand in the second quarter 2026 compared to the second quarter 2025, which included a market decline in Transpacific demand due to the tariffs imposed in April 2025; Guam service volume increased 2.3 percent; and Other containers volume decreased 7.7 percent.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operating income increased $26.4 million, or 15.3 percent, during the six months ended June 30, 2026, compared with the six months ended June 30, 2025. The increase was primarily due to a higher contribution from the China service, partially offset by higher vessel operating expense primarily due to higher fuel-related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SSAT terminal joint venture investment contributed $9.8 million during the six months ended June 30, 2026, compared to $13.9 million during the six months ended June 30, 2025. The decrease was primarily due to lower lift volume.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Logistics Operating Results – Three months ended June 30, 2026 compared with 2025:</w:t>
      </w:r>
    </w:p>
    <w:p>
      <w:pPr>
        <w:pStyle w:val="TextBody"/>
        <w:bidi w:val="0"/>
        <w:spacing w:before="0" w:after="0"/>
        <w:ind w:left="0" w:right="0" w:hanging="0"/>
        <w:jc w:val="left"/>
        <w:rPr/>
      </w:pPr>
      <w:r>
        <w:rPr/>
        <w:t>​</w:t>
      </w:r>
    </w:p>
    <w:tbl>
      <w:tblPr>
        <w:tblW w:w="7081" w:type="dxa"/>
        <w:jc w:val="left"/>
        <w:tblInd w:w="0" w:type="dxa"/>
        <w:tblLayout w:type="fixed"/>
        <w:tblCellMar>
          <w:top w:w="0" w:type="dxa"/>
          <w:left w:w="0" w:type="dxa"/>
          <w:bottom w:w="0" w:type="dxa"/>
          <w:right w:w="0" w:type="dxa"/>
        </w:tblCellMar>
      </w:tblPr>
      <w:tblGrid>
        <w:gridCol w:w="2506"/>
        <w:gridCol w:w="346"/>
        <w:gridCol w:w="211"/>
        <w:gridCol w:w="691"/>
        <w:gridCol w:w="346"/>
        <w:gridCol w:w="211"/>
        <w:gridCol w:w="691"/>
        <w:gridCol w:w="346"/>
        <w:gridCol w:w="211"/>
        <w:gridCol w:w="586"/>
        <w:gridCol w:w="109"/>
        <w:gridCol w:w="51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591310" cy="175260"/>
                      <wp:effectExtent l="0" t="0" r="0" b="0"/>
                      <wp:wrapNone/>
                      <wp:docPr id="398" name="Frame398"/>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9"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985" cy="175260"/>
                      <wp:effectExtent l="0" t="0" r="0" b="0"/>
                      <wp:wrapNone/>
                      <wp:docPr id="400" name="Frame4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438785" cy="175260"/>
                      <wp:effectExtent l="0" t="0" r="0" b="0"/>
                      <wp:wrapNone/>
                      <wp:docPr id="401" name="Frame40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19710" cy="175260"/>
                      <wp:effectExtent l="0" t="0" r="0" b="0"/>
                      <wp:wrapNone/>
                      <wp:docPr id="402"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985" cy="175260"/>
                      <wp:effectExtent l="0" t="0" r="0" b="0"/>
                      <wp:wrapNone/>
                      <wp:docPr id="403" name="Frame4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438785" cy="175260"/>
                      <wp:effectExtent l="0" t="0" r="0" b="0"/>
                      <wp:wrapNone/>
                      <wp:docPr id="404" name="Frame40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405" name="Frame4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3985" cy="175260"/>
                      <wp:effectExtent l="0" t="0" r="0" b="0"/>
                      <wp:wrapNone/>
                      <wp:docPr id="406" name="Frame4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72110" cy="175260"/>
                      <wp:effectExtent l="0" t="0" r="0" b="0"/>
                      <wp:wrapNone/>
                      <wp:docPr id="407" name="Frame40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9215" cy="175260"/>
                      <wp:effectExtent l="0" t="0" r="0" b="0"/>
                      <wp:wrapNone/>
                      <wp:docPr id="408" name="Frame4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324485" cy="175260"/>
                      <wp:effectExtent l="0" t="0" r="0" b="0"/>
                      <wp:wrapNone/>
                      <wp:docPr id="409" name="Frame40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0660" cy="175260"/>
                      <wp:effectExtent l="0" t="0" r="0" b="0"/>
                      <wp:wrapNone/>
                      <wp:docPr id="410" name="Frame41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1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41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30.4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109"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33.2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3.5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 increased $47.1 million, or 30.4 percent, during the three months ended June 30, 2026, compared with the three months ended June 30, 2025. The increase was primarily due to higher revenue in transportation brokerage.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operating income increased $0.5 million, or 3.5 percent, during the three months ended June 30, 2026, compared with the three months ended June 30, 2025. The increase was primarily due to higher contributions from freight forwarding and transportation brokerage, partially offset by a lower contribution from warehousing.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Logistics Operating Results – Six months ended June 30, 2026 compared with 2025:</w:t>
      </w:r>
    </w:p>
    <w:p>
      <w:pPr>
        <w:pStyle w:val="TextBody"/>
        <w:bidi w:val="0"/>
        <w:spacing w:before="0" w:after="0"/>
        <w:ind w:left="0" w:right="0" w:hanging="0"/>
        <w:jc w:val="left"/>
        <w:rPr/>
      </w:pPr>
      <w:r>
        <w:rPr/>
        <w:t>​</w:t>
      </w:r>
    </w:p>
    <w:tbl>
      <w:tblPr>
        <w:tblW w:w="7258" w:type="dxa"/>
        <w:jc w:val="left"/>
        <w:tblInd w:w="0" w:type="dxa"/>
        <w:tblLayout w:type="fixed"/>
        <w:tblCellMar>
          <w:top w:w="0" w:type="dxa"/>
          <w:left w:w="0" w:type="dxa"/>
          <w:bottom w:w="0" w:type="dxa"/>
          <w:right w:w="0" w:type="dxa"/>
        </w:tblCellMar>
      </w:tblPr>
      <w:tblGrid>
        <w:gridCol w:w="2506"/>
        <w:gridCol w:w="346"/>
        <w:gridCol w:w="211"/>
        <w:gridCol w:w="691"/>
        <w:gridCol w:w="346"/>
        <w:gridCol w:w="211"/>
        <w:gridCol w:w="691"/>
        <w:gridCol w:w="346"/>
        <w:gridCol w:w="211"/>
        <w:gridCol w:w="586"/>
        <w:gridCol w:w="286"/>
        <w:gridCol w:w="51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591310" cy="175260"/>
                      <wp:effectExtent l="0" t="0" r="0" b="0"/>
                      <wp:wrapNone/>
                      <wp:docPr id="411" name="Frame411"/>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2"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33985" cy="175260"/>
                      <wp:effectExtent l="0" t="0" r="0" b="0"/>
                      <wp:wrapNone/>
                      <wp:docPr id="413" name="Frame4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38785" cy="175260"/>
                      <wp:effectExtent l="0" t="0" r="0" b="0"/>
                      <wp:wrapNone/>
                      <wp:docPr id="414" name="Frame4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5"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416" name="Frame4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38785" cy="175260"/>
                      <wp:effectExtent l="0" t="0" r="0" b="0"/>
                      <wp:wrapNone/>
                      <wp:docPr id="417" name="Frame41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19710" cy="175260"/>
                      <wp:effectExtent l="0" t="0" r="0" b="0"/>
                      <wp:wrapNone/>
                      <wp:docPr id="418" name="Frame4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3985" cy="175260"/>
                      <wp:effectExtent l="0" t="0" r="0" b="0"/>
                      <wp:wrapNone/>
                      <wp:docPr id="419" name="Frame4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372110" cy="175260"/>
                      <wp:effectExtent l="0" t="0" r="0" b="0"/>
                      <wp:wrapNone/>
                      <wp:docPr id="420" name="Frame42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81610" cy="175260"/>
                      <wp:effectExtent l="0" t="0" r="0" b="0"/>
                      <wp:wrapNone/>
                      <wp:docPr id="421" name="Frame42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324485" cy="175260"/>
                      <wp:effectExtent l="0" t="0" r="0" b="0"/>
                      <wp:wrapNone/>
                      <wp:docPr id="422" name="Frame42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0660" cy="175260"/>
                      <wp:effectExtent l="0" t="0" r="0" b="0"/>
                      <wp:wrapNone/>
                      <wp:docPr id="423" name="Frame42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9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5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286" w:type="dxa"/>
            <w:tcBorders/>
            <w:shd w:fill="CCEEFF" w:val="clear"/>
            <w:vAlign w:val="center"/>
          </w:tcPr>
          <w:p>
            <w:pPr>
              <w:pStyle w:val="TableContents"/>
              <w:bidi w:val="0"/>
              <w:spacing w:before="0" w:after="0"/>
              <w:ind w:left="0" w:right="0" w:hanging="0"/>
              <w:jc w:val="left"/>
              <w:rPr/>
            </w:pPr>
            <w:r>
              <w:rPr/>
              <w:t>  ​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18.0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19.9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 increased $53.8 million, or 18.0 percent, during the six months ended June 30, 2026, compared with the six months ended June 30, 2025. The increase was primarily due to higher revenue in transportation brokerage.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operating income decreased $1.2 million, or 5.2 percent, during the six months ended June 30, 2026, compared with the six months ended June 30, 2025. The decrease was primarily due to a lower contribution from warehousing, partially offset by a higher contribution from freight forwarding.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primary sources of liquidity are its cash flows generated from operating activities and its debt. Sources of liquidity available to the Company as of June 30, 2026 compared to December 31, 2025 were as follows: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Cash and Cash Equivalents, Accounts Receivable and CCF:</w:t>
      </w:r>
      <w:r>
        <w:rPr>
          <w:rFonts w:ascii="Times New Roman;Times;serif" w:hAnsi="Times New Roman;Times;serif"/>
          <w:sz w:val="20"/>
        </w:rPr>
        <w:t xml:space="preserve"> Cash and cash equivalents, accounts receivable and CCF as of June 30, 2026 compared to December 31, 2025 were as follows:</w:t>
      </w:r>
    </w:p>
    <w:p>
      <w:pPr>
        <w:pStyle w:val="TextBody"/>
        <w:bidi w:val="0"/>
        <w:spacing w:before="0" w:after="0"/>
        <w:ind w:left="0" w:right="0" w:hanging="0"/>
        <w:jc w:val="left"/>
        <w:rPr/>
      </w:pPr>
      <w:r>
        <w:rPr/>
        <w:t>​</w:t>
      </w:r>
    </w:p>
    <w:tbl>
      <w:tblPr>
        <w:tblW w:w="8753" w:type="dxa"/>
        <w:jc w:val="left"/>
        <w:tblInd w:w="0" w:type="dxa"/>
        <w:tblLayout w:type="fixed"/>
        <w:tblCellMar>
          <w:top w:w="0" w:type="dxa"/>
          <w:left w:w="0" w:type="dxa"/>
          <w:bottom w:w="0" w:type="dxa"/>
          <w:right w:w="0" w:type="dxa"/>
        </w:tblCellMar>
      </w:tblPr>
      <w:tblGrid>
        <w:gridCol w:w="4846"/>
        <w:gridCol w:w="346"/>
        <w:gridCol w:w="211"/>
        <w:gridCol w:w="571"/>
        <w:gridCol w:w="346"/>
        <w:gridCol w:w="307"/>
        <w:gridCol w:w="833"/>
        <w:gridCol w:w="346"/>
        <w:gridCol w:w="211"/>
        <w:gridCol w:w="736"/>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3077210" cy="175260"/>
                      <wp:effectExtent l="0" t="0" r="0" b="0"/>
                      <wp:wrapNone/>
                      <wp:docPr id="424" name="Frame424"/>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5"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3985" cy="175260"/>
                      <wp:effectExtent l="0" t="0" r="0" b="0"/>
                      <wp:wrapNone/>
                      <wp:docPr id="426" name="Frame4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362585" cy="175260"/>
                      <wp:effectExtent l="0" t="0" r="0" b="0"/>
                      <wp:wrapNone/>
                      <wp:docPr id="427" name="Frame4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94945" cy="175260"/>
                      <wp:effectExtent l="0" t="0" r="0" b="0"/>
                      <wp:wrapNone/>
                      <wp:docPr id="429" name="Frame429"/>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528955" cy="175260"/>
                      <wp:effectExtent l="0" t="0" r="0" b="0"/>
                      <wp:wrapNone/>
                      <wp:docPr id="430" name="Frame430"/>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1"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2" name="Frame4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467360" cy="175260"/>
                      <wp:effectExtent l="0" t="0" r="0" b="0"/>
                      <wp:wrapNone/>
                      <wp:docPr id="433" name="Frame43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4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equivalents, and investments account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345.8</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Eligible accounts receivable of $82.3 million and $82.3 million at June 30, 2026 and December 31, 2025, respectively, were assigned to the CCF. The Company’s CCF is described in Note 7 of Part I, Item 1 above.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Company’s cash and cash equivalents for the six months ended June 30, 2026, compared to the six months ended June 30, 2025, are as follows:</w:t>
      </w:r>
    </w:p>
    <w:tbl>
      <w:tblPr>
        <w:tblW w:w="7285" w:type="dxa"/>
        <w:jc w:val="left"/>
        <w:tblInd w:w="0" w:type="dxa"/>
        <w:tblLayout w:type="fixed"/>
        <w:tblCellMar>
          <w:top w:w="0" w:type="dxa"/>
          <w:left w:w="0" w:type="dxa"/>
          <w:bottom w:w="0" w:type="dxa"/>
          <w:right w:w="0" w:type="dxa"/>
        </w:tblCellMar>
      </w:tblPr>
      <w:tblGrid>
        <w:gridCol w:w="3721"/>
        <w:gridCol w:w="346"/>
        <w:gridCol w:w="196"/>
        <w:gridCol w:w="631"/>
        <w:gridCol w:w="346"/>
        <w:gridCol w:w="196"/>
        <w:gridCol w:w="631"/>
        <w:gridCol w:w="346"/>
        <w:gridCol w:w="196"/>
        <w:gridCol w:w="676"/>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362835" cy="175260"/>
                      <wp:effectExtent l="0" t="0" r="0" b="0"/>
                      <wp:wrapNone/>
                      <wp:docPr id="434" name="Frame434"/>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35" name="Frame4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24460" cy="175260"/>
                      <wp:effectExtent l="0" t="0" r="0" b="0"/>
                      <wp:wrapNone/>
                      <wp:docPr id="436" name="Frame4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00685" cy="175260"/>
                      <wp:effectExtent l="0" t="0" r="0" b="0"/>
                      <wp:wrapNone/>
                      <wp:docPr id="437" name="Frame43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8"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24460" cy="175260"/>
                      <wp:effectExtent l="0" t="0" r="0" b="0"/>
                      <wp:wrapNone/>
                      <wp:docPr id="439" name="Frame4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400685" cy="175260"/>
                      <wp:effectExtent l="0" t="0" r="0" b="0"/>
                      <wp:wrapNone/>
                      <wp:docPr id="440" name="Frame44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19710" cy="175260"/>
                      <wp:effectExtent l="0" t="0" r="0" b="0"/>
                      <wp:wrapNone/>
                      <wp:docPr id="441" name="Frame4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24460" cy="175260"/>
                      <wp:effectExtent l="0" t="0" r="0" b="0"/>
                      <wp:wrapNone/>
                      <wp:docPr id="442" name="Frame4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429260" cy="175260"/>
                      <wp:effectExtent l="0" t="0" r="0" b="0"/>
                      <wp:wrapNone/>
                      <wp:docPr id="443" name="Frame4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7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 (1)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 (2)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116.0</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 (3)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decrease in 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185.1</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beginning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(124.9)</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end of the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60.2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(1) Changes in net cash provided by operating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provided by operating activities for the six months ended June 30, 2026, compared to the six months ended June 30, 2025, were due to the following:</w:t>
      </w:r>
    </w:p>
    <w:p>
      <w:pPr>
        <w:pStyle w:val="TextBody"/>
        <w:bidi w:val="0"/>
        <w:spacing w:before="0" w:after="0"/>
        <w:ind w:left="0" w:right="0" w:hanging="0"/>
        <w:jc w:val="left"/>
        <w:rPr/>
      </w:pPr>
      <w:r>
        <w:rPr/>
        <w:t>​</w:t>
      </w:r>
    </w:p>
    <w:tbl>
      <w:tblPr>
        <w:tblW w:w="6139" w:type="dxa"/>
        <w:jc w:val="left"/>
        <w:tblInd w:w="0" w:type="dxa"/>
        <w:tblLayout w:type="fixed"/>
        <w:tblCellMar>
          <w:top w:w="0" w:type="dxa"/>
          <w:left w:w="0" w:type="dxa"/>
          <w:bottom w:w="0" w:type="dxa"/>
          <w:right w:w="0" w:type="dxa"/>
        </w:tblCellMar>
      </w:tblPr>
      <w:tblGrid>
        <w:gridCol w:w="4951"/>
        <w:gridCol w:w="346"/>
        <w:gridCol w:w="211"/>
        <w:gridCol w:w="631"/>
      </w:tblGrid>
      <w:tr>
        <w:trPr/>
        <w:tc>
          <w:tcPr>
            <w:tcW w:w="4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3143885" cy="175260"/>
                      <wp:effectExtent l="0" t="0" r="0" b="0"/>
                      <wp:wrapNone/>
                      <wp:docPr id="444" name="Frame444"/>
                      <a:graphic xmlns:a="http://schemas.openxmlformats.org/drawingml/2006/main">
                        <a:graphicData uri="http://schemas.microsoft.com/office/word/2010/wordprocessingShape">
                          <wps:wsp>
                            <wps:cNvSpPr txBox="1"/>
                            <wps:spPr>
                              <a:xfrm>
                                <a:off x="0" y="0"/>
                                <a:ext cx="314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9710" cy="175260"/>
                      <wp:effectExtent l="0" t="0" r="0" b="0"/>
                      <wp:wrapNone/>
                      <wp:docPr id="445"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33985" cy="175260"/>
                      <wp:effectExtent l="0" t="0" r="0" b="0"/>
                      <wp:wrapNone/>
                      <wp:docPr id="446" name="Frame4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400685" cy="175260"/>
                      <wp:effectExtent l="0" t="0" r="0" b="0"/>
                      <wp:wrapNone/>
                      <wp:docPr id="447" name="Frame44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non-cash related changes,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and distribution from SSAT,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accruals and 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 and liabilities,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amortization of operating lease 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dry-docking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4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was $186.0 million for the six months ended June 30, 2026, compared to $167.0 million for the six months ended June 30, 2025. Income from SSAT was $9.8 million for the six months ended June 30, 2026, compared to $13.9 million for the six months ended June 30, 2025. The decrease in income from SSAT was primarily due to lower lift volume and higher operating expenses during the six months ended June 30, 2026, compared to the same prior year period. There were no distributions received from SSAT during the six months ended June 30, 2026 and 2025. Changes in accounts receivable, net were primarily due to an increase in revenue and the timing of collections associated with those receivables. Changes in accounts payable, accruals and other liabilities were due to higher liability balances resulting from higher operating costs and the timing of payments associated with those liabilities. Changes in operating lease assets and liabilities, net were primarily due to new operating lease additions and renewals, offset by operating lease payments and terminations. Deferred dry-docking payments for the six months ended June 30, 2026 were $24.6 million, compared to $23.8 million for the six months ended June 30, 2025. Changes in deferred dry-docking are primarily due to the timing of vessel dry-dock related activities and the payments associated with those activities.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(2) Changes in net cash used in investing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used in investing activities for the six months ended June 30, 2026, compared to the six months ended June 30, 2025, were due to the following:</w:t>
      </w:r>
    </w:p>
    <w:p>
      <w:pPr>
        <w:pStyle w:val="TextBody"/>
        <w:bidi w:val="0"/>
        <w:spacing w:before="0" w:after="0"/>
        <w:ind w:left="0" w:right="0" w:hanging="0"/>
        <w:jc w:val="left"/>
        <w:rPr/>
      </w:pPr>
      <w:r>
        <w:rPr/>
        <w:t>​</w:t>
      </w:r>
    </w:p>
    <w:tbl>
      <w:tblPr>
        <w:tblW w:w="6739" w:type="dxa"/>
        <w:jc w:val="left"/>
        <w:tblInd w:w="0" w:type="dxa"/>
        <w:tblLayout w:type="fixed"/>
        <w:tblCellMar>
          <w:top w:w="0" w:type="dxa"/>
          <w:left w:w="0" w:type="dxa"/>
          <w:bottom w:w="0" w:type="dxa"/>
          <w:right w:w="0" w:type="dxa"/>
        </w:tblCellMar>
      </w:tblPr>
      <w:tblGrid>
        <w:gridCol w:w="5506"/>
        <w:gridCol w:w="346"/>
        <w:gridCol w:w="211"/>
        <w:gridCol w:w="676"/>
      </w:tblGrid>
      <w:tr>
        <w:trPr/>
        <w:tc>
          <w:tcPr>
            <w:tcW w:w="5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3496310" cy="175260"/>
                      <wp:effectExtent l="0" t="0" r="0" b="0"/>
                      <wp:wrapNone/>
                      <wp:docPr id="448" name="Frame448"/>
                      <a:graphic xmlns:a="http://schemas.openxmlformats.org/drawingml/2006/main">
                        <a:graphicData uri="http://schemas.microsoft.com/office/word/2010/wordprocessingShape">
                          <wps:wsp>
                            <wps:cNvSpPr txBox="1"/>
                            <wps:spPr>
                              <a:xfrm>
                                <a:off x="0" y="0"/>
                                <a:ext cx="3496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9" name="Frame4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3985" cy="175260"/>
                      <wp:effectExtent l="0" t="0" r="0" b="0"/>
                      <wp:wrapNone/>
                      <wp:docPr id="450" name="Frame4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29260" cy="175260"/>
                      <wp:effectExtent l="0" t="0" r="0" b="0"/>
                      <wp:wrapNone/>
                      <wp:docPr id="451" name="Frame4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pPr>
            <w:r>
              <w:rPr/>
              <w:t>​</w:t>
            </w:r>
          </w:p>
        </w:tc>
      </w:tr>
      <w:tr>
        <w:trPr/>
        <w:tc>
          <w:tcPr>
            <w:tcW w:w="5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deposits and interest into the CCF</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Withdrawals from CCF</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construction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 (excluding vessel construction expenditures)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disposal of 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116.0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416" w:name="_Hlk140611037"/>
      <w:bookmarkEnd w:id="1416"/>
      <w:r>
        <w:rPr>
          <w:rFonts w:ascii="Times New Roman;Times;serif" w:hAnsi="Times New Roman;Times;serif"/>
          <w:sz w:val="20"/>
        </w:rPr>
        <w:t>During the six months ended June 30, 2026, cash deposits into the CCF included $7.9 million of interest income and $1.6 million from the repurchase of assigned accounts receivable, compared to $8.4 million of interest income and $100.7 million from the repurchase of assigned accounts receivable for the same prior year period. During the six months ended June 30, 2026, cash withdrawals from the CCF for the payment of vessel construction milestone payments were $197.7 million, compared to $100.7 million for the same prior year period. The increase in vessel construction milestone payments was due to progress made in the construction of three new vessels and the timing of related milestone payments. Capital expenditures (excluding vessel construction expenditures) were $55.7 million for the six months ended June 30, 2026, compared to $71.4 million for the six months ended June 30, 2025. Capital expenditures (excluding vessel construction expenditures) primarily relate to vessel maintenance related expenditures, the acquisition of containers, chassis and other equipment, and expenditures on other capital related projects. The decrease in capital expenditures for the six months ended June 30, 2026, compared to the same prior year period primarily related to the timing of when vessel maintenance activities are performed and when expenditures on other capital related projects are incurred.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(3) Changes in net cash used in financing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used in financing activities for the six months ended June 30, 2026, compared to the six months ended June 30, 2025, were due to the following:</w:t>
      </w:r>
    </w:p>
    <w:p>
      <w:pPr>
        <w:pStyle w:val="TextBody"/>
        <w:bidi w:val="0"/>
        <w:spacing w:before="0" w:after="0"/>
        <w:ind w:left="0" w:right="0" w:hanging="0"/>
        <w:jc w:val="left"/>
        <w:rPr/>
      </w:pPr>
      <w:r>
        <w:rPr/>
        <w:t>​</w:t>
      </w:r>
    </w:p>
    <w:tbl>
      <w:tblPr>
        <w:tblW w:w="6904" w:type="dxa"/>
        <w:jc w:val="left"/>
        <w:tblInd w:w="0" w:type="dxa"/>
        <w:tblLayout w:type="fixed"/>
        <w:tblCellMar>
          <w:top w:w="0" w:type="dxa"/>
          <w:left w:w="0" w:type="dxa"/>
          <w:bottom w:w="0" w:type="dxa"/>
          <w:right w:w="0" w:type="dxa"/>
        </w:tblCellMar>
      </w:tblPr>
      <w:tblGrid>
        <w:gridCol w:w="5776"/>
        <w:gridCol w:w="346"/>
        <w:gridCol w:w="211"/>
        <w:gridCol w:w="571"/>
      </w:tblGrid>
      <w:tr>
        <w:trPr/>
        <w:tc>
          <w:tcPr>
            <w:tcW w:w="5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3667760" cy="175260"/>
                      <wp:effectExtent l="0" t="0" r="0" b="0"/>
                      <wp:wrapNone/>
                      <wp:docPr id="452" name="Frame452"/>
                      <a:graphic xmlns:a="http://schemas.openxmlformats.org/drawingml/2006/main">
                        <a:graphicData uri="http://schemas.microsoft.com/office/word/2010/wordprocessingShape">
                          <wps:wsp>
                            <wps:cNvSpPr txBox="1"/>
                            <wps:spPr>
                              <a:xfrm>
                                <a:off x="0" y="0"/>
                                <a:ext cx="3667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710" cy="175260"/>
                      <wp:effectExtent l="0" t="0" r="0" b="0"/>
                      <wp:wrapNone/>
                      <wp:docPr id="453"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33985" cy="175260"/>
                      <wp:effectExtent l="0" t="0" r="0" b="0"/>
                      <wp:wrapNone/>
                      <wp:docPr id="454" name="Frame4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362585" cy="175260"/>
                      <wp:effectExtent l="0" t="0" r="0" b="0"/>
                      <wp:wrapNone/>
                      <wp:docPr id="455" name="Frame4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Matson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withheld for taxes related to settlement of restricted stock units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2026, the Company paid $119.8 million to repurchase Matson common stock, compared to $160.4 million during the six months ended June 30, 2025. During the six months ended June 30, 2026, the Company paid $19.9 million in scheduled fixed interest debt payments, compared to $19.9 million during the six months ended June 30, 2025. During the six months ended June 30, 2026, the Company paid $25.1 million in withholding taxes related to vested restricted stock units, compared to $16.3 million during the six months ended June 30, 2025. During the six months ended June 30, 2026, the Company paid $22.0 million in dividends, compared to $22.3 million during the six months ended June 30, 2025. The decrease in dividend payments was due to a reduction in common stock outstanding, partially offset by an increase in dividends declared per share of common stock by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Working Capital:</w:t>
      </w:r>
      <w:r>
        <w:rPr>
          <w:rFonts w:ascii="Times New Roman;Times;serif" w:hAnsi="Times New Roman;Times;serif"/>
          <w:sz w:val="20"/>
        </w:rPr>
        <w:t xml:space="preserve"> The Company had a working capital deficit of $67.8 million at June 30, 2026, compared to a working capital deficit of $55.5 million at December 31, 2025. Working capital is primarily impacted by the amount of net cash provided by operating activities, the amount of capital expenditures, the timing of collections associated with accounts receivable, prepaid expenses and other assets, and by the amount and timing of payments associated with accounts payable, accruals, income taxes and other liabilities. The decrease in the Company’s working capital at June 30, 2026, compared to December 31, 2025 is primarily due to a decrease in cash and cash equivalents as described above.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Capital Construction Fund:</w:t>
      </w:r>
      <w:r>
        <w:rPr>
          <w:rFonts w:ascii="Times New Roman;Times;serif" w:hAnsi="Times New Roman;Times;serif"/>
          <w:sz w:val="20"/>
        </w:rPr>
        <w:t xml:space="preserve"> The Company’s CCF is described in Note 7 of Part I, Item 1 above. The Company utilizes its CCF to fund milestone payments for the construction of three new vessels. Cash on deposit and CCF investments as of June 30, 2026 and December 31, 2025 are as follows:</w:t>
      </w:r>
    </w:p>
    <w:tbl>
      <w:tblPr>
        <w:tblW w:w="8561" w:type="dxa"/>
        <w:jc w:val="left"/>
        <w:tblInd w:w="0" w:type="dxa"/>
        <w:tblLayout w:type="fixed"/>
        <w:tblCellMar>
          <w:top w:w="0" w:type="dxa"/>
          <w:left w:w="0" w:type="dxa"/>
          <w:bottom w:w="0" w:type="dxa"/>
          <w:right w:w="0" w:type="dxa"/>
        </w:tblCellMar>
      </w:tblPr>
      <w:tblGrid>
        <w:gridCol w:w="4891"/>
        <w:gridCol w:w="346"/>
        <w:gridCol w:w="211"/>
        <w:gridCol w:w="571"/>
        <w:gridCol w:w="346"/>
        <w:gridCol w:w="307"/>
        <w:gridCol w:w="833"/>
        <w:gridCol w:w="109"/>
        <w:gridCol w:w="211"/>
        <w:gridCol w:w="736"/>
      </w:tblGrid>
      <w:tr>
        <w:trPr/>
        <w:tc>
          <w:tcPr>
            <w:tcW w:w="4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3105785" cy="175260"/>
                      <wp:effectExtent l="0" t="0" r="0" b="0"/>
                      <wp:wrapNone/>
                      <wp:docPr id="456" name="Frame456"/>
                      <a:graphic xmlns:a="http://schemas.openxmlformats.org/drawingml/2006/main">
                        <a:graphicData uri="http://schemas.microsoft.com/office/word/2010/wordprocessingShape">
                          <wps:wsp>
                            <wps:cNvSpPr txBox="1"/>
                            <wps:spPr>
                              <a:xfrm>
                                <a:off x="0" y="0"/>
                                <a:ext cx="310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57" name="Frame4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3985" cy="175260"/>
                      <wp:effectExtent l="0" t="0" r="0" b="0"/>
                      <wp:wrapNone/>
                      <wp:docPr id="458" name="Frame4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362585" cy="175260"/>
                      <wp:effectExtent l="0" t="0" r="0" b="0"/>
                      <wp:wrapNone/>
                      <wp:docPr id="459" name="Frame45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60"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94945" cy="175260"/>
                      <wp:effectExtent l="0" t="0" r="0" b="0"/>
                      <wp:wrapNone/>
                      <wp:docPr id="461" name="Frame461"/>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528955" cy="175260"/>
                      <wp:effectExtent l="0" t="0" r="0" b="0"/>
                      <wp:wrapNone/>
                      <wp:docPr id="462" name="Frame462"/>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9215" cy="175260"/>
                      <wp:effectExtent l="0" t="0" r="0" b="0"/>
                      <wp:wrapNone/>
                      <wp:docPr id="463" name="Frame4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3985" cy="175260"/>
                      <wp:effectExtent l="0" t="0" r="0" b="0"/>
                      <wp:wrapNone/>
                      <wp:docPr id="464" name="Frame4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67360" cy="175260"/>
                      <wp:effectExtent l="0" t="0" r="0" b="0"/>
                      <wp:wrapNone/>
                      <wp:docPr id="465" name="Frame46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48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equivalents, and investments account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345.8</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CCF decreased by $186.9 million during the six months ended June 30, 2026 due to vessel milestone payments of $196.1 million, offset by approximately $9.2 million of cash deposited into the CCF.</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w:t>
      </w:r>
      <w:r>
        <w:rPr>
          <w:rFonts w:ascii="Times New Roman;Times;serif" w:hAnsi="Times New Roman;Times;serif"/>
          <w:sz w:val="20"/>
        </w:rPr>
        <w:t xml:space="preserve"> The Company’s debt is described in Note 8 of Part I, Item 1 above. The Company utilizes a mix of fixed and variable debt for liquidity and to fund the Company’s operations. Total Debt as of June 30, 2026 and December 31, 2025 consisted of the following:</w:t>
      </w:r>
    </w:p>
    <w:p>
      <w:pPr>
        <w:pStyle w:val="TextBody"/>
        <w:bidi w:val="0"/>
        <w:spacing w:before="0" w:after="0"/>
        <w:ind w:left="0" w:right="0" w:hanging="0"/>
        <w:jc w:val="left"/>
        <w:rPr/>
      </w:pPr>
      <w:r>
        <w:rPr/>
        <w:t>​</w:t>
      </w:r>
    </w:p>
    <w:tbl>
      <w:tblPr>
        <w:tblW w:w="8642" w:type="dxa"/>
        <w:jc w:val="left"/>
        <w:tblInd w:w="0" w:type="dxa"/>
        <w:tblLayout w:type="fixed"/>
        <w:tblCellMar>
          <w:top w:w="0" w:type="dxa"/>
          <w:left w:w="0" w:type="dxa"/>
          <w:bottom w:w="0" w:type="dxa"/>
          <w:right w:w="0" w:type="dxa"/>
        </w:tblCellMar>
      </w:tblPr>
      <w:tblGrid>
        <w:gridCol w:w="5551"/>
        <w:gridCol w:w="109"/>
        <w:gridCol w:w="211"/>
        <w:gridCol w:w="571"/>
        <w:gridCol w:w="109"/>
        <w:gridCol w:w="307"/>
        <w:gridCol w:w="833"/>
        <w:gridCol w:w="109"/>
        <w:gridCol w:w="211"/>
        <w:gridCol w:w="631"/>
      </w:tblGrid>
      <w:tr>
        <w:trPr/>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3524885" cy="175260"/>
                      <wp:effectExtent l="0" t="0" r="0" b="0"/>
                      <wp:wrapNone/>
                      <wp:docPr id="466" name="Frame466"/>
                      <a:graphic xmlns:a="http://schemas.openxmlformats.org/drawingml/2006/main">
                        <a:graphicData uri="http://schemas.microsoft.com/office/word/2010/wordprocessingShape">
                          <wps:wsp>
                            <wps:cNvSpPr txBox="1"/>
                            <wps:spPr>
                              <a:xfrm>
                                <a:off x="0" y="0"/>
                                <a:ext cx="3524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9215" cy="175260"/>
                      <wp:effectExtent l="0" t="0" r="0" b="0"/>
                      <wp:wrapNone/>
                      <wp:docPr id="467" name="Frame4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33985" cy="175260"/>
                      <wp:effectExtent l="0" t="0" r="0" b="0"/>
                      <wp:wrapNone/>
                      <wp:docPr id="468" name="Frame4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362585" cy="175260"/>
                      <wp:effectExtent l="0" t="0" r="0" b="0"/>
                      <wp:wrapNone/>
                      <wp:docPr id="469" name="Frame46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9215" cy="175260"/>
                      <wp:effectExtent l="0" t="0" r="0" b="0"/>
                      <wp:wrapNone/>
                      <wp:docPr id="470" name="Frame4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94945" cy="175260"/>
                      <wp:effectExtent l="0" t="0" r="0" b="0"/>
                      <wp:wrapNone/>
                      <wp:docPr id="471" name="Frame471"/>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28955" cy="175260"/>
                      <wp:effectExtent l="0" t="0" r="0" b="0"/>
                      <wp:wrapNone/>
                      <wp:docPr id="472" name="Frame472"/>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9215" cy="175260"/>
                      <wp:effectExtent l="0" t="0" r="0" b="0"/>
                      <wp:wrapNone/>
                      <wp:docPr id="473" name="Frame4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33985" cy="175260"/>
                      <wp:effectExtent l="0" t="0" r="0" b="0"/>
                      <wp:wrapNone/>
                      <wp:docPr id="474" name="Frame4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400685" cy="175260"/>
                      <wp:effectExtent l="0" t="0" r="0" b="0"/>
                      <wp:wrapNone/>
                      <wp:docPr id="475" name="Frame47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r>
      <w:tr>
        <w:trPr/>
        <w:tc>
          <w:tcPr>
            <w:tcW w:w="55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interest debt - Revolving 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interest debt - Title XI debt and private placement term loans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341.3</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5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(excluding deferred loan fees)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341.3</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Debt decreased by $19.9 million during the six months ended June 30, 2026, compared to December 31, 2025, due to scheduled fixed interest debt repayments.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June 30, 2026, the Company had $544.2 million of remaining borrowing availability under the revolving credit facility. </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b/>
          <w:i/>
          <w:sz w:val="20"/>
        </w:rPr>
        <w:t>Capital Expenditures:</w:t>
      </w:r>
      <w:r>
        <w:rPr>
          <w:rFonts w:ascii="Times New Roman;Times;serif" w:hAnsi="Times New Roman;Times;serif"/>
          <w:sz w:val="20"/>
        </w:rPr>
        <w:t xml:space="preserve"> During the six months ended June 30, 2026, there were no material changes to the Company’s expected capital expenditures for the year ending December 31, 2026 as described in Part II, Item 7 of the Company’s </w:t>
      </w:r>
      <w:hyperlink r:id="rId4">
        <w:r>
          <w:rPr>
            <w:rStyle w:val="InternetLink"/>
            <w:rFonts w:ascii="Times New Roman;Times;serif" w:hAnsi="Times New Roman;Times;serif"/>
            <w:b w:val="false"/>
            <w:i w:val="false"/>
            <w:caps w:val="false"/>
            <w:smallCaps w:val="false"/>
            <w:sz w:val="20"/>
          </w:rPr>
          <w:t>Annual Report on Form 10-K for the year ended December 31, 2025</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2026, the Company paid $179.8 million in milestone payments under the vessel construction agreements, compared to $100.7 million for the six months ended June 30, 2025. The following represents the estimated timing of future milestone payments under the vessel construction agreements as of June 30, 2026:</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45"/>
        <w:gridCol w:w="346"/>
        <w:gridCol w:w="244"/>
        <w:gridCol w:w="636"/>
        <w:gridCol w:w="346"/>
        <w:gridCol w:w="310"/>
        <w:gridCol w:w="812"/>
        <w:gridCol w:w="346"/>
        <w:gridCol w:w="196"/>
        <w:gridCol w:w="511"/>
        <w:gridCol w:w="346"/>
        <w:gridCol w:w="196"/>
        <w:gridCol w:w="421"/>
        <w:gridCol w:w="346"/>
        <w:gridCol w:w="196"/>
        <w:gridCol w:w="331"/>
        <w:gridCol w:w="346"/>
        <w:gridCol w:w="266"/>
        <w:gridCol w:w="470"/>
        <w:gridCol w:w="346"/>
        <w:gridCol w:w="196"/>
        <w:gridCol w:w="753"/>
      </w:tblGrid>
      <w:tr>
        <w:trPr/>
        <w:tc>
          <w:tcPr>
            <w:tcW w:w="2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425575" cy="175260"/>
                      <wp:effectExtent l="0" t="0" r="0" b="0"/>
                      <wp:wrapNone/>
                      <wp:docPr id="476" name="Frame476"/>
                      <a:graphic xmlns:a="http://schemas.openxmlformats.org/drawingml/2006/main">
                        <a:graphicData uri="http://schemas.microsoft.com/office/word/2010/wordprocessingShape">
                          <wps:wsp>
                            <wps:cNvSpPr txBox="1"/>
                            <wps:spPr>
                              <a:xfrm>
                                <a:off x="0" y="0"/>
                                <a:ext cx="142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7" name="Frame4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54940" cy="175260"/>
                      <wp:effectExtent l="0" t="0" r="0" b="0"/>
                      <wp:wrapNone/>
                      <wp:docPr id="478" name="Frame478"/>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03860" cy="175260"/>
                      <wp:effectExtent l="0" t="0" r="0" b="0"/>
                      <wp:wrapNone/>
                      <wp:docPr id="479" name="Frame479"/>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80"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96850" cy="175260"/>
                      <wp:effectExtent l="0" t="0" r="0" b="0"/>
                      <wp:wrapNone/>
                      <wp:docPr id="481" name="Frame481"/>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515620" cy="175260"/>
                      <wp:effectExtent l="0" t="0" r="0" b="0"/>
                      <wp:wrapNone/>
                      <wp:docPr id="482" name="Frame482"/>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83"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24460" cy="175260"/>
                      <wp:effectExtent l="0" t="0" r="0" b="0"/>
                      <wp:wrapNone/>
                      <wp:docPr id="484" name="Frame4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324485" cy="175260"/>
                      <wp:effectExtent l="0" t="0" r="0" b="0"/>
                      <wp:wrapNone/>
                      <wp:docPr id="485" name="Frame48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19710" cy="175260"/>
                      <wp:effectExtent l="0" t="0" r="0" b="0"/>
                      <wp:wrapNone/>
                      <wp:docPr id="486"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24460" cy="175260"/>
                      <wp:effectExtent l="0" t="0" r="0" b="0"/>
                      <wp:wrapNone/>
                      <wp:docPr id="487" name="Frame4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67335" cy="175260"/>
                      <wp:effectExtent l="0" t="0" r="0" b="0"/>
                      <wp:wrapNone/>
                      <wp:docPr id="488" name="Frame48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9"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24460" cy="175260"/>
                      <wp:effectExtent l="0" t="0" r="0" b="0"/>
                      <wp:wrapNone/>
                      <wp:docPr id="490" name="Frame4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10185" cy="175260"/>
                      <wp:effectExtent l="0" t="0" r="0" b="0"/>
                      <wp:wrapNone/>
                      <wp:docPr id="491" name="Frame49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19710" cy="175260"/>
                      <wp:effectExtent l="0" t="0" r="0" b="0"/>
                      <wp:wrapNone/>
                      <wp:docPr id="492"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68910" cy="175260"/>
                      <wp:effectExtent l="0" t="0" r="0" b="0"/>
                      <wp:wrapNone/>
                      <wp:docPr id="493" name="Frame49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98450" cy="175260"/>
                      <wp:effectExtent l="0" t="0" r="0" b="0"/>
                      <wp:wrapNone/>
                      <wp:docPr id="494" name="Frame494"/>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19710" cy="175260"/>
                      <wp:effectExtent l="0" t="0" r="0" b="0"/>
                      <wp:wrapNone/>
                      <wp:docPr id="495"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24460" cy="175260"/>
                      <wp:effectExtent l="0" t="0" r="0" b="0"/>
                      <wp:wrapNone/>
                      <wp:docPr id="496" name="Frame4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478155" cy="175260"/>
                      <wp:effectExtent l="0" t="0" r="0" b="0"/>
                      <wp:wrapNone/>
                      <wp:docPr id="497" name="Frame497"/>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w:t>
            </w:r>
          </w:p>
        </w:tc>
        <w:tc>
          <w:tcPr>
            <w:tcW w:w="346" w:type="dxa"/>
            <w:tcBorders/>
            <w:vAlign w:val="center"/>
          </w:tcPr>
          <w:p>
            <w:pPr>
              <w:pStyle w:val="TableContents"/>
              <w:bidi w:val="0"/>
              <w:spacing w:before="0" w:after="0"/>
              <w:ind w:left="0" w:right="0" w:hanging="0"/>
              <w:jc w:val="left"/>
              <w:rPr/>
            </w:pPr>
            <w:r>
              <w:rPr/>
              <w:t>​</w:t>
            </w:r>
          </w:p>
        </w:tc>
        <w:tc>
          <w:tcPr>
            <w:tcW w:w="509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Future Milestone Payments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left"/>
              <w:rPr/>
            </w:pPr>
            <w:r>
              <w:rPr/>
              <w:t>​</w:t>
            </w:r>
          </w:p>
        </w:tc>
      </w:tr>
      <w:tr>
        <w:trPr/>
        <w:tc>
          <w:tcPr>
            <w:tcW w:w="22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Vessel Construction Obligations</w:t>
              <w:br/>
              <w:t>(in millions)</w:t>
            </w:r>
          </w:p>
        </w:tc>
        <w:tc>
          <w:tcPr>
            <w:tcW w:w="346" w:type="dxa"/>
            <w:tcBorders/>
            <w:vAlign w:val="center"/>
          </w:tcPr>
          <w:p>
            <w:pPr>
              <w:pStyle w:val="TableContents"/>
              <w:bidi w:val="0"/>
              <w:spacing w:before="0" w:after="0"/>
              <w:ind w:left="0" w:right="0" w:hanging="0"/>
              <w:jc w:val="left"/>
              <w:rPr/>
            </w:pPr>
            <w:r>
              <w:rPr/>
              <w:t>  ​ ​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As of</w:t>
              <w:br/>
              <w:t>June 30, 2026</w:t>
            </w:r>
          </w:p>
        </w:tc>
        <w:tc>
          <w:tcPr>
            <w:tcW w:w="346" w:type="dxa"/>
            <w:tcBorders/>
            <w:vAlign w:val="center"/>
          </w:tcPr>
          <w:p>
            <w:pPr>
              <w:pStyle w:val="TableContents"/>
              <w:bidi w:val="0"/>
              <w:spacing w:before="0" w:after="0"/>
              <w:ind w:left="0" w:right="0" w:hanging="0"/>
              <w:jc w:val="left"/>
              <w:rPr/>
            </w:pPr>
            <w:r>
              <w:rPr/>
              <w:t>  ​ ​ ​</w:t>
            </w:r>
          </w:p>
        </w:tc>
        <w:tc>
          <w:tcPr>
            <w:tcW w:w="11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Remainder of 2026</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2027</w:t>
            </w:r>
          </w:p>
        </w:tc>
        <w:tc>
          <w:tcPr>
            <w:tcW w:w="346" w:type="dxa"/>
            <w:tcBorders/>
            <w:vAlign w:val="center"/>
          </w:tcPr>
          <w:p>
            <w:pPr>
              <w:pStyle w:val="TableContents"/>
              <w:bidi w:val="0"/>
              <w:spacing w:before="0" w:after="0"/>
              <w:ind w:left="0" w:right="0" w:hanging="0"/>
              <w:jc w:val="left"/>
              <w:rPr/>
            </w:pPr>
            <w:r>
              <w:rPr/>
              <w:t>  ​ ​ ​</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2028</w:t>
            </w:r>
          </w:p>
        </w:tc>
        <w:tc>
          <w:tcPr>
            <w:tcW w:w="346" w:type="dxa"/>
            <w:tcBorders/>
            <w:vAlign w:val="center"/>
          </w:tcPr>
          <w:p>
            <w:pPr>
              <w:pStyle w:val="TableContents"/>
              <w:bidi w:val="0"/>
              <w:spacing w:before="0" w:after="0"/>
              <w:ind w:left="0" w:right="0" w:hanging="0"/>
              <w:jc w:val="left"/>
              <w:rPr/>
            </w:pPr>
            <w:r>
              <w:rPr/>
              <w:t>  ​ ​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2029</w:t>
            </w:r>
          </w:p>
        </w:tc>
        <w:tc>
          <w:tcPr>
            <w:tcW w:w="346" w:type="dxa"/>
            <w:tcBorders/>
            <w:vAlign w:val="center"/>
          </w:tcPr>
          <w:p>
            <w:pPr>
              <w:pStyle w:val="TableContents"/>
              <w:bidi w:val="0"/>
              <w:spacing w:before="0" w:after="0"/>
              <w:ind w:left="0" w:right="0" w:hanging="0"/>
              <w:jc w:val="left"/>
              <w:rPr/>
            </w:pPr>
            <w:r>
              <w:rPr/>
              <w:t>  ​ ​ ​</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Thereafter</w:t>
            </w:r>
          </w:p>
        </w:tc>
        <w:tc>
          <w:tcPr>
            <w:tcW w:w="346" w:type="dxa"/>
            <w:tcBorders/>
            <w:vAlign w:val="center"/>
          </w:tcPr>
          <w:p>
            <w:pPr>
              <w:pStyle w:val="TableContents"/>
              <w:bidi w:val="0"/>
              <w:spacing w:before="0" w:after="0"/>
              <w:ind w:left="0" w:right="0" w:hanging="0"/>
              <w:jc w:val="left"/>
              <w:rPr/>
            </w:pPr>
            <w:r>
              <w:rPr/>
              <w:t>  ​ ​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Three Aloha Class Containerships</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622.9</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3"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1,005.4</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Repurchase of Shares:</w:t>
      </w:r>
      <w:r>
        <w:rPr>
          <w:rFonts w:ascii="Times New Roman;Times;serif" w:hAnsi="Times New Roman;Times;serif"/>
          <w:sz w:val="20"/>
        </w:rPr>
        <w:t xml:space="preserve"> During the three and six months ended June 30, 2026, the Company repurchased approximately 0.3 million and 0.7 million shares for a total cost of $67.8 million and $122.2 million, respectively. During the three and six months ended June 30, 2025, the Company repurchased approximately 0.9 million and 1.4 million shares for a total cost of $93.7 million and $162.9 million, respectively. The amount of shares repurchased by the Company during any period is dependent on the amount of available cash and cash equivalents, the Company’s stock price and other factors.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April 23, 2026, the Company’s Board of Directors approved an additional 3.0 million shares of common stock to be added to the Company’s existing share repurchase program and extended the program to December 31, 2029. The maximum number of remaining shares that may be repurchased under the Company’s share repurchase program was approximately 3.4 million shares at June 30, 2026. </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b/>
          <w:i/>
          <w:sz w:val="20"/>
        </w:rPr>
        <w:t>Other Material Cash Requirements:</w:t>
      </w:r>
      <w:r>
        <w:rPr>
          <w:rFonts w:ascii="Times New Roman;Times;serif" w:hAnsi="Times New Roman;Times;serif"/>
          <w:sz w:val="20"/>
        </w:rPr>
        <w:t xml:space="preserve"> During the six months ended June 30, 2026, there were no other material changes to the Company’s other material cash requirements for the year ending December 31, 2026 as described in Part II, Item 7 of the Company’s </w:t>
      </w:r>
      <w:hyperlink r:id="rId5">
        <w:r>
          <w:rPr>
            <w:rStyle w:val="InternetLink"/>
            <w:rFonts w:ascii="Times New Roman;Times;serif" w:hAnsi="Times New Roman;Times;serif"/>
            <w:b w:val="false"/>
            <w:i w:val="false"/>
            <w:caps w:val="false"/>
            <w:smallCaps w:val="false"/>
            <w:sz w:val="20"/>
          </w:rPr>
          <w:t>Annual Report on Form 10-K for the year ended December 31, 2025</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There have been no changes during the three and six months ended June 30, 2026 to the Company’s critical accounting policies and estimates as described in Part II, Item 7 of the Company’s </w:t>
      </w:r>
      <w:hyperlink r:id="rId6">
        <w:r>
          <w:rPr>
            <w:rStyle w:val="InternetLink"/>
            <w:rFonts w:ascii="Times New Roman;Times;serif" w:hAnsi="Times New Roman;Times;serif"/>
            <w:b w:val="false"/>
            <w:i w:val="false"/>
            <w:caps w:val="false"/>
            <w:smallCaps w:val="false"/>
            <w:sz w:val="20"/>
          </w:rPr>
          <w:t>Annual Report on Form 10-K for the year ended December 31, 2025</w:t>
        </w:r>
      </w:hyperlink>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MATTERS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Dividends:</w:t>
      </w:r>
      <w:r>
        <w:rPr>
          <w:rFonts w:ascii="Times New Roman;Times;serif" w:hAnsi="Times New Roman;Times;serif"/>
          <w:sz w:val="20"/>
        </w:rPr>
        <w:t xml:space="preserve"> The Company’s second quarter 2026 cash dividend of $0.36 per share was paid on June 4, 2026. On June 25, 2026, the Company’s Board of Directors declared a cash dividend of $0.38 per share payable on September 3, 2026 to shareholders of record on August 6,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New Accounting Pronouncements: </w:t>
      </w:r>
      <w:r>
        <w:rPr>
          <w:rFonts w:ascii="Times New Roman;Times;serif" w:hAnsi="Times New Roman;Times;serif"/>
          <w:sz w:val="20"/>
        </w:rPr>
        <w:t>See Note 2 of Part I, Item 1 above for information on new accounting pronouncements.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17" w:name="ITEM3QUANTITATIVEANDQUALITATIVEDISCLOSUR"/>
      <w:bookmarkStart w:id="1418" w:name="_2ccd3e94_72b4_490b_b1ad_804ddd330002"/>
      <w:bookmarkEnd w:id="1417"/>
      <w:bookmarkEnd w:id="1418"/>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There have been no material changes to the Company’s market risk position during the three and six months ended June 30, 2026 from the information provided under Part II, Item 7A, “Quantitative and Qualitative Disclosures About Market Risk,” of its </w:t>
      </w:r>
      <w:hyperlink r:id="rId7">
        <w:r>
          <w:rPr>
            <w:rStyle w:val="InternetLink"/>
            <w:rFonts w:ascii="Times New Roman;Times;serif" w:hAnsi="Times New Roman;Times;serif"/>
            <w:b w:val="false"/>
            <w:i w:val="false"/>
            <w:caps w:val="false"/>
            <w:smallCaps w:val="false"/>
            <w:sz w:val="20"/>
          </w:rPr>
          <w:t>Annual Report on Form 10-K for the year ended December 31, 2025</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19" w:name="ITEM4CONTROLSANDPROCEDURES_278454"/>
      <w:bookmarkStart w:id="1420" w:name="_c42c7f47_9985_48c5_a797_3c4d67cd8ae8"/>
      <w:bookmarkEnd w:id="1419"/>
      <w:bookmarkEnd w:id="1420"/>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Evaluation of Disclosure Controls and Procedures:</w:t>
      </w:r>
      <w:r>
        <w:rPr>
          <w:rFonts w:ascii="Times New Roman;Times;serif" w:hAnsi="Times New Roman;Times;serif"/>
          <w:sz w:val="20"/>
        </w:rPr>
        <w:t xml:space="preserve"> 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June 30, 2026, the Company’s disclosure controls and procedures are effective.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Changes in Internal Control Over Financial Reporting: </w:t>
      </w:r>
      <w:r>
        <w:rPr>
          <w:rFonts w:ascii="Times New Roman;Times;serif" w:hAnsi="Times New Roman;Times;serif"/>
          <w:sz w:val="20"/>
        </w:rPr>
        <w:t>There were no changes in the Company’s internal control over financial reporting (as defined in Rules 13a-15(f) and 15d-15(f) under the Exchange Act) that occurred during the three months ended June 30, 2026, that have materially affected, or are reasonably likely to materially affect, the Company’s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421" w:name="PARTIIOTHERINFORMATION_744928"/>
      <w:bookmarkStart w:id="1422" w:name="_1c4c1e03_883c_49e1_8838_4487ace72a35"/>
      <w:bookmarkEnd w:id="1421"/>
      <w:bookmarkEnd w:id="1422"/>
      <w:r>
        <w:rPr>
          <w:rFonts w:ascii="Times New Roman;Times;serif" w:hAnsi="Times New Roman;Times;serif"/>
          <w:b/>
          <w:sz w:val="20"/>
        </w:rPr>
        <w:t>PART II. OTHER INFORMATION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bookmarkStart w:id="1423" w:name="ITEM1LEGALPROCEEDINGS_436162"/>
      <w:bookmarkEnd w:id="1423"/>
      <w:r>
        <w:rPr>
          <w:rFonts w:ascii="Times New Roman;Times;serif" w:hAnsi="Times New Roman;Times;serif"/>
          <w:b/>
          <w:sz w:val="20"/>
        </w:rPr>
        <w:t>ITEM 1. 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Environmental Matters:</w:t>
      </w:r>
      <w:r>
        <w:rPr>
          <w:rFonts w:ascii="Times New Roman;Times;serif" w:hAnsi="Times New Roman;Times;serif"/>
          <w:sz w:val="20"/>
        </w:rPr>
        <w:t xml:space="preserve"> The Company faces certain risks that could result in material expenditures related to environmental remediation. The Company believes that based on all information available to it, the Company is currently in compliance, in all material respects, with applicable environmental laws and regulations.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accordance with SEC rules, with respect to administrative or judicial proceedings involving the environment, the Company has determined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Other Matters:</w:t>
      </w:r>
      <w:r>
        <w:rPr>
          <w:rFonts w:ascii="Times New Roman;Times;serif" w:hAnsi="Times New Roman;Times;serif"/>
          <w:sz w:val="20"/>
        </w:rPr>
        <w:t xml:space="preserve"> 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24" w:name="ITEM1ARISKFACTORS_897747"/>
      <w:bookmarkStart w:id="1425" w:name="_245e59fc_66e8_46ee_b50c_f9eff921d831"/>
      <w:bookmarkEnd w:id="1424"/>
      <w:bookmarkEnd w:id="1425"/>
      <w:r>
        <w:rPr>
          <w:rFonts w:ascii="Times New Roman;Times;serif" w:hAnsi="Times New Roman;Times;serif"/>
          <w:b/>
          <w:sz w:val="20"/>
        </w:rPr>
        <w:t>ITEM 1A. RISK FACTORS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bookmarkStart w:id="1426" w:name="_Hlk117024577"/>
      <w:bookmarkEnd w:id="1426"/>
      <w:r>
        <w:rPr>
          <w:rFonts w:ascii="Times New Roman;Times;serif" w:hAnsi="Times New Roman;Times;serif"/>
          <w:sz w:val="20"/>
        </w:rPr>
        <w:t xml:space="preserve">There were no material changes to the Company’s risk factors previously described in Part I, Item 1A, “Risk Factors” of the Company’s </w:t>
      </w:r>
      <w:hyperlink r:id="rId8">
        <w:r>
          <w:rPr>
            <w:rStyle w:val="InternetLink"/>
            <w:rFonts w:ascii="Times New Roman;Times;serif" w:hAnsi="Times New Roman;Times;serif"/>
            <w:b w:val="false"/>
            <w:i w:val="false"/>
            <w:caps w:val="false"/>
            <w:smallCaps w:val="false"/>
            <w:sz w:val="20"/>
          </w:rPr>
          <w:t>Annual Report on Form 10-K for the year ended December 31, 2025</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27" w:name="ITEM2UNREGISTEREDSALESOFEQUITYSECURITIES"/>
      <w:bookmarkStart w:id="1428" w:name="_3b3cbfa2_d039_45f2_b25a_82a8304e4b31"/>
      <w:bookmarkEnd w:id="1427"/>
      <w:bookmarkEnd w:id="1428"/>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 Purchases of Equity Securities by the Issuer and Affiliated Purchases:</w:t>
      </w:r>
      <w:r>
        <w:rPr>
          <w:rFonts w:ascii="Times New Roman;Times;serif" w:hAnsi="Times New Roman;Times;serif"/>
          <w:sz w:val="20"/>
        </w:rPr>
        <w:t xml:space="preserve"> The following is the summary of Matson shares that were repurchased under the Company’s share repurchase program during the three months ended June 30, 2026:</w:t>
      </w:r>
    </w:p>
    <w:tbl>
      <w:tblPr>
        <w:tblW w:w="8417" w:type="dxa"/>
        <w:jc w:val="left"/>
        <w:tblInd w:w="0" w:type="dxa"/>
        <w:tblLayout w:type="fixed"/>
        <w:tblCellMar>
          <w:top w:w="0" w:type="dxa"/>
          <w:left w:w="0" w:type="dxa"/>
          <w:bottom w:w="0" w:type="dxa"/>
          <w:right w:w="0" w:type="dxa"/>
        </w:tblCellMar>
      </w:tblPr>
      <w:tblGrid>
        <w:gridCol w:w="1019"/>
        <w:gridCol w:w="586"/>
        <w:gridCol w:w="1321"/>
        <w:gridCol w:w="346"/>
        <w:gridCol w:w="285"/>
        <w:gridCol w:w="915"/>
        <w:gridCol w:w="346"/>
        <w:gridCol w:w="1561"/>
        <w:gridCol w:w="346"/>
        <w:gridCol w:w="1501"/>
        <w:gridCol w:w="191"/>
      </w:tblGrid>
      <w:tr>
        <w:trPr/>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7065" cy="175260"/>
                      <wp:effectExtent l="0" t="0" r="0" b="0"/>
                      <wp:wrapNone/>
                      <wp:docPr id="498" name="Frame498"/>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372110" cy="175260"/>
                      <wp:effectExtent l="0" t="0" r="0" b="0"/>
                      <wp:wrapNone/>
                      <wp:docPr id="499" name="Frame49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838835" cy="175260"/>
                      <wp:effectExtent l="0" t="0" r="0" b="0"/>
                      <wp:wrapNone/>
                      <wp:docPr id="500" name="Frame500"/>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260"/>
                      <wp:effectExtent l="0" t="0" r="0" b="0"/>
                      <wp:wrapNone/>
                      <wp:docPr id="501" name="Frame5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80975" cy="175260"/>
                      <wp:effectExtent l="0" t="0" r="0" b="0"/>
                      <wp:wrapNone/>
                      <wp:docPr id="502" name="Frame502"/>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581025" cy="175260"/>
                      <wp:effectExtent l="0" t="0" r="0" b="0"/>
                      <wp:wrapNone/>
                      <wp:docPr id="503" name="Frame503"/>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19710" cy="175260"/>
                      <wp:effectExtent l="0" t="0" r="0" b="0"/>
                      <wp:wrapNone/>
                      <wp:docPr id="504"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991235" cy="175260"/>
                      <wp:effectExtent l="0" t="0" r="0" b="0"/>
                      <wp:wrapNone/>
                      <wp:docPr id="505" name="Frame505"/>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19710" cy="175260"/>
                      <wp:effectExtent l="0" t="0" r="0" b="0"/>
                      <wp:wrapNone/>
                      <wp:docPr id="506" name="Frame5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953135" cy="175260"/>
                      <wp:effectExtent l="0" t="0" r="0" b="0"/>
                      <wp:wrapNone/>
                      <wp:docPr id="507" name="Frame507"/>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21285" cy="175260"/>
                      <wp:effectExtent l="0" t="0" r="0" b="0"/>
                      <wp:wrapNone/>
                      <wp:docPr id="508" name="Frame50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1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  ​ ​ ​</w:t>
            </w:r>
          </w:p>
        </w:tc>
        <w:tc>
          <w:tcPr>
            <w:tcW w:w="13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0"/>
              <w:ind w:left="0" w:right="0" w:hanging="0"/>
              <w:jc w:val="left"/>
              <w:rPr/>
            </w:pPr>
            <w:r>
              <w:rPr/>
              <w:t>  ​ ​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Number</w:t>
            </w:r>
          </w:p>
        </w:tc>
        <w:tc>
          <w:tcPr>
            <w:tcW w:w="191" w:type="dxa"/>
            <w:tcBorders/>
            <w:vAlign w:val="center"/>
          </w:tcPr>
          <w:p>
            <w:pPr>
              <w:pStyle w:val="TableContents"/>
              <w:bidi w:val="0"/>
              <w:spacing w:before="0" w:after="0"/>
              <w:ind w:left="0" w:right="0" w:hanging="0"/>
              <w:jc w:val="left"/>
              <w:rPr/>
            </w:pPr>
            <w:r>
              <w:rPr/>
              <w:t> </w:t>
            </w:r>
          </w:p>
        </w:tc>
      </w:tr>
      <w:tr>
        <w:trPr/>
        <w:tc>
          <w:tcPr>
            <w:tcW w:w="101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w:t>
            </w:r>
          </w:p>
        </w:tc>
        <w:tc>
          <w:tcPr>
            <w:tcW w:w="191" w:type="dxa"/>
            <w:tcBorders/>
            <w:vAlign w:val="center"/>
          </w:tcPr>
          <w:p>
            <w:pPr>
              <w:pStyle w:val="TableContents"/>
              <w:bidi w:val="0"/>
              <w:spacing w:before="0" w:after="0"/>
              <w:ind w:left="0" w:right="0" w:hanging="0"/>
              <w:jc w:val="left"/>
              <w:rPr/>
            </w:pPr>
            <w:r>
              <w:rPr/>
              <w:t> </w:t>
            </w:r>
          </w:p>
        </w:tc>
      </w:tr>
      <w:tr>
        <w:trPr/>
        <w:tc>
          <w:tcPr>
            <w:tcW w:w="101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Part of Publicly</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Yet Be Purchased</w:t>
            </w:r>
          </w:p>
        </w:tc>
        <w:tc>
          <w:tcPr>
            <w:tcW w:w="191" w:type="dxa"/>
            <w:tcBorders/>
            <w:vAlign w:val="center"/>
          </w:tcPr>
          <w:p>
            <w:pPr>
              <w:pStyle w:val="TableContents"/>
              <w:bidi w:val="0"/>
              <w:spacing w:before="0" w:after="0"/>
              <w:ind w:left="0" w:right="0" w:hanging="0"/>
              <w:jc w:val="left"/>
              <w:rPr/>
            </w:pPr>
            <w:r>
              <w:rPr/>
              <w:t> </w:t>
            </w:r>
          </w:p>
        </w:tc>
      </w:tr>
      <w:tr>
        <w:trPr/>
        <w:tc>
          <w:tcPr>
            <w:tcW w:w="101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 Plans or</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the Plans or</w:t>
            </w:r>
          </w:p>
        </w:tc>
        <w:tc>
          <w:tcPr>
            <w:tcW w:w="191" w:type="dxa"/>
            <w:tcBorders/>
            <w:vAlign w:val="center"/>
          </w:tcPr>
          <w:p>
            <w:pPr>
              <w:pStyle w:val="TableContents"/>
              <w:bidi w:val="0"/>
              <w:spacing w:before="0" w:after="0"/>
              <w:ind w:left="0" w:right="0" w:hanging="0"/>
              <w:jc w:val="left"/>
              <w:rPr/>
            </w:pPr>
            <w:r>
              <w:rPr/>
              <w:t> </w:t>
            </w:r>
          </w:p>
        </w:tc>
      </w:tr>
      <w:tr>
        <w:trPr/>
        <w:tc>
          <w:tcPr>
            <w:tcW w:w="10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586"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46" w:type="dxa"/>
            <w:tcBorders/>
            <w:vAlign w:val="center"/>
          </w:tcPr>
          <w:p>
            <w:pPr>
              <w:pStyle w:val="TableContents"/>
              <w:bidi w:val="0"/>
              <w:spacing w:before="0" w:after="0"/>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346" w:type="dxa"/>
            <w:tcBorders/>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 (1) (2)</w:t>
            </w:r>
          </w:p>
        </w:tc>
        <w:tc>
          <w:tcPr>
            <w:tcW w:w="346" w:type="dxa"/>
            <w:tcBorders/>
            <w:vAlign w:val="center"/>
          </w:tcPr>
          <w:p>
            <w:pPr>
              <w:pStyle w:val="TableContents"/>
              <w:bidi w:val="0"/>
              <w:spacing w:before="0" w:after="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w:t>
            </w:r>
          </w:p>
        </w:tc>
        <w:tc>
          <w:tcPr>
            <w:tcW w:w="191" w:type="dxa"/>
            <w:tcBorders/>
            <w:vAlign w:val="center"/>
          </w:tcPr>
          <w:p>
            <w:pPr>
              <w:pStyle w:val="TableContents"/>
              <w:bidi w:val="0"/>
              <w:spacing w:before="0" w:after="0"/>
              <w:ind w:left="0" w:right="0" w:hanging="0"/>
              <w:jc w:val="left"/>
              <w:rPr/>
            </w:pPr>
            <w:r>
              <w:rPr/>
              <w:t> </w:t>
            </w:r>
          </w:p>
        </w:tc>
      </w:tr>
      <w:tr>
        <w:trPr/>
        <w:tc>
          <w:tcPr>
            <w:tcW w:w="160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 30, 2026</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127,400</w:t>
            </w:r>
          </w:p>
        </w:tc>
        <w:tc>
          <w:tcPr>
            <w:tcW w:w="34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171.12</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127,400</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3,641,178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6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 31, 2026</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97,500</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181.30</w:t>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97,500</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3,543,678</w:t>
            </w:r>
          </w:p>
        </w:tc>
        <w:tc>
          <w:tcPr>
            <w:tcW w:w="191" w:type="dxa"/>
            <w:tcBorders/>
            <w:vAlign w:val="center"/>
          </w:tcPr>
          <w:p>
            <w:pPr>
              <w:pStyle w:val="TableContents"/>
              <w:bidi w:val="0"/>
              <w:spacing w:before="0" w:after="0"/>
              <w:ind w:left="0" w:right="0" w:hanging="0"/>
              <w:jc w:val="left"/>
              <w:rPr/>
            </w:pPr>
            <w:r>
              <w:rPr/>
              <w:t>​</w:t>
            </w:r>
          </w:p>
        </w:tc>
      </w:tr>
      <w:tr>
        <w:trPr/>
        <w:tc>
          <w:tcPr>
            <w:tcW w:w="160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 30, 2026</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142,500</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193.75</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142,500</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3,401,178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0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586" w:type="dxa"/>
            <w:tcBorders/>
            <w:vAlign w:val="center"/>
          </w:tcPr>
          <w:p>
            <w:pPr>
              <w:pStyle w:val="TableContents"/>
              <w:bidi w:val="0"/>
              <w:spacing w:before="0" w:after="0"/>
              <w:ind w:left="0" w:right="0" w:hanging="0"/>
              <w:jc w:val="left"/>
              <w:rPr/>
            </w:pPr>
            <w:r>
              <w:rPr/>
              <w:t> </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367,400</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182.60</w:t>
            </w:r>
          </w:p>
        </w:tc>
        <w:tc>
          <w:tcPr>
            <w:tcW w:w="346" w:type="dxa"/>
            <w:tcBorders/>
            <w:vAlign w:val="center"/>
          </w:tcPr>
          <w:p>
            <w:pPr>
              <w:pStyle w:val="TableContents"/>
              <w:bidi w:val="0"/>
              <w:spacing w:before="0" w:after="0"/>
              <w:ind w:left="0" w:right="0" w:hanging="0"/>
              <w:jc w:val="left"/>
              <w:rPr/>
            </w:pPr>
            <w:r>
              <w:rPr/>
              <w:t> </w:t>
            </w:r>
          </w:p>
        </w:tc>
        <w:tc>
          <w:tcPr>
            <w:tcW w:w="1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367,400</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 June 24, 2021, Matson’s Board of Directors approved a share repurchase program of up to 3.0 million shares of common stock, with subsequent approvals for the addition of 3.0 million shares on each of January 27, 2022, August 23, 2022, April 27, 2023, February 27, 2025 and April 23, 2026 for an aggregate total of 18.0 million shares of common stock. On April 23, 2026, the share repurchase program was extended to December 31, 2029. Shares will be repurchased in the open market from time to time, and may be made pursuant to a trading plan in accordance with Rule 10b5-1 of the Securities Exchange Act of 1934.</w:t>
            </w:r>
          </w:p>
        </w:tc>
      </w:tr>
    </w:tbl>
    <w:tbl>
      <w:tblPr>
        <w:tblW w:w="6737" w:type="dxa"/>
        <w:jc w:val="left"/>
        <w:tblInd w:w="0" w:type="dxa"/>
        <w:tblLayout w:type="fixed"/>
        <w:tblCellMar>
          <w:top w:w="0" w:type="dxa"/>
          <w:left w:w="0" w:type="dxa"/>
          <w:bottom w:w="0" w:type="dxa"/>
          <w:right w:w="0" w:type="dxa"/>
        </w:tblCellMar>
      </w:tblPr>
      <w:tblGrid>
        <w:gridCol w:w="331"/>
        <w:gridCol w:w="640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64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exclude shares withheld for employee taxes upon vesting of stock-based awards.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29" w:name="ITEM3DEFAULTSUPONSENIORSECURITIES_766025"/>
      <w:bookmarkStart w:id="1430" w:name="_d5d1767a_6e1e_4c67_b491_15ac71ef39ca"/>
      <w:bookmarkEnd w:id="1429"/>
      <w:bookmarkEnd w:id="1430"/>
      <w:r>
        <w:rPr>
          <w:rFonts w:ascii="Times New Roman;Times;serif" w:hAnsi="Times New Roman;Times;serif"/>
          <w:b/>
          <w:sz w:val="20"/>
        </w:rPr>
        <w:t>ITEM 3. DEFAULTS UPON SENIOR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31" w:name="ITEM4MINESAFETYDISCLOSURES_922547"/>
      <w:bookmarkStart w:id="1432" w:name="_4aaa0e3f_b82a_4bc1_b59e_b7d5f228a30b"/>
      <w:bookmarkEnd w:id="1431"/>
      <w:bookmarkEnd w:id="1432"/>
      <w:r>
        <w:rPr>
          <w:rFonts w:ascii="Times New Roman;Times;serif" w:hAnsi="Times New Roman;Times;serif"/>
          <w:b/>
          <w:sz w:val="20"/>
        </w:rPr>
        <w:t>ITEM 4. MINE SAFETY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33" w:name="ITEM5OTHERINFORMATION_110834"/>
      <w:bookmarkStart w:id="1434" w:name="_684b41f7_74b4_41cc_892b_741c2742a86c"/>
      <w:bookmarkEnd w:id="1433"/>
      <w:bookmarkEnd w:id="1434"/>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 Trading Plans:</w:t>
      </w:r>
      <w:r>
        <w:rPr>
          <w:rFonts w:ascii="Times New Roman;Times;serif" w:hAnsi="Times New Roman;Times;serif"/>
          <w:sz w:val="20"/>
        </w:rPr>
        <w:t xml:space="preserve"> During the quarter ended June 30, 2026, no director or Section 16 officer adopted or terminated any Rule 10b5-1 trading arrangements or non-Rule 10b5-1 trading arrangements.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35" w:name="ITEM6EXHIBITS_599668"/>
      <w:bookmarkStart w:id="1436" w:name="_77994a2e_a89b_4803_ac27_27d8be920f00"/>
      <w:bookmarkEnd w:id="1435"/>
      <w:bookmarkEnd w:id="1436"/>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829"/>
        <w:gridCol w:w="9376"/>
      </w:tblGrid>
      <w:tr>
        <w:trPr/>
        <w:tc>
          <w:tcPr>
            <w:tcW w:w="829" w:type="dxa"/>
            <w:tcBorders/>
            <w:vAlign w:val="center"/>
          </w:tcPr>
          <w:p>
            <w:pPr>
              <w:pStyle w:val="TableContents"/>
              <w:pBdr/>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pPr>
            <w:hyperlink w:anchor="matx-20260630xex10d1.htm">
              <w:r>
                <w:rPr>
                  <w:rStyle w:val="InternetLink"/>
                  <w:rFonts w:ascii="Times New Roman;Times;serif" w:hAnsi="Times New Roman;Times;serif"/>
                  <w:b w:val="false"/>
                  <w:i w:val="false"/>
                  <w:caps w:val="false"/>
                  <w:smallCaps w:val="false"/>
                  <w:sz w:val="20"/>
                </w:rPr>
                <w:t>Consulting Agreement with J. Lauer</w:t>
              </w:r>
            </w:hyperlink>
          </w:p>
        </w:tc>
      </w:tr>
      <w:tr>
        <w:trPr/>
        <w:tc>
          <w:tcPr>
            <w:tcW w:w="829" w:type="dxa"/>
            <w:tcBorders/>
            <w:vAlign w:val="center"/>
          </w:tcPr>
          <w:p>
            <w:pPr>
              <w:pStyle w:val="TableContents"/>
              <w:pBdr/>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31.1</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pPr>
            <w:hyperlink w:anchor="matx-20260630xex31d1.htm">
              <w:r>
                <w:rPr>
                  <w:rStyle w:val="InternetLink"/>
                  <w:rFonts w:ascii="Times New Roman;Times;serif" w:hAnsi="Times New Roman;Times;serif"/>
                  <w:b w:val="false"/>
                  <w:i w:val="false"/>
                  <w:caps w:val="false"/>
                  <w:smallCaps w:val="false"/>
                  <w:sz w:val="20"/>
                </w:rPr>
                <w:t>Certification of Chief Executive Officer pursuant to Rule 13a-14(a) or 15d-14(a) of the Securities Exchange Act of 1934.</w:t>
              </w:r>
            </w:hyperlink>
          </w:p>
        </w:tc>
      </w:tr>
      <w:tr>
        <w:trPr/>
        <w:tc>
          <w:tcPr>
            <w:tcW w:w="829" w:type="dxa"/>
            <w:tcBorders/>
            <w:vAlign w:val="center"/>
          </w:tcPr>
          <w:p>
            <w:pPr>
              <w:pStyle w:val="TableContents"/>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31.2</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pPr>
            <w:hyperlink w:anchor="matx-20260630xex31d2.htm">
              <w:r>
                <w:rPr>
                  <w:rStyle w:val="InternetLink"/>
                  <w:rFonts w:ascii="Times New Roman;Times;serif" w:hAnsi="Times New Roman;Times;serif"/>
                  <w:b w:val="false"/>
                  <w:i w:val="false"/>
                  <w:caps w:val="false"/>
                  <w:smallCaps w:val="false"/>
                  <w:sz w:val="20"/>
                </w:rPr>
                <w:t>Certification of Chief Financial Officer pursuant to Rule 13a-14(a) or 15d-14(a) of the Securities Exchange Act of 1934.</w:t>
              </w:r>
            </w:hyperlink>
          </w:p>
        </w:tc>
      </w:tr>
      <w:tr>
        <w:trPr/>
        <w:tc>
          <w:tcPr>
            <w:tcW w:w="829" w:type="dxa"/>
            <w:tcBorders/>
            <w:vAlign w:val="center"/>
          </w:tcPr>
          <w:p>
            <w:pPr>
              <w:pStyle w:val="TableContents"/>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32</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pPr>
            <w:hyperlink w:anchor="matx-20260630xex32.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w:t>
              </w:r>
            </w:hyperlink>
          </w:p>
        </w:tc>
      </w:tr>
      <w:tr>
        <w:trPr/>
        <w:tc>
          <w:tcPr>
            <w:tcW w:w="829" w:type="dxa"/>
            <w:tcBorders/>
            <w:vAlign w:val="center"/>
          </w:tcPr>
          <w:p>
            <w:pPr>
              <w:pStyle w:val="TableContents"/>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101.INS</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29" w:type="dxa"/>
            <w:tcBorders/>
            <w:vAlign w:val="center"/>
          </w:tcPr>
          <w:p>
            <w:pPr>
              <w:pStyle w:val="TableContents"/>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101.SCH</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29" w:type="dxa"/>
            <w:tcBorders/>
            <w:vAlign w:val="center"/>
          </w:tcPr>
          <w:p>
            <w:pPr>
              <w:pStyle w:val="TableContents"/>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101.CAL</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29" w:type="dxa"/>
            <w:tcBorders/>
            <w:vAlign w:val="center"/>
          </w:tcPr>
          <w:p>
            <w:pPr>
              <w:pStyle w:val="TableContents"/>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101.DEF</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29" w:type="dxa"/>
            <w:tcBorders/>
            <w:vAlign w:val="center"/>
          </w:tcPr>
          <w:p>
            <w:pPr>
              <w:pStyle w:val="TableContents"/>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101.LAB</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29" w:type="dxa"/>
            <w:tcBorders/>
            <w:vAlign w:val="center"/>
          </w:tcPr>
          <w:p>
            <w:pPr>
              <w:pStyle w:val="TableContents"/>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101.PRE</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29" w:type="dxa"/>
            <w:tcBorders/>
            <w:vAlign w:val="center"/>
          </w:tcPr>
          <w:p>
            <w:pPr>
              <w:pStyle w:val="TableContents"/>
              <w:pBdr/>
              <w:bidi w:val="0"/>
              <w:spacing w:lineRule="auto" w:line="328" w:before="0" w:after="0"/>
              <w:ind w:left="0" w:right="0" w:hanging="0"/>
              <w:jc w:val="left"/>
              <w:rPr/>
            </w:pPr>
            <w:r>
              <w:rPr/>
              <w:t>​</w:t>
            </w:r>
          </w:p>
        </w:tc>
        <w:tc>
          <w:tcPr>
            <w:tcW w:w="9376" w:type="dxa"/>
            <w:tcBorders/>
            <w:vAlign w:val="center"/>
          </w:tcPr>
          <w:p>
            <w:pPr>
              <w:pStyle w:val="TableContents"/>
              <w:bidi w:val="0"/>
              <w:spacing w:lineRule="auto" w:line="328" w:before="0" w:after="0"/>
              <w:ind w:left="0" w:right="0" w:hanging="0"/>
              <w:jc w:val="left"/>
              <w:rPr/>
            </w:pPr>
            <w:r>
              <w:rPr/>
              <w:t>​</w:t>
            </w:r>
          </w:p>
        </w:tc>
      </w:tr>
      <w:tr>
        <w:trPr/>
        <w:tc>
          <w:tcPr>
            <w:tcW w:w="829"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104</w:t>
            </w:r>
            <w:r>
              <w:rPr>
                <w:rFonts w:ascii="Times New Roman;Times;serif" w:hAnsi="Times New Roman;Times;serif"/>
                <w:sz w:val="15"/>
              </w:rPr>
              <w:t>**</w:t>
            </w:r>
          </w:p>
        </w:tc>
        <w:tc>
          <w:tcPr>
            <w:tcW w:w="937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and included as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Indicates management contract.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37" w:name="SIGNATURES_841218"/>
      <w:bookmarkStart w:id="1438" w:name="_ec6bd9d1_4703_42e0_87a1_16de92192ae2"/>
      <w:bookmarkEnd w:id="1437"/>
      <w:bookmarkEnd w:id="1438"/>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4397" w:type="dxa"/>
        <w:jc w:val="left"/>
        <w:tblInd w:w="0" w:type="dxa"/>
        <w:tblLayout w:type="fixed"/>
        <w:tblCellMar>
          <w:top w:w="0" w:type="dxa"/>
          <w:left w:w="0" w:type="dxa"/>
          <w:bottom w:w="0" w:type="dxa"/>
          <w:right w:w="0" w:type="dxa"/>
        </w:tblCellMar>
      </w:tblPr>
      <w:tblGrid>
        <w:gridCol w:w="1846"/>
        <w:gridCol w:w="2551"/>
      </w:tblGrid>
      <w:tr>
        <w:trPr/>
        <w:tc>
          <w:tcPr>
            <w:tcW w:w="184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MATSON, INC.</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184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August 4, 2026</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/s/ Joel M. Wine</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Joel M. Wine</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Executive Vice President and</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184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August 4, 2026</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/s/ Kevin L. Stuck</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Kevin L. Stuck</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Vice President and Controller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(principal accounting officer)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lineRule="auto" w:line="285" w:before="0" w:after="0"/>
        <w:ind w:left="0" w:right="0" w:hanging="0"/>
        <w:jc w:val="right"/>
        <w:rPr>
          <w:rFonts w:ascii="Times New Roman;Times;serif" w:hAnsi="Times New Roman;Times;serif"/>
          <w:b/>
          <w:sz w:val="24"/>
        </w:rPr>
      </w:pPr>
      <w:bookmarkStart w:id="1439" w:name="matx-20260630xex10d1.htm"/>
      <w:bookmarkStart w:id="1440" w:name="ksmatx20260630xex10d1"/>
      <w:bookmarkEnd w:id="1439"/>
      <w:bookmarkEnd w:id="1440"/>
      <w:r>
        <w:rPr>
          <w:rFonts w:ascii="Times New Roman;Times;serif" w:hAnsi="Times New Roman;Times;serif"/>
          <w:b/>
          <w:sz w:val="24"/>
        </w:rPr>
        <w:t>Exhibit 10.1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MATSON NAVIGATION COMPANY, INC.</w:t>
      </w:r>
    </w:p>
    <w:p>
      <w:pPr>
        <w:pStyle w:val="TextBody"/>
        <w:bidi w:val="0"/>
        <w:spacing w:lineRule="auto" w:line="331" w:before="0" w:after="16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CONSULTING AGREEMENT</w:t>
      </w:r>
    </w:p>
    <w:p>
      <w:pPr>
        <w:pStyle w:val="TextBody"/>
        <w:bidi w:val="0"/>
        <w:spacing w:lineRule="auto" w:line="331" w:before="0" w:after="160"/>
        <w:ind w:left="0" w:right="0" w:hanging="0"/>
        <w:jc w:val="center"/>
        <w:rPr/>
      </w:pPr>
      <w:r>
        <w:rPr/>
        <w:t>​</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This Agreement is entered into as of July 1, 2026 (the “Effective Date”), by and between MATSON NAVIGATION COMPANY, INC. (“Matson”) and John P. Lauer (“Consultant”), with reference to the following:</w:t>
      </w:r>
    </w:p>
    <w:p>
      <w:pPr>
        <w:pStyle w:val="TextBody"/>
        <w:bidi w:val="0"/>
        <w:spacing w:lineRule="auto" w:line="331" w:before="0" w:after="160"/>
        <w:ind w:left="0" w:right="0" w:firstLine="720"/>
        <w:jc w:val="left"/>
        <w:rPr/>
      </w:pPr>
      <w:r>
        <w:rPr/>
        <w:t>​</w:t>
      </w:r>
    </w:p>
    <w:p>
      <w:pPr>
        <w:pStyle w:val="TextBody"/>
        <w:bidi w:val="0"/>
        <w:spacing w:lineRule="auto" w:line="285"/>
        <w:ind w:left="0" w:right="0" w:hanging="0"/>
        <w:jc w:val="left"/>
        <w:rPr>
          <w:rFonts w:ascii="Times New Roman;Times;serif" w:hAnsi="Times New Roman;Times;serif"/>
          <w:sz w:val="24"/>
        </w:rPr>
      </w:pPr>
      <w:r>
        <w:rPr>
          <w:rFonts w:ascii="Times New Roman;Times;serif" w:hAnsi="Times New Roman;Times;serif"/>
          <w:sz w:val="24"/>
        </w:rPr>
        <w:t>A.Consultant is retiring from Matson and his last day of employment with Matson will be July 1, 2026 (the “Employment Termination Date”).</w:t>
      </w:r>
    </w:p>
    <w:p>
      <w:pPr>
        <w:pStyle w:val="TextBody"/>
        <w:bidi w:val="0"/>
        <w:spacing w:lineRule="auto" w:line="331" w:before="0" w:after="160"/>
        <w:ind w:left="10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Consultant, after the Employment Termination Date, is willing to act as an independent consultant to Matson, bringing Consultant’s experience with Matson Navigation Company, Inc., and Consultant’s unique historical knowledge of certain projects, policies and practices. Consultant agrees to assist in the transition of Consultant’s current duties and responsibilities to others and to support the Matson Executive Vice President and Chief Commercial Officer role (the “Services”).</w:t>
            </w:r>
          </w:p>
        </w:tc>
      </w:tr>
    </w:tbl>
    <w:p>
      <w:pPr>
        <w:pStyle w:val="TextBody"/>
        <w:bidi w:val="0"/>
        <w:spacing w:lineRule="auto" w:line="331" w:before="0" w:after="160"/>
        <w:ind w:left="0" w:right="0" w:hanging="0"/>
        <w:jc w:val="left"/>
        <w:rPr/>
      </w:pPr>
      <w:r>
        <w:rPr/>
        <w:t>​</w:t>
      </w:r>
    </w:p>
    <w:tbl>
      <w:tblPr>
        <w:tblW w:w="6093" w:type="dxa"/>
        <w:jc w:val="left"/>
        <w:tblInd w:w="0" w:type="dxa"/>
        <w:tblLayout w:type="fixed"/>
        <w:tblCellMar>
          <w:top w:w="0" w:type="dxa"/>
          <w:left w:w="0" w:type="dxa"/>
          <w:bottom w:w="0" w:type="dxa"/>
          <w:right w:w="0" w:type="dxa"/>
        </w:tblCellMar>
      </w:tblPr>
      <w:tblGrid>
        <w:gridCol w:w="23"/>
        <w:gridCol w:w="245"/>
        <w:gridCol w:w="582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5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Matson wishes to retain Consultant to provide those Services.</w:t>
            </w:r>
          </w:p>
        </w:tc>
      </w:tr>
    </w:tbl>
    <w:p>
      <w:pPr>
        <w:pStyle w:val="TextBody"/>
        <w:bidi w:val="0"/>
        <w:spacing w:lineRule="auto" w:line="331" w:before="0" w:after="160"/>
        <w:ind w:left="720" w:right="0" w:hanging="0"/>
        <w:jc w:val="left"/>
        <w:rPr/>
      </w:pPr>
      <w:r>
        <w:rPr/>
        <w:t>​</w:t>
      </w:r>
    </w:p>
    <w:p>
      <w:pPr>
        <w:pStyle w:val="TextBody"/>
        <w:bidi w:val="0"/>
        <w:spacing w:lineRule="auto" w:line="285" w:before="0" w:after="0"/>
        <w:ind w:left="720" w:right="0" w:hanging="0"/>
        <w:jc w:val="left"/>
        <w:rPr>
          <w:rFonts w:ascii="Times New Roman;Times;serif" w:hAnsi="Times New Roman;Times;serif"/>
          <w:sz w:val="24"/>
        </w:rPr>
      </w:pPr>
      <w:r>
        <w:rPr>
          <w:rFonts w:ascii="Times New Roman;Times;serif" w:hAnsi="Times New Roman;Times;serif"/>
          <w:sz w:val="24"/>
        </w:rPr>
        <w:t>Matson and Consultant agree:</w:t>
      </w:r>
    </w:p>
    <w:p>
      <w:pPr>
        <w:pStyle w:val="TextBody"/>
        <w:bidi w:val="0"/>
        <w:spacing w:lineRule="auto" w:line="331" w:before="0" w:after="160"/>
        <w:ind w:left="720" w:right="0" w:hanging="0"/>
        <w:jc w:val="left"/>
        <w:rPr/>
      </w:pPr>
      <w:r>
        <w:rPr/>
        <w:t>​</w:t>
      </w:r>
    </w:p>
    <w:p>
      <w:pPr>
        <w:pStyle w:val="TextBody"/>
        <w:bidi w:val="0"/>
        <w:spacing w:lineRule="auto" w:line="285"/>
        <w:ind w:left="0" w:right="0" w:hanging="0"/>
        <w:jc w:val="left"/>
        <w:rPr>
          <w:rFonts w:ascii="Aptos" w:hAnsi="Aptos"/>
          <w:sz w:val="24"/>
        </w:rPr>
      </w:pPr>
      <w:r>
        <w:rPr>
          <w:rFonts w:ascii="Times New Roman;Times;serif" w:hAnsi="Times New Roman;Times;serif"/>
          <w:sz w:val="24"/>
        </w:rPr>
        <w:t>1.</w:t>
      </w:r>
      <w:r>
        <w:rPr>
          <w:rFonts w:ascii="Times New Roman;Times;serif" w:hAnsi="Times New Roman;Times;serif"/>
          <w:sz w:val="24"/>
          <w:u w:val="single"/>
        </w:rPr>
        <w:t>Term</w:t>
      </w:r>
      <w:r>
        <w:rPr>
          <w:rFonts w:ascii="Times New Roman;Times;serif" w:hAnsi="Times New Roman;Times;serif"/>
          <w:sz w:val="24"/>
        </w:rPr>
        <w:t>. The term of the Services to be provided by Consultant under this Agreement will begin on July 2, 2026, and may be terminated at any time for any reason by either party. The term of this Agreement ends on March 31, 2027, unless both parties agree in writing to an extension.</w:t>
      </w:r>
    </w:p>
    <w:p>
      <w:pPr>
        <w:pStyle w:val="TextBody"/>
        <w:bidi w:val="0"/>
        <w:spacing w:lineRule="auto" w:line="331" w:before="0" w:after="160"/>
        <w:ind w:left="1080" w:right="0" w:hanging="0"/>
        <w:jc w:val="left"/>
        <w:rPr/>
      </w:pPr>
      <w:r>
        <w:rPr/>
        <w:t>​</w:t>
      </w:r>
    </w:p>
    <w:p>
      <w:pPr>
        <w:pStyle w:val="TextBody"/>
        <w:bidi w:val="0"/>
        <w:spacing w:lineRule="auto" w:line="285"/>
        <w:ind w:left="0" w:right="0" w:hanging="0"/>
        <w:jc w:val="left"/>
        <w:rPr>
          <w:rFonts w:ascii="Aptos" w:hAnsi="Aptos"/>
          <w:sz w:val="24"/>
        </w:rPr>
      </w:pPr>
      <w:r>
        <w:rPr>
          <w:rFonts w:ascii="Times New Roman;Times;serif" w:hAnsi="Times New Roman;Times;serif"/>
          <w:sz w:val="24"/>
        </w:rPr>
        <w:t>2.</w:t>
      </w:r>
      <w:r>
        <w:rPr>
          <w:rFonts w:ascii="Times New Roman;Times;serif" w:hAnsi="Times New Roman;Times;serif"/>
          <w:sz w:val="24"/>
          <w:u w:val="single"/>
        </w:rPr>
        <w:t>Limitations on Other Consulting Work or Employment</w:t>
      </w:r>
      <w:r>
        <w:rPr>
          <w:rFonts w:ascii="Times New Roman;Times;serif" w:hAnsi="Times New Roman;Times;serif"/>
          <w:sz w:val="24"/>
        </w:rPr>
        <w:t>. During the term of this Agreement, Consultant understands that Consultant is prohibited from providing consulting services, advice, or any other assistance to, or become employed by, any individual or company that offers services in competition with Matson or any of its subsidiaries or affiliated entities.</w:t>
      </w:r>
    </w:p>
    <w:p>
      <w:pPr>
        <w:pStyle w:val="TextBody"/>
        <w:bidi w:val="0"/>
        <w:spacing w:lineRule="auto" w:line="331" w:before="0" w:after="160"/>
        <w:ind w:left="720" w:right="0" w:hanging="0"/>
        <w:jc w:val="left"/>
        <w:rPr/>
      </w:pPr>
      <w:r>
        <w:rPr/>
        <w:t>​</w:t>
      </w:r>
    </w:p>
    <w:p>
      <w:pPr>
        <w:pStyle w:val="TextBody"/>
        <w:bidi w:val="0"/>
        <w:spacing w:lineRule="auto" w:line="285"/>
        <w:ind w:left="0" w:right="0" w:hanging="0"/>
        <w:jc w:val="left"/>
        <w:rPr>
          <w:rFonts w:ascii="Aptos" w:hAnsi="Aptos"/>
          <w:sz w:val="24"/>
        </w:rPr>
      </w:pPr>
      <w:r>
        <w:rPr>
          <w:rFonts w:ascii="Times New Roman;Times;serif" w:hAnsi="Times New Roman;Times;serif"/>
          <w:sz w:val="24"/>
        </w:rPr>
        <w:t>3.</w:t>
      </w:r>
      <w:r>
        <w:rPr>
          <w:rFonts w:ascii="Times New Roman;Times;serif" w:hAnsi="Times New Roman;Times;serif"/>
          <w:sz w:val="24"/>
          <w:u w:val="single"/>
        </w:rPr>
        <w:t>Fees and Invoice</w:t>
      </w:r>
      <w:r>
        <w:rPr>
          <w:rFonts w:ascii="Times New Roman;Times;serif" w:hAnsi="Times New Roman;Times;serif"/>
          <w:sz w:val="24"/>
        </w:rPr>
        <w:t xml:space="preserve">. For the Services performed by Consultant during the term of this Agreement, Matson will pay Consultant the fees set forth in the Confidential Addendum. </w:t>
      </w:r>
    </w:p>
    <w:p>
      <w:pPr>
        <w:pStyle w:val="TextBody"/>
        <w:bidi w:val="0"/>
        <w:spacing w:lineRule="auto" w:line="331" w:before="0" w:after="160"/>
        <w:ind w:left="720" w:right="0" w:hanging="0"/>
        <w:jc w:val="left"/>
        <w:rPr/>
      </w:pPr>
      <w:r>
        <w:rPr/>
        <w:t>​</w:t>
      </w:r>
    </w:p>
    <w:p>
      <w:pPr>
        <w:pStyle w:val="TextBody"/>
        <w:bidi w:val="0"/>
        <w:spacing w:lineRule="auto" w:line="285"/>
        <w:ind w:left="0" w:right="0" w:hanging="0"/>
        <w:jc w:val="left"/>
        <w:rPr>
          <w:rFonts w:ascii="Aptos" w:hAnsi="Aptos"/>
          <w:sz w:val="24"/>
        </w:rPr>
      </w:pPr>
      <w:r>
        <w:rPr>
          <w:rFonts w:ascii="Times New Roman;Times;serif" w:hAnsi="Times New Roman;Times;serif"/>
          <w:sz w:val="24"/>
        </w:rPr>
        <w:t>4.</w:t>
      </w:r>
      <w:r>
        <w:rPr>
          <w:rFonts w:ascii="Times New Roman;Times;serif" w:hAnsi="Times New Roman;Times;serif"/>
          <w:sz w:val="24"/>
          <w:u w:val="single"/>
        </w:rPr>
        <w:t>Reimbursement of Expenses</w:t>
      </w:r>
      <w:r>
        <w:rPr>
          <w:rFonts w:ascii="Times New Roman;Times;serif" w:hAnsi="Times New Roman;Times;serif"/>
          <w:sz w:val="24"/>
        </w:rPr>
        <w:t>. Matson will reimburse Consultant for the following out-of-pocket expenses incurred in connection with the performance of the Services:</w:t>
      </w:r>
    </w:p>
    <w:p>
      <w:pPr>
        <w:pStyle w:val="TextBody"/>
        <w:bidi w:val="0"/>
        <w:spacing w:lineRule="auto" w:line="331" w:before="0" w:after="160"/>
        <w:ind w:left="720" w:right="0" w:hanging="0"/>
        <w:jc w:val="left"/>
        <w:rPr/>
      </w:pPr>
      <w:r>
        <w:rPr/>
        <w:t>​</w:t>
      </w:r>
    </w:p>
    <w:tbl>
      <w:tblPr>
        <w:tblW w:w="4953" w:type="dxa"/>
        <w:jc w:val="left"/>
        <w:tblInd w:w="0" w:type="dxa"/>
        <w:tblLayout w:type="fixed"/>
        <w:tblCellMar>
          <w:top w:w="0" w:type="dxa"/>
          <w:left w:w="0" w:type="dxa"/>
          <w:bottom w:w="0" w:type="dxa"/>
          <w:right w:w="0" w:type="dxa"/>
        </w:tblCellMar>
      </w:tblPr>
      <w:tblGrid>
        <w:gridCol w:w="23"/>
        <w:gridCol w:w="170"/>
        <w:gridCol w:w="47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expenses incidental to performing the Services</w:t>
            </w:r>
          </w:p>
        </w:tc>
      </w:tr>
    </w:tbl>
    <w:tbl>
      <w:tblPr>
        <w:tblW w:w="6408" w:type="dxa"/>
        <w:jc w:val="left"/>
        <w:tblInd w:w="0" w:type="dxa"/>
        <w:tblLayout w:type="fixed"/>
        <w:tblCellMar>
          <w:top w:w="0" w:type="dxa"/>
          <w:left w:w="0" w:type="dxa"/>
          <w:bottom w:w="0" w:type="dxa"/>
          <w:right w:w="0" w:type="dxa"/>
        </w:tblCellMar>
      </w:tblPr>
      <w:tblGrid>
        <w:gridCol w:w="23"/>
        <w:gridCol w:w="170"/>
        <w:gridCol w:w="62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Other expenses, including travel, approved in advance by Matson</w:t>
            </w:r>
          </w:p>
        </w:tc>
      </w:tr>
    </w:tbl>
    <w:p>
      <w:pPr>
        <w:pStyle w:val="TextBody"/>
        <w:bidi w:val="0"/>
        <w:spacing w:lineRule="auto" w:line="331" w:before="0" w:after="160"/>
        <w:ind w:left="144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In order to obtain reimbursement for the foregoing expenses, Consultant must detail the reimbursable expenses in the monthly invoice for the month in which the expense is incurred and provide supporting documentation that is reasonably acceptable to Matson. Reimbursements provided for in this paragraph are the only reimbursements payable to Consultant under this Agreement.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331" w:before="0" w:after="160"/>
        <w:ind w:left="1080" w:right="0" w:hanging="0"/>
        <w:jc w:val="left"/>
        <w:rPr/>
      </w:pPr>
      <w:r>
        <w:rPr/>
        <w:t>​</w:t>
      </w:r>
    </w:p>
    <w:p>
      <w:pPr>
        <w:pStyle w:val="TextBody"/>
        <w:bidi w:val="0"/>
        <w:spacing w:lineRule="auto" w:line="285"/>
        <w:ind w:left="0" w:right="0" w:hanging="0"/>
        <w:jc w:val="left"/>
        <w:rPr>
          <w:rFonts w:ascii="Aptos" w:hAnsi="Aptos"/>
          <w:sz w:val="24"/>
        </w:rPr>
      </w:pPr>
      <w:r>
        <w:rPr>
          <w:rFonts w:ascii="Times New Roman;Times;serif" w:hAnsi="Times New Roman;Times;serif"/>
          <w:sz w:val="24"/>
        </w:rPr>
        <w:t>5.</w:t>
      </w:r>
      <w:r>
        <w:rPr>
          <w:rFonts w:ascii="Times New Roman;Times;serif" w:hAnsi="Times New Roman;Times;serif"/>
          <w:sz w:val="24"/>
          <w:u w:val="single"/>
        </w:rPr>
        <w:t>Independent Contractor Status</w:t>
      </w:r>
      <w:r>
        <w:rPr>
          <w:rFonts w:ascii="Times New Roman;Times;serif" w:hAnsi="Times New Roman;Times;serif"/>
          <w:sz w:val="24"/>
        </w:rPr>
        <w:t>. The parties intend that Consultant will be an independent contractor and not an employee of Matson. To that end, the parties agree that Consultant will control how the Services are performed, but that Matson may provide job specifications. The parties agree that the work is on-call and irregular, when work is available. Consultant acknowledges that, as a Consultant under this Agreement, Consultant is not eligible for fringe benefits provided by Matson to its active employees and hereby waives claim to any such benefits. Except to the extent that Consultant was vested in such benefits on or prior to Consultant’s retirement date, Consultant acknowledges that Consultant is not entitled to pension, profit sharing, medical or dental benefits, workers’ compensation benefits or unemployment insurance, vacation or holiday pay, or new or additional grants of restricted stock units, stock options or other equity.</w:t>
      </w:r>
    </w:p>
    <w:p>
      <w:pPr>
        <w:pStyle w:val="TextBody"/>
        <w:bidi w:val="0"/>
        <w:spacing w:lineRule="auto" w:line="331" w:before="0" w:after="160"/>
        <w:ind w:left="0" w:right="0" w:firstLine="720"/>
        <w:jc w:val="left"/>
        <w:rPr/>
      </w:pPr>
      <w:r>
        <w:rPr/>
        <w:t>​</w:t>
      </w:r>
    </w:p>
    <w:p>
      <w:pPr>
        <w:pStyle w:val="TextBody"/>
        <w:bidi w:val="0"/>
        <w:spacing w:lineRule="auto" w:line="285"/>
        <w:ind w:left="0" w:right="0" w:hanging="0"/>
        <w:jc w:val="left"/>
        <w:rPr>
          <w:rFonts w:ascii="Aptos" w:hAnsi="Aptos"/>
          <w:sz w:val="24"/>
        </w:rPr>
      </w:pPr>
      <w:r>
        <w:rPr>
          <w:rFonts w:ascii="Times New Roman;Times;serif" w:hAnsi="Times New Roman;Times;serif"/>
          <w:sz w:val="24"/>
        </w:rPr>
        <w:t>6.</w:t>
      </w:r>
      <w:r>
        <w:rPr>
          <w:rFonts w:ascii="Times New Roman;Times;serif" w:hAnsi="Times New Roman;Times;serif"/>
          <w:sz w:val="24"/>
          <w:u w:val="single"/>
        </w:rPr>
        <w:t>Taxes</w:t>
      </w:r>
      <w:r>
        <w:rPr>
          <w:rFonts w:ascii="Times New Roman;Times;serif" w:hAnsi="Times New Roman;Times;serif"/>
          <w:sz w:val="24"/>
        </w:rPr>
        <w:t xml:space="preserve">. Consultant agrees that any tax obligations which arise from the payments from this Agreement shall be the sole obligation of Consultant and that Consultant holds harmless and indemnifies Matson and Matson’s affiliates against any and all costs, penalties, taxes, or other payments made or required by any taxing authority on account of the failure or alleged failure to meet such tax obligations. </w:t>
      </w:r>
    </w:p>
    <w:p>
      <w:pPr>
        <w:pStyle w:val="TextBody"/>
        <w:bidi w:val="0"/>
        <w:spacing w:lineRule="auto" w:line="331" w:before="0" w:after="160"/>
        <w:ind w:left="0" w:right="0" w:firstLine="720"/>
        <w:jc w:val="left"/>
        <w:rPr/>
      </w:pPr>
      <w:r>
        <w:rPr/>
        <w:t>​</w:t>
      </w:r>
    </w:p>
    <w:p>
      <w:pPr>
        <w:pStyle w:val="TextBody"/>
        <w:bidi w:val="0"/>
        <w:spacing w:lineRule="auto" w:line="285"/>
        <w:ind w:left="0" w:right="0" w:hanging="0"/>
        <w:jc w:val="left"/>
        <w:rPr>
          <w:rFonts w:ascii="Aptos" w:hAnsi="Aptos"/>
          <w:sz w:val="24"/>
        </w:rPr>
      </w:pPr>
      <w:r>
        <w:rPr>
          <w:rFonts w:ascii="Times New Roman;Times;serif" w:hAnsi="Times New Roman;Times;serif"/>
          <w:sz w:val="24"/>
        </w:rPr>
        <w:t>7.</w:t>
      </w:r>
      <w:r>
        <w:rPr>
          <w:rFonts w:ascii="Times New Roman;Times;serif" w:hAnsi="Times New Roman;Times;serif"/>
          <w:sz w:val="24"/>
          <w:u w:val="single"/>
        </w:rPr>
        <w:t>Confidential Information</w:t>
      </w:r>
      <w:r>
        <w:rPr>
          <w:rFonts w:ascii="Times New Roman;Times;serif" w:hAnsi="Times New Roman;Times;serif"/>
          <w:sz w:val="24"/>
        </w:rPr>
        <w:t xml:space="preserve">. Unless consented to in writing by Matson, Consultant will not disclose to anyone during or after the term of this Agreement confidential information received from Matson or developed by Consultant in performing the Services. Reports or other documents prepared by Consultant under this Agreement and any such information furnished by Matson to Consultant under this Agreement will all be, and will remain the property of Matson and be returned to Matson upon request or when they are no longer necessary for performance of the Services. Consultant will not take any such materials nor use any such material or information or copies thereof for work Consultant performs for others nor disclose such material or information to any other party without the prior written consent of Matson. </w:t>
      </w:r>
    </w:p>
    <w:p>
      <w:pPr>
        <w:pStyle w:val="TextBody"/>
        <w:bidi w:val="0"/>
        <w:spacing w:lineRule="auto" w:line="331" w:before="0" w:after="160"/>
        <w:ind w:left="0" w:right="0" w:firstLine="720"/>
        <w:jc w:val="left"/>
        <w:rPr/>
      </w:pPr>
      <w:r>
        <w:rPr/>
        <w:t>​</w:t>
      </w:r>
    </w:p>
    <w:p>
      <w:pPr>
        <w:pStyle w:val="TextBody"/>
        <w:bidi w:val="0"/>
        <w:spacing w:lineRule="auto" w:line="285"/>
        <w:ind w:left="0" w:right="0" w:hanging="0"/>
        <w:jc w:val="left"/>
        <w:rPr>
          <w:rFonts w:ascii="Aptos" w:hAnsi="Aptos"/>
          <w:sz w:val="24"/>
        </w:rPr>
      </w:pPr>
      <w:r>
        <w:rPr>
          <w:rFonts w:ascii="Times New Roman;Times;serif" w:hAnsi="Times New Roman;Times;serif"/>
          <w:sz w:val="24"/>
        </w:rPr>
        <w:t>8.</w:t>
      </w:r>
      <w:r>
        <w:rPr>
          <w:rFonts w:ascii="Times New Roman;Times;serif" w:hAnsi="Times New Roman;Times;serif"/>
          <w:sz w:val="24"/>
          <w:u w:val="single"/>
        </w:rPr>
        <w:t>Policies and Procedures</w:t>
      </w:r>
      <w:r>
        <w:rPr>
          <w:rFonts w:ascii="Times New Roman;Times;serif" w:hAnsi="Times New Roman;Times;serif"/>
          <w:sz w:val="24"/>
        </w:rPr>
        <w:t>. Consultant shall comply with all of Matson’s policies, standards and procedures, including the Code of Conduct, when performing the Services under this Agreement.</w:t>
      </w:r>
    </w:p>
    <w:p>
      <w:pPr>
        <w:pStyle w:val="TextBody"/>
        <w:bidi w:val="0"/>
        <w:spacing w:lineRule="auto" w:line="331" w:before="0" w:after="160"/>
        <w:ind w:left="0" w:right="0" w:firstLine="720"/>
        <w:jc w:val="left"/>
        <w:rPr/>
      </w:pPr>
      <w:r>
        <w:rPr/>
        <w:t>​</w:t>
      </w:r>
    </w:p>
    <w:p>
      <w:pPr>
        <w:pStyle w:val="TextBody"/>
        <w:bidi w:val="0"/>
        <w:spacing w:lineRule="auto" w:line="285"/>
        <w:ind w:left="0" w:right="0" w:hanging="0"/>
        <w:jc w:val="left"/>
        <w:rPr>
          <w:rFonts w:ascii="Aptos" w:hAnsi="Aptos"/>
          <w:sz w:val="24"/>
        </w:rPr>
      </w:pPr>
      <w:r>
        <w:rPr>
          <w:rFonts w:ascii="Times New Roman;Times;serif" w:hAnsi="Times New Roman;Times;serif"/>
          <w:sz w:val="24"/>
        </w:rPr>
        <w:t>9.</w:t>
      </w:r>
      <w:r>
        <w:rPr>
          <w:rFonts w:ascii="Times New Roman;Times;serif" w:hAnsi="Times New Roman;Times;serif"/>
          <w:sz w:val="24"/>
          <w:u w:val="single"/>
        </w:rPr>
        <w:t>Assignment</w:t>
      </w:r>
      <w:r>
        <w:rPr>
          <w:rFonts w:ascii="Times New Roman;Times;serif" w:hAnsi="Times New Roman;Times;serif"/>
          <w:sz w:val="24"/>
        </w:rPr>
        <w:t>. Consultant will not assign or otherwise transfer any interest in this Agreement without the prior written consent of Matson, and any attempted assignment or transfer without consent will be void.</w:t>
      </w:r>
    </w:p>
    <w:p>
      <w:pPr>
        <w:pStyle w:val="TextBody"/>
        <w:bidi w:val="0"/>
        <w:spacing w:lineRule="auto" w:line="331" w:before="0" w:after="160"/>
        <w:ind w:left="0" w:right="0" w:firstLine="720"/>
        <w:jc w:val="left"/>
        <w:rPr/>
      </w:pPr>
      <w:r>
        <w:rPr/>
        <w:t>​</w:t>
      </w:r>
    </w:p>
    <w:p>
      <w:pPr>
        <w:pStyle w:val="TextBody"/>
        <w:bidi w:val="0"/>
        <w:spacing w:lineRule="auto" w:line="285"/>
        <w:ind w:left="0" w:right="0" w:hanging="0"/>
        <w:jc w:val="left"/>
        <w:rPr>
          <w:rFonts w:ascii="Aptos" w:hAnsi="Aptos"/>
          <w:sz w:val="24"/>
        </w:rPr>
      </w:pPr>
      <w:r>
        <w:rPr>
          <w:rFonts w:ascii="Times New Roman;Times;serif" w:hAnsi="Times New Roman;Times;serif"/>
          <w:sz w:val="24"/>
        </w:rPr>
        <w:t>10.</w:t>
      </w:r>
      <w:r>
        <w:rPr>
          <w:rFonts w:ascii="Times New Roman;Times;serif" w:hAnsi="Times New Roman;Times;serif"/>
          <w:sz w:val="24"/>
          <w:u w:val="single"/>
        </w:rPr>
        <w:t>Miscellaneous</w:t>
      </w:r>
      <w:r>
        <w:rPr>
          <w:rFonts w:ascii="Times New Roman;Times;serif" w:hAnsi="Times New Roman;Times;serif"/>
          <w:sz w:val="24"/>
        </w:rPr>
        <w:t>.</w:t>
      </w:r>
    </w:p>
    <w:p>
      <w:pPr>
        <w:pStyle w:val="TextBody"/>
        <w:bidi w:val="0"/>
        <w:spacing w:lineRule="auto" w:line="331" w:before="0" w:after="160"/>
        <w:ind w:left="720" w:right="0" w:hanging="0"/>
        <w:jc w:val="left"/>
        <w:rPr/>
      </w:pPr>
      <w:r>
        <w:rPr/>
        <w:t>​</w:t>
      </w:r>
    </w:p>
    <w:p>
      <w:pPr>
        <w:pStyle w:val="TextBody"/>
        <w:bidi w:val="0"/>
        <w:spacing w:lineRule="auto" w:line="285"/>
        <w:ind w:left="720" w:right="0" w:hanging="0"/>
        <w:jc w:val="left"/>
        <w:rPr>
          <w:rFonts w:ascii="Aptos" w:hAnsi="Aptos"/>
          <w:sz w:val="24"/>
        </w:rPr>
      </w:pPr>
      <w:r>
        <w:rPr>
          <w:rFonts w:ascii="Times New Roman;Times;serif" w:hAnsi="Times New Roman;Times;serif"/>
          <w:sz w:val="24"/>
        </w:rPr>
        <w:t>a.</w:t>
      </w:r>
      <w:r>
        <w:rPr>
          <w:rFonts w:ascii="Times New Roman;Times;serif" w:hAnsi="Times New Roman;Times;serif"/>
          <w:sz w:val="24"/>
          <w:u w:val="single"/>
        </w:rPr>
        <w:t>Notices</w:t>
      </w:r>
      <w:r>
        <w:rPr>
          <w:rFonts w:ascii="Times New Roman;Times;serif" w:hAnsi="Times New Roman;Times;serif"/>
          <w:sz w:val="24"/>
        </w:rPr>
        <w:t>. Any notice required by this Agreement shall be given in writing addressed as set forth below and either personally delivered, sent via FedEx, or mailed by first class mail, postage prepaid, and such notice shall be deemed to have been duly given on the date of delivery if delivered personally, on the date set forth in the FedEx shipping document if sent via FedEx, or on the third day after the date of mailing if mailed:</w:t>
      </w:r>
    </w:p>
    <w:p>
      <w:pPr>
        <w:pStyle w:val="TextBody"/>
        <w:bidi w:val="0"/>
        <w:spacing w:lineRule="auto" w:line="331" w:before="0" w:after="160"/>
        <w:ind w:left="144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5522" w:type="dxa"/>
        <w:jc w:val="left"/>
        <w:tblInd w:w="0" w:type="dxa"/>
        <w:tblLayout w:type="fixed"/>
        <w:tblCellMar>
          <w:top w:w="0" w:type="dxa"/>
          <w:left w:w="0" w:type="dxa"/>
          <w:bottom w:w="0" w:type="dxa"/>
          <w:right w:w="0" w:type="dxa"/>
        </w:tblCellMar>
      </w:tblPr>
      <w:tblGrid>
        <w:gridCol w:w="1201"/>
        <w:gridCol w:w="4321"/>
      </w:tblGrid>
      <w:tr>
        <w:trPr/>
        <w:tc>
          <w:tcPr>
            <w:tcW w:w="1201" w:type="dxa"/>
            <w:tcBorders/>
            <w:vAlign w:val="center"/>
          </w:tcPr>
          <w:p>
            <w:pPr>
              <w:pStyle w:val="TableContents"/>
              <w:bidi w:val="0"/>
              <w:spacing w:lineRule="auto" w:line="285" w:before="0" w:after="0"/>
              <w:ind w:left="0" w:right="0" w:hanging="0"/>
              <w:jc w:val="left"/>
              <w:rPr/>
            </w:pPr>
            <w:r>
              <w:rPr/>
              <w:t>​</w:t>
            </w:r>
          </w:p>
        </w:tc>
        <w:tc>
          <w:tcPr>
            <w:tcW w:w="4321" w:type="dxa"/>
            <w:tcBorders/>
            <w:vAlign w:val="center"/>
          </w:tcPr>
          <w:p>
            <w:pPr>
              <w:pStyle w:val="TableContents"/>
              <w:bidi w:val="0"/>
              <w:spacing w:lineRule="auto" w:line="285" w:before="0" w:after="0"/>
              <w:ind w:left="0" w:right="0" w:hanging="0"/>
              <w:jc w:val="left"/>
              <w:rPr/>
            </w:pPr>
            <w:r>
              <w:rPr/>
              <w:t>​</w:t>
            </w:r>
          </w:p>
        </w:tc>
      </w:tr>
      <w:tr>
        <w:trPr/>
        <w:tc>
          <w:tcPr>
            <w:tcW w:w="120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Matson:</w:t>
            </w:r>
          </w:p>
        </w:tc>
        <w:tc>
          <w:tcPr>
            <w:tcW w:w="432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Matson Navigation Company, Inc.</w:t>
            </w:r>
          </w:p>
        </w:tc>
      </w:tr>
      <w:tr>
        <w:trPr/>
        <w:tc>
          <w:tcPr>
            <w:tcW w:w="1201" w:type="dxa"/>
            <w:tcBorders/>
            <w:vAlign w:val="center"/>
          </w:tcPr>
          <w:p>
            <w:pPr>
              <w:pStyle w:val="TableContents"/>
              <w:bidi w:val="0"/>
              <w:spacing w:lineRule="auto" w:line="285" w:before="0" w:after="0"/>
              <w:ind w:left="0" w:right="0" w:hanging="0"/>
              <w:jc w:val="left"/>
              <w:rPr/>
            </w:pPr>
            <w:r>
              <w:rPr/>
              <w:t>​</w:t>
            </w:r>
          </w:p>
        </w:tc>
        <w:tc>
          <w:tcPr>
            <w:tcW w:w="432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Attention: Chief Executive Officer</w:t>
            </w:r>
          </w:p>
        </w:tc>
      </w:tr>
      <w:tr>
        <w:trPr/>
        <w:tc>
          <w:tcPr>
            <w:tcW w:w="1201" w:type="dxa"/>
            <w:tcBorders/>
            <w:vAlign w:val="center"/>
          </w:tcPr>
          <w:p>
            <w:pPr>
              <w:pStyle w:val="TableContents"/>
              <w:bidi w:val="0"/>
              <w:spacing w:lineRule="auto" w:line="285" w:before="0" w:after="0"/>
              <w:ind w:left="0" w:right="0" w:hanging="0"/>
              <w:jc w:val="left"/>
              <w:rPr/>
            </w:pPr>
            <w:r>
              <w:rPr/>
              <w:t>​</w:t>
            </w:r>
          </w:p>
        </w:tc>
        <w:tc>
          <w:tcPr>
            <w:tcW w:w="432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2121 North California Boulevard, Suite 500</w:t>
            </w:r>
          </w:p>
        </w:tc>
      </w:tr>
      <w:tr>
        <w:trPr/>
        <w:tc>
          <w:tcPr>
            <w:tcW w:w="1201" w:type="dxa"/>
            <w:tcBorders/>
            <w:vAlign w:val="center"/>
          </w:tcPr>
          <w:p>
            <w:pPr>
              <w:pStyle w:val="TableContents"/>
              <w:bidi w:val="0"/>
              <w:spacing w:lineRule="auto" w:line="285" w:before="0" w:after="0"/>
              <w:ind w:left="0" w:right="0" w:hanging="0"/>
              <w:jc w:val="left"/>
              <w:rPr/>
            </w:pPr>
            <w:r>
              <w:rPr/>
              <w:t>​</w:t>
            </w:r>
          </w:p>
        </w:tc>
        <w:tc>
          <w:tcPr>
            <w:tcW w:w="432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Walnut Creek, CA 94596</w:t>
            </w:r>
          </w:p>
        </w:tc>
      </w:tr>
      <w:tr>
        <w:trPr/>
        <w:tc>
          <w:tcPr>
            <w:tcW w:w="1201" w:type="dxa"/>
            <w:tcBorders/>
            <w:vAlign w:val="center"/>
          </w:tcPr>
          <w:p>
            <w:pPr>
              <w:pStyle w:val="TableContents"/>
              <w:bidi w:val="0"/>
              <w:spacing w:lineRule="auto" w:line="285" w:before="0" w:after="0"/>
              <w:ind w:left="0" w:right="0" w:hanging="0"/>
              <w:jc w:val="left"/>
              <w:rPr/>
            </w:pPr>
            <w:r>
              <w:rPr/>
              <w:t>​</w:t>
            </w:r>
          </w:p>
        </w:tc>
        <w:tc>
          <w:tcPr>
            <w:tcW w:w="4321" w:type="dxa"/>
            <w:tcBorders/>
            <w:vAlign w:val="center"/>
          </w:tcPr>
          <w:p>
            <w:pPr>
              <w:pStyle w:val="TableContents"/>
              <w:bidi w:val="0"/>
              <w:spacing w:lineRule="auto" w:line="285" w:before="0" w:after="0"/>
              <w:ind w:left="0" w:right="0" w:hanging="0"/>
              <w:jc w:val="left"/>
              <w:rPr/>
            </w:pPr>
            <w:r>
              <w:rPr/>
              <w:t>​</w:t>
            </w:r>
          </w:p>
        </w:tc>
      </w:tr>
      <w:tr>
        <w:trPr/>
        <w:tc>
          <w:tcPr>
            <w:tcW w:w="120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Consultant:</w:t>
            </w:r>
          </w:p>
        </w:tc>
        <w:tc>
          <w:tcPr>
            <w:tcW w:w="432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John Lauer</w:t>
            </w:r>
          </w:p>
        </w:tc>
      </w:tr>
      <w:tr>
        <w:trPr/>
        <w:tc>
          <w:tcPr>
            <w:tcW w:w="1201" w:type="dxa"/>
            <w:tcBorders/>
            <w:vAlign w:val="center"/>
          </w:tcPr>
          <w:p>
            <w:pPr>
              <w:pStyle w:val="TableContents"/>
              <w:bidi w:val="0"/>
              <w:spacing w:lineRule="auto" w:line="285" w:before="0" w:after="0"/>
              <w:ind w:left="0" w:right="0" w:hanging="0"/>
              <w:jc w:val="left"/>
              <w:rPr/>
            </w:pPr>
            <w:r>
              <w:rPr/>
              <w:t>​</w:t>
            </w:r>
          </w:p>
        </w:tc>
        <w:tc>
          <w:tcPr>
            <w:tcW w:w="432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[Address]</w:t>
            </w:r>
          </w:p>
        </w:tc>
      </w:tr>
    </w:tbl>
    <w:p>
      <w:pPr>
        <w:pStyle w:val="TextBody"/>
        <w:bidi w:val="0"/>
        <w:spacing w:lineRule="auto" w:line="331" w:before="0" w:after="160"/>
        <w:ind w:left="2160" w:right="0" w:firstLine="720"/>
        <w:jc w:val="left"/>
        <w:rPr/>
      </w:pPr>
      <w:r>
        <w:rPr/>
        <w:t>​</w:t>
      </w:r>
    </w:p>
    <w:p>
      <w:pPr>
        <w:pStyle w:val="TextBody"/>
        <w:bidi w:val="0"/>
        <w:spacing w:lineRule="auto" w:line="285"/>
        <w:ind w:left="720" w:right="0" w:hanging="0"/>
        <w:jc w:val="left"/>
        <w:rPr>
          <w:rFonts w:ascii="Aptos" w:hAnsi="Aptos"/>
          <w:sz w:val="24"/>
        </w:rPr>
      </w:pPr>
      <w:r>
        <w:rPr>
          <w:rFonts w:ascii="Times New Roman;Times;serif" w:hAnsi="Times New Roman;Times;serif"/>
          <w:sz w:val="24"/>
        </w:rPr>
        <w:t>b.</w:t>
      </w:r>
      <w:r>
        <w:rPr>
          <w:rFonts w:ascii="Times New Roman;Times;serif" w:hAnsi="Times New Roman;Times;serif"/>
          <w:sz w:val="24"/>
          <w:u w:val="single"/>
        </w:rPr>
        <w:t>Severability</w:t>
      </w:r>
      <w:r>
        <w:rPr>
          <w:rFonts w:ascii="Times New Roman;Times;serif" w:hAnsi="Times New Roman;Times;serif"/>
          <w:sz w:val="24"/>
        </w:rPr>
        <w:t>. If any term, provision, covenant or condition of this Agreement is held by a court of competent jurisdiction to be invalid, void or unenforceable, the rest of this Agreement will remain in full force and effect.</w:t>
      </w:r>
    </w:p>
    <w:p>
      <w:pPr>
        <w:pStyle w:val="TextBody"/>
        <w:bidi w:val="0"/>
        <w:spacing w:lineRule="auto" w:line="331" w:before="0" w:after="160"/>
        <w:ind w:left="720" w:right="0" w:firstLine="720"/>
        <w:jc w:val="left"/>
        <w:rPr/>
      </w:pPr>
      <w:r>
        <w:rPr/>
        <w:t>​</w:t>
      </w:r>
    </w:p>
    <w:p>
      <w:pPr>
        <w:pStyle w:val="TextBody"/>
        <w:bidi w:val="0"/>
        <w:spacing w:lineRule="auto" w:line="285"/>
        <w:ind w:left="720" w:right="0" w:hanging="0"/>
        <w:jc w:val="left"/>
        <w:rPr>
          <w:rFonts w:ascii="Aptos" w:hAnsi="Aptos"/>
          <w:sz w:val="24"/>
        </w:rPr>
      </w:pPr>
      <w:r>
        <w:rPr>
          <w:rFonts w:ascii="Times New Roman;Times;serif" w:hAnsi="Times New Roman;Times;serif"/>
          <w:sz w:val="24"/>
        </w:rPr>
        <w:t>c.</w:t>
      </w:r>
      <w:r>
        <w:rPr>
          <w:rFonts w:ascii="Times New Roman;Times;serif" w:hAnsi="Times New Roman;Times;serif"/>
          <w:sz w:val="24"/>
          <w:u w:val="single"/>
        </w:rPr>
        <w:t>Entire Agreement</w:t>
      </w:r>
      <w:r>
        <w:rPr>
          <w:rFonts w:ascii="Times New Roman;Times;serif" w:hAnsi="Times New Roman;Times;serif"/>
          <w:sz w:val="24"/>
        </w:rPr>
        <w:t>. This Agreement contains the entire agreement of the parties relating to the rights granted and obligations assumed in this Agreement, and no modification or amendment hereof will be effective unless set forth in a written instrument (i) signed by the party against whom its modification or amendment is asserted or (ii) to which such party has otherwise evidenced its acceptance. This agreement shall not affect, diminish or negate any right or benefit Consultant may have as a former employee or retiree of Matson or any affiliate of Matson.</w:t>
      </w:r>
    </w:p>
    <w:p>
      <w:pPr>
        <w:pStyle w:val="TextBody"/>
        <w:bidi w:val="0"/>
        <w:spacing w:lineRule="auto" w:line="331" w:before="0" w:after="160"/>
        <w:ind w:left="720" w:right="0" w:firstLine="720"/>
        <w:jc w:val="left"/>
        <w:rPr/>
      </w:pPr>
      <w:r>
        <w:rPr/>
        <w:t>​</w:t>
      </w:r>
    </w:p>
    <w:p>
      <w:pPr>
        <w:pStyle w:val="TextBody"/>
        <w:bidi w:val="0"/>
        <w:spacing w:lineRule="auto" w:line="285"/>
        <w:ind w:left="720" w:right="0" w:hanging="0"/>
        <w:jc w:val="left"/>
        <w:rPr>
          <w:rFonts w:ascii="Aptos" w:hAnsi="Aptos"/>
          <w:sz w:val="24"/>
        </w:rPr>
      </w:pPr>
      <w:r>
        <w:rPr>
          <w:rFonts w:ascii="Times New Roman;Times;serif" w:hAnsi="Times New Roman;Times;serif"/>
          <w:sz w:val="24"/>
        </w:rPr>
        <w:t>d.</w:t>
      </w:r>
      <w:r>
        <w:rPr>
          <w:rFonts w:ascii="Times New Roman;Times;serif" w:hAnsi="Times New Roman;Times;serif"/>
          <w:sz w:val="24"/>
          <w:u w:val="single"/>
        </w:rPr>
        <w:t>Choice of Law</w:t>
      </w:r>
      <w:r>
        <w:rPr>
          <w:rFonts w:ascii="Times New Roman;Times;serif" w:hAnsi="Times New Roman;Times;serif"/>
          <w:sz w:val="24"/>
        </w:rPr>
        <w:t>. The interpretation, construction and enforcement of this Agreement will be governed by the laws of the State of California exclusively, without reference to the laws of any other state or country, subject to the laws, rules or regulations of the United States to the extent applicable. Courts in California shall be the sole mandatory and exclusive venue and jurisdiction for the enforcement of this Agreement or any litigation related to or arising from the Agreement.</w:t>
      </w:r>
    </w:p>
    <w:p>
      <w:pPr>
        <w:pStyle w:val="TextBody"/>
        <w:bidi w:val="0"/>
        <w:spacing w:lineRule="auto" w:line="331" w:before="0" w:after="160"/>
        <w:ind w:left="720" w:right="0" w:hanging="0"/>
        <w:jc w:val="left"/>
        <w:rPr/>
      </w:pPr>
      <w:r>
        <w:rPr/>
        <w:t>​</w:t>
      </w:r>
    </w:p>
    <w:p>
      <w:pPr>
        <w:pStyle w:val="TextBody"/>
        <w:bidi w:val="0"/>
        <w:spacing w:lineRule="auto" w:line="331" w:before="0" w:after="160"/>
        <w:ind w:left="720" w:right="0" w:hanging="0"/>
        <w:jc w:val="left"/>
        <w:rPr/>
      </w:pPr>
      <w:r>
        <w:rPr/>
        <w:t>​</w:t>
      </w:r>
    </w:p>
    <w:tbl>
      <w:tblPr>
        <w:tblW w:w="8057" w:type="dxa"/>
        <w:jc w:val="left"/>
        <w:tblInd w:w="0" w:type="dxa"/>
        <w:tblLayout w:type="fixed"/>
        <w:tblCellMar>
          <w:top w:w="0" w:type="dxa"/>
          <w:left w:w="0" w:type="dxa"/>
          <w:bottom w:w="0" w:type="dxa"/>
          <w:right w:w="0" w:type="dxa"/>
        </w:tblCellMar>
      </w:tblPr>
      <w:tblGrid>
        <w:gridCol w:w="2971"/>
        <w:gridCol w:w="5086"/>
      </w:tblGrid>
      <w:tr>
        <w:trPr/>
        <w:tc>
          <w:tcPr>
            <w:tcW w:w="2971" w:type="dxa"/>
            <w:tcBorders/>
            <w:vAlign w:val="center"/>
          </w:tcPr>
          <w:p>
            <w:pPr>
              <w:pStyle w:val="TableContents"/>
              <w:bidi w:val="0"/>
              <w:spacing w:lineRule="auto" w:line="285" w:before="0" w:after="0"/>
              <w:ind w:left="0" w:right="0" w:hanging="0"/>
              <w:jc w:val="left"/>
              <w:rPr/>
            </w:pPr>
            <w:r>
              <w:rPr/>
              <w:t>​</w:t>
            </w:r>
          </w:p>
        </w:tc>
        <w:tc>
          <w:tcPr>
            <w:tcW w:w="5086" w:type="dxa"/>
            <w:tcBorders/>
            <w:vAlign w:val="center"/>
          </w:tcPr>
          <w:p>
            <w:pPr>
              <w:pStyle w:val="TableContents"/>
              <w:bidi w:val="0"/>
              <w:spacing w:lineRule="auto" w:line="285" w:before="0" w:after="0"/>
              <w:ind w:left="0" w:right="0" w:hanging="0"/>
              <w:jc w:val="left"/>
              <w:rPr/>
            </w:pPr>
            <w:r>
              <w:rPr/>
              <w:t>​</w:t>
            </w:r>
          </w:p>
        </w:tc>
      </w:tr>
      <w:tr>
        <w:trPr/>
        <w:tc>
          <w:tcPr>
            <w:tcW w:w="297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CONSULTANT</w:t>
            </w:r>
          </w:p>
        </w:tc>
        <w:tc>
          <w:tcPr>
            <w:tcW w:w="5086"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MATSON NAVIGATION COMPANY, INC.</w:t>
            </w:r>
          </w:p>
        </w:tc>
      </w:tr>
      <w:tr>
        <w:trPr/>
        <w:tc>
          <w:tcPr>
            <w:tcW w:w="2971" w:type="dxa"/>
            <w:tcBorders/>
            <w:vAlign w:val="center"/>
          </w:tcPr>
          <w:p>
            <w:pPr>
              <w:pStyle w:val="TableContents"/>
              <w:bidi w:val="0"/>
              <w:spacing w:lineRule="auto" w:line="285" w:before="0" w:after="0"/>
              <w:ind w:left="0" w:right="0" w:hanging="0"/>
              <w:jc w:val="left"/>
              <w:rPr/>
            </w:pPr>
            <w:r>
              <w:rPr/>
              <w:t>​</w:t>
            </w:r>
          </w:p>
        </w:tc>
        <w:tc>
          <w:tcPr>
            <w:tcW w:w="5086" w:type="dxa"/>
            <w:tcBorders/>
            <w:vAlign w:val="center"/>
          </w:tcPr>
          <w:p>
            <w:pPr>
              <w:pStyle w:val="TableContents"/>
              <w:bidi w:val="0"/>
              <w:spacing w:lineRule="auto" w:line="285" w:before="0" w:after="0"/>
              <w:ind w:left="0" w:right="0" w:hanging="0"/>
              <w:jc w:val="left"/>
              <w:rPr/>
            </w:pPr>
            <w:r>
              <w:rPr/>
              <w:t>​</w:t>
            </w:r>
          </w:p>
        </w:tc>
      </w:tr>
      <w:tr>
        <w:trPr/>
        <w:tc>
          <w:tcPr>
            <w:tcW w:w="2971" w:type="dxa"/>
            <w:tcBorders/>
            <w:vAlign w:val="center"/>
          </w:tcPr>
          <w:p>
            <w:pPr>
              <w:pStyle w:val="TableContents"/>
              <w:bidi w:val="0"/>
              <w:spacing w:lineRule="auto" w:line="285" w:before="0" w:after="0"/>
              <w:ind w:left="0" w:right="0" w:hanging="0"/>
              <w:jc w:val="left"/>
              <w:rPr/>
            </w:pPr>
            <w:r>
              <w:rPr/>
              <w:t>​</w:t>
            </w:r>
          </w:p>
        </w:tc>
        <w:tc>
          <w:tcPr>
            <w:tcW w:w="5086" w:type="dxa"/>
            <w:tcBorders/>
            <w:vAlign w:val="center"/>
          </w:tcPr>
          <w:p>
            <w:pPr>
              <w:pStyle w:val="TableContents"/>
              <w:bidi w:val="0"/>
              <w:spacing w:lineRule="auto" w:line="285" w:before="0" w:after="0"/>
              <w:ind w:left="0" w:right="0" w:hanging="0"/>
              <w:jc w:val="left"/>
              <w:rPr/>
            </w:pPr>
            <w:r>
              <w:rPr/>
              <w:t>​</w:t>
            </w:r>
          </w:p>
        </w:tc>
      </w:tr>
      <w:tr>
        <w:trPr/>
        <w:tc>
          <w:tcPr>
            <w:tcW w:w="2971" w:type="dxa"/>
            <w:tcBorders/>
            <w:vAlign w:val="center"/>
          </w:tcPr>
          <w:p>
            <w:pPr>
              <w:pStyle w:val="TableContents"/>
              <w:bidi w:val="0"/>
              <w:spacing w:lineRule="auto" w:line="285" w:before="0" w:after="0"/>
              <w:ind w:left="0" w:right="0" w:hanging="0"/>
              <w:jc w:val="left"/>
              <w:rPr/>
            </w:pPr>
            <w:r>
              <w:rPr/>
              <w:t>​</w:t>
            </w:r>
          </w:p>
        </w:tc>
        <w:tc>
          <w:tcPr>
            <w:tcW w:w="5086" w:type="dxa"/>
            <w:tcBorders/>
            <w:vAlign w:val="center"/>
          </w:tcPr>
          <w:p>
            <w:pPr>
              <w:pStyle w:val="TableContents"/>
              <w:bidi w:val="0"/>
              <w:spacing w:lineRule="auto" w:line="285" w:before="0" w:after="0"/>
              <w:ind w:left="0" w:right="0" w:hanging="0"/>
              <w:jc w:val="left"/>
              <w:rPr/>
            </w:pPr>
            <w:r>
              <w:rPr/>
              <w:t>​</w:t>
            </w:r>
          </w:p>
        </w:tc>
      </w:tr>
      <w:tr>
        <w:trPr/>
        <w:tc>
          <w:tcPr>
            <w:tcW w:w="2971" w:type="dxa"/>
            <w:tcBorders/>
            <w:vAlign w:val="center"/>
          </w:tcPr>
          <w:p>
            <w:pPr>
              <w:pStyle w:val="TableContents"/>
              <w:bidi w:val="0"/>
              <w:spacing w:lineRule="auto" w:line="285"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/s/ John P. Lauer                     </w:t>
            </w:r>
          </w:p>
        </w:tc>
        <w:tc>
          <w:tcPr>
            <w:tcW w:w="5086" w:type="dxa"/>
            <w:tcBorders/>
            <w:vAlign w:val="center"/>
          </w:tcPr>
          <w:p>
            <w:pPr>
              <w:pStyle w:val="TableContents"/>
              <w:bidi w:val="0"/>
              <w:spacing w:lineRule="auto" w:line="285" w:before="0" w:after="0"/>
              <w:ind w:left="0" w:right="0" w:hanging="0"/>
              <w:jc w:val="left"/>
              <w:rPr>
                <w:rFonts w:ascii="Aptos" w:hAnsi="Aptos"/>
                <w:sz w:val="24"/>
              </w:rPr>
            </w:pPr>
            <w:r>
              <w:rPr>
                <w:rFonts w:ascii="Times New Roman;Times;serif" w:hAnsi="Times New Roman;Times;serif"/>
                <w:sz w:val="24"/>
                <w:u w:val="single"/>
              </w:rPr>
              <w:t>/s/ Matthew J. Cox</w:t>
            </w:r>
            <w:r>
              <w:rPr>
                <w:rFonts w:ascii="Aptos" w:hAnsi="Aptos"/>
                <w:sz w:val="24"/>
                <w:u w:val="single"/>
              </w:rPr>
              <w:t>                                          </w:t>
            </w:r>
          </w:p>
        </w:tc>
      </w:tr>
      <w:tr>
        <w:trPr/>
        <w:tc>
          <w:tcPr>
            <w:tcW w:w="297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John P. Lauer</w:t>
            </w:r>
          </w:p>
        </w:tc>
        <w:tc>
          <w:tcPr>
            <w:tcW w:w="5086"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Matthew J. Cox</w:t>
            </w:r>
          </w:p>
        </w:tc>
      </w:tr>
      <w:tr>
        <w:trPr/>
        <w:tc>
          <w:tcPr>
            <w:tcW w:w="2971" w:type="dxa"/>
            <w:tcBorders/>
            <w:vAlign w:val="center"/>
          </w:tcPr>
          <w:p>
            <w:pPr>
              <w:pStyle w:val="TableContents"/>
              <w:bidi w:val="0"/>
              <w:spacing w:lineRule="auto" w:line="285" w:before="0" w:after="0"/>
              <w:ind w:left="0" w:right="0" w:hanging="0"/>
              <w:jc w:val="left"/>
              <w:rPr/>
            </w:pPr>
            <w:r>
              <w:rPr/>
              <w:t>​</w:t>
            </w:r>
          </w:p>
        </w:tc>
        <w:tc>
          <w:tcPr>
            <w:tcW w:w="5086"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Chairman of the Board</w:t>
            </w:r>
          </w:p>
        </w:tc>
      </w:tr>
    </w:tbl>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41" w:name="matx-20260630xex31d1.htm"/>
      <w:bookmarkStart w:id="1442" w:name="ksmatx20260630xex31d1"/>
      <w:bookmarkEnd w:id="1441"/>
      <w:bookmarkEnd w:id="1442"/>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Rule 13a-14(a) or 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Matthew J. Cox,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Matson,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4957" w:type="dxa"/>
        <w:jc w:val="left"/>
        <w:tblInd w:w="0" w:type="dxa"/>
        <w:tblLayout w:type="fixed"/>
        <w:tblCellMar>
          <w:top w:w="0" w:type="dxa"/>
          <w:left w:w="0" w:type="dxa"/>
          <w:bottom w:w="0" w:type="dxa"/>
          <w:right w:w="0" w:type="dxa"/>
        </w:tblCellMar>
      </w:tblPr>
      <w:tblGrid>
        <w:gridCol w:w="1846"/>
        <w:gridCol w:w="109"/>
        <w:gridCol w:w="346"/>
        <w:gridCol w:w="2656"/>
      </w:tblGrid>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Matthew J. Cox</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Matthew J. Cox, Chairman and</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4, 2026</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43" w:name="matx-20260630xex31d2.htm"/>
      <w:bookmarkStart w:id="1444" w:name="ksmatx20260630xex31d2"/>
      <w:bookmarkEnd w:id="1443"/>
      <w:bookmarkEnd w:id="1444"/>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Rule 13a-14(a) or 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Joel M. Wine,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Matson,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6007" w:type="dxa"/>
        <w:jc w:val="left"/>
        <w:tblInd w:w="0" w:type="dxa"/>
        <w:tblLayout w:type="fixed"/>
        <w:tblCellMar>
          <w:top w:w="0" w:type="dxa"/>
          <w:left w:w="0" w:type="dxa"/>
          <w:bottom w:w="0" w:type="dxa"/>
          <w:right w:w="0" w:type="dxa"/>
        </w:tblCellMar>
      </w:tblPr>
      <w:tblGrid>
        <w:gridCol w:w="1846"/>
        <w:gridCol w:w="109"/>
        <w:gridCol w:w="346"/>
        <w:gridCol w:w="3706"/>
      </w:tblGrid>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Joel M. Wine, Executive Vice President and</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4, 2026</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45" w:name="matx-20260630xex32.htm"/>
      <w:bookmarkStart w:id="1446" w:name="ksmatx20260630xex32"/>
      <w:bookmarkEnd w:id="1445"/>
      <w:bookmarkEnd w:id="1446"/>
      <w:r>
        <w:rPr>
          <w:rFonts w:ascii="Times New Roman;Times;serif" w:hAnsi="Times New Roman;Times;serif"/>
          <w:b/>
          <w:sz w:val="20"/>
        </w:rPr>
        <w:t>EXHIBIT 32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 pursuant to 18 U.S.C. Section 1350</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on Form 10-Q of Matson, Inc. (the “Company”) for the quarterly period ended June 30, 2026, as filed with the Securities and Exchange Commission on the date hereof (the “Report”), Matthew J. Cox, as Chairman and Chief Executive Officer of the Company, and Joel M. Wine, as Executive Vice President and Chief Financial Officer of the Company, each hereby certifies, pursuant to 18 U.S.C. Section 1350, that to their knowledge: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 signed original of this written statement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5305" w:type="dxa"/>
        <w:jc w:val="left"/>
        <w:tblInd w:w="0" w:type="dxa"/>
        <w:tblLayout w:type="fixed"/>
        <w:tblCellMar>
          <w:top w:w="0" w:type="dxa"/>
          <w:left w:w="0" w:type="dxa"/>
          <w:bottom w:w="0" w:type="dxa"/>
          <w:right w:w="0" w:type="dxa"/>
        </w:tblCellMar>
      </w:tblPr>
      <w:tblGrid>
        <w:gridCol w:w="646"/>
        <w:gridCol w:w="4396"/>
        <w:gridCol w:w="109"/>
        <w:gridCol w:w="154"/>
      </w:tblGrid>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042" w:type="dxa"/>
            <w:gridSpan w:val="2"/>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Matthew J. Cox</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Matthew J. Cox</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4, 2026</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042" w:type="dxa"/>
            <w:gridSpan w:val="2"/>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Joel M. Wine</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4, 2026</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3453/000110465926020944/matx-20251231x10k.htm" TargetMode="External"/><Relationship Id="rId3" Type="http://schemas.openxmlformats.org/officeDocument/2006/relationships/hyperlink" Target="https://www.sec.gov/ix?doc=/Archives/edgar/data/3453/000110465926020944/matx-20251231x10k.htm" TargetMode="External"/><Relationship Id="rId4" Type="http://schemas.openxmlformats.org/officeDocument/2006/relationships/hyperlink" Target="https://www.sec.gov/ix?doc=/Archives/edgar/data/3453/000110465926020944/matx-20251231x10k.htm" TargetMode="External"/><Relationship Id="rId5" Type="http://schemas.openxmlformats.org/officeDocument/2006/relationships/hyperlink" Target="https://www.sec.gov/ix?doc=/Archives/edgar/data/3453/000110465926020944/matx-20251231x10k.htm" TargetMode="External"/><Relationship Id="rId6" Type="http://schemas.openxmlformats.org/officeDocument/2006/relationships/hyperlink" Target="https://www.sec.gov/ix?doc=/Archives/edgar/data/3453/000110465926020944/matx-20251231x10k.htm" TargetMode="External"/><Relationship Id="rId7" Type="http://schemas.openxmlformats.org/officeDocument/2006/relationships/hyperlink" Target="https://www.sec.gov/ix?doc=/Archives/edgar/data/3453/000110465926020944/matx-20251231x10k.htm" TargetMode="External"/><Relationship Id="rId8" Type="http://schemas.openxmlformats.org/officeDocument/2006/relationships/hyperlink" Target="https://www.sec.gov/ix?doc=/Archives/edgar/data/3453/000110465926020944/matx-20251231x10k.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17244</Words>
  <Characters>94091</Characters>
  <CharactersWithSpaces>114408</CharactersWithSpaces>
  <Paragraphs>7599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