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452120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520700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31" w:lineRule="exact"/>
        <w:rPr>
          <w:sz w:val="24"/>
          <w:szCs w:val="24"/>
          <w:color w:val="auto"/>
        </w:rPr>
      </w:pPr>
    </w:p>
    <w:p>
      <w:pPr>
        <w:ind w:left="620" w:right="1280" w:hanging="306"/>
        <w:spacing w:after="0" w:line="256" w:lineRule="auto"/>
        <w:tabs>
          <w:tab w:leader="none" w:pos="6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4960" w:type="dxa"/>
            <w:vAlign w:val="bottom"/>
          </w:tcPr>
          <w:p>
            <w:pPr>
              <w:ind w:left="1820"/>
              <w:spacing w:after="0"/>
              <w:rPr>
                <w:sz w:val="20"/>
                <w:szCs w:val="20"/>
                <w:color w:val="auto"/>
              </w:rPr>
            </w:pPr>
            <w:r>
              <w:rPr>
                <w:rFonts w:ascii="Arial" w:cs="Arial" w:eastAsia="Arial" w:hAnsi="Arial"/>
                <w:sz w:val="18"/>
                <w:szCs w:val="18"/>
                <w:b w:val="1"/>
                <w:bCs w:val="1"/>
                <w:color w:val="auto"/>
              </w:rPr>
              <w:t>For the transition period from</w:t>
            </w:r>
          </w:p>
        </w:tc>
        <w:tc>
          <w:tcPr>
            <w:tcW w:w="2220" w:type="dxa"/>
            <w:vAlign w:val="bottom"/>
          </w:tcPr>
          <w:p>
            <w:pPr>
              <w:ind w:left="140"/>
              <w:spacing w:after="0"/>
              <w:rPr>
                <w:sz w:val="20"/>
                <w:szCs w:val="20"/>
                <w:color w:val="auto"/>
              </w:rPr>
            </w:pPr>
            <w:r>
              <w:rPr>
                <w:rFonts w:ascii="Arial" w:cs="Arial" w:eastAsia="Arial" w:hAnsi="Arial"/>
                <w:sz w:val="18"/>
                <w:szCs w:val="18"/>
                <w:b w:val="1"/>
                <w:bCs w:val="1"/>
                <w:color w:val="auto"/>
              </w:rPr>
              <w:t>to</w:t>
            </w:r>
          </w:p>
        </w:tc>
      </w:tr>
      <w:tr>
        <w:trPr>
          <w:trHeight w:val="351"/>
        </w:trPr>
        <w:tc>
          <w:tcPr>
            <w:tcW w:w="7180" w:type="dxa"/>
            <w:vAlign w:val="bottom"/>
            <w:gridSpan w:val="2"/>
          </w:tcPr>
          <w:p>
            <w:pPr>
              <w:jc w:val="center"/>
              <w:ind w:left="64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85"/>
        </w:trPr>
        <w:tc>
          <w:tcPr>
            <w:tcW w:w="4960" w:type="dxa"/>
            <w:vAlign w:val="bottom"/>
          </w:tcPr>
          <w:p>
            <w:pPr>
              <w:jc w:val="center"/>
              <w:ind w:left="2883"/>
              <w:spacing w:after="0"/>
              <w:rPr>
                <w:sz w:val="20"/>
                <w:szCs w:val="20"/>
                <w:color w:val="auto"/>
              </w:rPr>
            </w:pPr>
            <w:r>
              <w:rPr>
                <w:rFonts w:ascii="Arial" w:cs="Arial" w:eastAsia="Arial" w:hAnsi="Arial"/>
                <w:sz w:val="32"/>
                <w:szCs w:val="32"/>
                <w:b w:val="1"/>
                <w:bCs w:val="1"/>
                <w:color w:val="auto"/>
                <w:w w:val="94"/>
              </w:rPr>
              <w:t>Matson, Inc.</w:t>
            </w:r>
          </w:p>
        </w:tc>
        <w:tc>
          <w:tcPr>
            <w:tcW w:w="2220" w:type="dxa"/>
            <w:vAlign w:val="bottom"/>
          </w:tcPr>
          <w:p>
            <w:pPr>
              <w:spacing w:after="0"/>
              <w:rPr>
                <w:sz w:val="24"/>
                <w:szCs w:val="24"/>
                <w:color w:val="auto"/>
              </w:rPr>
            </w:pPr>
          </w:p>
        </w:tc>
      </w:tr>
      <w:tr>
        <w:trPr>
          <w:trHeight w:val="230"/>
        </w:trPr>
        <w:tc>
          <w:tcPr>
            <w:tcW w:w="7180" w:type="dxa"/>
            <w:vAlign w:val="bottom"/>
            <w:gridSpan w:val="2"/>
          </w:tcPr>
          <w:p>
            <w:pPr>
              <w:jc w:val="center"/>
              <w:ind w:left="64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4960" w:type="dxa"/>
            <w:vAlign w:val="bottom"/>
          </w:tcPr>
          <w:p>
            <w:pPr>
              <w:jc w:val="center"/>
              <w:ind w:right="2043"/>
              <w:spacing w:after="0"/>
              <w:rPr>
                <w:sz w:val="20"/>
                <w:szCs w:val="20"/>
                <w:color w:val="auto"/>
              </w:rPr>
            </w:pPr>
            <w:r>
              <w:rPr>
                <w:rFonts w:ascii="Arial" w:cs="Arial" w:eastAsia="Arial" w:hAnsi="Arial"/>
                <w:sz w:val="18"/>
                <w:szCs w:val="18"/>
                <w:b w:val="1"/>
                <w:bCs w:val="1"/>
                <w:color w:val="auto"/>
                <w:w w:val="94"/>
              </w:rPr>
              <w:t>Hawaii</w:t>
            </w:r>
          </w:p>
        </w:tc>
        <w:tc>
          <w:tcPr>
            <w:tcW w:w="2220" w:type="dxa"/>
            <w:vAlign w:val="bottom"/>
          </w:tcPr>
          <w:p>
            <w:pPr>
              <w:jc w:val="right"/>
              <w:ind w:right="13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4960" w:type="dxa"/>
            <w:vAlign w:val="bottom"/>
          </w:tcPr>
          <w:p>
            <w:pPr>
              <w:jc w:val="center"/>
              <w:ind w:right="2043"/>
              <w:spacing w:after="0" w:line="189" w:lineRule="exact"/>
              <w:rPr>
                <w:sz w:val="20"/>
                <w:szCs w:val="20"/>
                <w:color w:val="auto"/>
              </w:rPr>
            </w:pPr>
            <w:r>
              <w:rPr>
                <w:rFonts w:ascii="Arial" w:cs="Arial" w:eastAsia="Arial" w:hAnsi="Arial"/>
                <w:sz w:val="18"/>
                <w:szCs w:val="18"/>
                <w:color w:val="auto"/>
                <w:w w:val="93"/>
              </w:rPr>
              <w:t>(State or other jurisdiction of</w:t>
            </w:r>
          </w:p>
        </w:tc>
        <w:tc>
          <w:tcPr>
            <w:tcW w:w="2220" w:type="dxa"/>
            <w:vAlign w:val="bottom"/>
          </w:tcPr>
          <w:p>
            <w:pPr>
              <w:jc w:val="center"/>
              <w:ind w:left="81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4960" w:type="dxa"/>
            <w:vAlign w:val="bottom"/>
          </w:tcPr>
          <w:p>
            <w:pPr>
              <w:jc w:val="center"/>
              <w:ind w:right="2063"/>
              <w:spacing w:after="0"/>
              <w:rPr>
                <w:sz w:val="20"/>
                <w:szCs w:val="20"/>
                <w:color w:val="auto"/>
              </w:rPr>
            </w:pPr>
            <w:r>
              <w:rPr>
                <w:rFonts w:ascii="Arial" w:cs="Arial" w:eastAsia="Arial" w:hAnsi="Arial"/>
                <w:sz w:val="18"/>
                <w:szCs w:val="18"/>
                <w:color w:val="auto"/>
                <w:w w:val="92"/>
              </w:rPr>
              <w:t>incorporation or organization)</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4960" w:type="dxa"/>
            <w:vAlign w:val="bottom"/>
          </w:tcPr>
          <w:p>
            <w:pPr>
              <w:jc w:val="center"/>
              <w:ind w:right="2063"/>
              <w:spacing w:after="0"/>
              <w:rPr>
                <w:sz w:val="20"/>
                <w:szCs w:val="20"/>
                <w:color w:val="auto"/>
              </w:rPr>
            </w:pPr>
            <w:r>
              <w:rPr>
                <w:rFonts w:ascii="Arial" w:cs="Arial" w:eastAsia="Arial" w:hAnsi="Arial"/>
                <w:sz w:val="18"/>
                <w:szCs w:val="18"/>
                <w:b w:val="1"/>
                <w:bCs w:val="1"/>
                <w:color w:val="auto"/>
                <w:w w:val="91"/>
              </w:rPr>
              <w:t>1411 Sand Island Parkway</w:t>
            </w:r>
          </w:p>
        </w:tc>
        <w:tc>
          <w:tcPr>
            <w:tcW w:w="2220" w:type="dxa"/>
            <w:vAlign w:val="bottom"/>
          </w:tcPr>
          <w:p>
            <w:pPr>
              <w:spacing w:after="0"/>
              <w:rPr>
                <w:sz w:val="24"/>
                <w:szCs w:val="24"/>
                <w:color w:val="auto"/>
              </w:rPr>
            </w:pPr>
          </w:p>
        </w:tc>
      </w:tr>
      <w:tr>
        <w:trPr>
          <w:trHeight w:val="193"/>
        </w:trPr>
        <w:tc>
          <w:tcPr>
            <w:tcW w:w="4960" w:type="dxa"/>
            <w:vAlign w:val="bottom"/>
          </w:tcPr>
          <w:p>
            <w:pPr>
              <w:jc w:val="center"/>
              <w:ind w:right="204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2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4960" w:type="dxa"/>
            <w:vAlign w:val="bottom"/>
          </w:tcPr>
          <w:p>
            <w:pPr>
              <w:jc w:val="center"/>
              <w:ind w:right="2003"/>
              <w:spacing w:after="0"/>
              <w:rPr>
                <w:sz w:val="20"/>
                <w:szCs w:val="20"/>
                <w:color w:val="auto"/>
              </w:rPr>
            </w:pPr>
            <w:r>
              <w:rPr>
                <w:rFonts w:ascii="Arial" w:cs="Arial" w:eastAsia="Arial" w:hAnsi="Arial"/>
                <w:sz w:val="18"/>
                <w:szCs w:val="18"/>
                <w:color w:val="auto"/>
                <w:w w:val="92"/>
              </w:rPr>
              <w:t>(Address of principal executive offices)</w:t>
            </w:r>
          </w:p>
        </w:tc>
        <w:tc>
          <w:tcPr>
            <w:tcW w:w="2220" w:type="dxa"/>
            <w:vAlign w:val="bottom"/>
          </w:tcPr>
          <w:p>
            <w:pPr>
              <w:jc w:val="center"/>
              <w:ind w:left="81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without par value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MATX</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5" w:right="819" w:bottom="1440" w:gutter="0" w:footer="0" w:header="0"/>
        </w:sectPr>
      </w:pPr>
    </w:p>
    <w:p>
      <w:pPr>
        <w:spacing w:after="0" w:line="83" w:lineRule="exact"/>
        <w:rPr>
          <w:sz w:val="24"/>
          <w:szCs w:val="24"/>
          <w:color w:val="auto"/>
        </w:rPr>
      </w:pPr>
    </w:p>
    <w:p>
      <w:pPr>
        <w:ind w:left="166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Accelerated filer </w:t>
      </w:r>
      <w:r>
        <w:rPr>
          <w:rFonts w:ascii="Arial Unicode MS" w:cs="Arial Unicode MS" w:eastAsia="Arial Unicode MS" w:hAnsi="Arial Unicode MS"/>
          <w:sz w:val="17"/>
          <w:szCs w:val="17"/>
          <w:color w:val="auto"/>
        </w:rPr>
        <w:t>☐</w:t>
      </w:r>
    </w:p>
    <w:p>
      <w:pPr>
        <w:spacing w:after="0" w:line="83" w:lineRule="exact"/>
        <w:rPr>
          <w:sz w:val="24"/>
          <w:szCs w:val="24"/>
          <w:color w:val="auto"/>
        </w:rPr>
      </w:pPr>
    </w:p>
    <w:p>
      <w:pPr>
        <w:sectPr>
          <w:pgSz w:w="11900" w:h="16838" w:orient="portrait"/>
          <w:cols w:equalWidth="0" w:num="2">
            <w:col w:w="6260" w:space="720"/>
            <w:col w:w="3260"/>
          </w:cols>
          <w:pgMar w:left="840" w:top="665" w:right="819" w:bottom="1440" w:gutter="0" w:footer="0" w:header="0"/>
          <w:type w:val="continuous"/>
        </w:sectPr>
      </w:pPr>
    </w:p>
    <w:p>
      <w:pPr>
        <w:ind w:left="1700"/>
        <w:spacing w:after="0" w:line="215" w:lineRule="exact"/>
        <w:rPr>
          <w:sz w:val="20"/>
          <w:szCs w:val="20"/>
          <w:color w:val="auto"/>
        </w:rPr>
      </w:pP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96" w:lineRule="exact"/>
        <w:rPr>
          <w:sz w:val="24"/>
          <w:szCs w:val="24"/>
          <w:color w:val="auto"/>
        </w:rPr>
      </w:pPr>
    </w:p>
    <w:p>
      <w:pPr>
        <w:sectPr>
          <w:pgSz w:w="11900" w:h="16838" w:orient="portrait"/>
          <w:cols w:equalWidth="0" w:num="2">
            <w:col w:w="5860" w:space="720"/>
            <w:col w:w="3660"/>
          </w:cols>
          <w:pgMar w:left="840" w:top="665" w:right="819" w:bottom="1440" w:gutter="0" w:footer="0" w:header="0"/>
          <w:type w:val="continuous"/>
        </w:sectPr>
      </w:pPr>
    </w:p>
    <w:p>
      <w:pPr>
        <w:ind w:left="6580"/>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240"/>
          </w:cols>
          <w:pgMar w:left="840" w:top="665" w:right="819" w:bottom="1440" w:gutter="0" w:footer="0" w:header="0"/>
          <w:type w:val="continuous"/>
        </w:sectPr>
      </w:pPr>
    </w:p>
    <w:p>
      <w:pPr>
        <w:spacing w:after="0" w:line="102" w:lineRule="exact"/>
        <w:rPr>
          <w:sz w:val="24"/>
          <w:szCs w:val="24"/>
          <w:color w:val="auto"/>
        </w:rPr>
      </w:pPr>
    </w:p>
    <w:p>
      <w:pPr>
        <w:ind w:right="20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right="100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Number of shares of common stock outstanding as of June 30, 2021: 43,459,900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471805</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60325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94615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5" w:right="81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80" w:type="dxa"/>
            <w:vAlign w:val="bottom"/>
            <w:gridSpan w:val="12"/>
          </w:tcPr>
          <w:p>
            <w:pPr>
              <w:jc w:val="center"/>
              <w:ind w:right="1720"/>
              <w:spacing w:after="0"/>
              <w:rPr>
                <w:sz w:val="20"/>
                <w:szCs w:val="20"/>
                <w:color w:val="auto"/>
              </w:rPr>
            </w:pPr>
            <w:r>
              <w:rPr>
                <w:rFonts w:ascii="Arial" w:cs="Arial" w:eastAsia="Arial" w:hAnsi="Arial"/>
                <w:sz w:val="18"/>
                <w:szCs w:val="18"/>
                <w:b w:val="1"/>
                <w:bCs w:val="1"/>
                <w:color w:val="auto"/>
                <w:w w:val="99"/>
              </w:rPr>
              <w:t>MATSON, INC. AND SUBSIDIARIES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08"/>
        </w:trPr>
        <w:tc>
          <w:tcPr>
            <w:tcW w:w="240" w:type="dxa"/>
            <w:vAlign w:val="bottom"/>
            <w:vMerge w:val="restart"/>
          </w:tcPr>
          <w:p>
            <w:pPr>
              <w:spacing w:after="0"/>
              <w:rPr>
                <w:sz w:val="9"/>
                <w:szCs w:val="9"/>
                <w:color w:val="auto"/>
              </w:rPr>
            </w:pPr>
          </w:p>
        </w:tc>
        <w:tc>
          <w:tcPr>
            <w:tcW w:w="7620" w:type="dxa"/>
            <w:vAlign w:val="bottom"/>
            <w:gridSpan w:val="20"/>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0" w:type="dxa"/>
            <w:vAlign w:val="bottom"/>
            <w:vMerge w:val="continue"/>
          </w:tcPr>
          <w:p>
            <w:pPr>
              <w:spacing w:after="0"/>
              <w:rPr>
                <w:sz w:val="13"/>
                <w:szCs w:val="13"/>
                <w:color w:val="auto"/>
              </w:rPr>
            </w:pPr>
          </w:p>
        </w:tc>
        <w:tc>
          <w:tcPr>
            <w:tcW w:w="7620" w:type="dxa"/>
            <w:vAlign w:val="bottom"/>
            <w:gridSpan w:val="20"/>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4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8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and Comprehensive Income</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13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Shareholders’ Equity</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Condensed Consolidated Financial Statements</w:t>
              </w:r>
            </w:hyperlink>
          </w:p>
        </w:tc>
        <w:tc>
          <w:tcPr>
            <w:tcW w:w="120" w:type="dxa"/>
            <w:vAlign w:val="bottom"/>
            <w:tcBorders>
              <w:top w:val="single" w:sz="8" w:color="0000EE"/>
            </w:tcBorders>
            <w:gridSpan w:val="3"/>
          </w:tcPr>
          <w:p>
            <w:pPr>
              <w:spacing w:after="0"/>
              <w:rPr>
                <w:sz w:val="17"/>
                <w:szCs w:val="17"/>
                <w:color w:val="auto"/>
              </w:rPr>
            </w:pPr>
          </w:p>
        </w:tc>
        <w:tc>
          <w:tcPr>
            <w:tcW w:w="2460" w:type="dxa"/>
            <w:vAlign w:val="bottom"/>
            <w:gridSpan w:val="3"/>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840" w:type="dxa"/>
            <w:vAlign w:val="bottom"/>
            <w:gridSpan w:val="17"/>
          </w:tcPr>
          <w:p>
            <w:pPr>
              <w:spacing w:after="0" w:line="196" w:lineRule="exact"/>
              <w:rPr>
                <w:rFonts w:ascii="Arial" w:cs="Arial" w:eastAsia="Arial" w:hAnsi="Arial"/>
                <w:sz w:val="18"/>
                <w:szCs w:val="18"/>
                <w:color w:val="0000EE"/>
                <w:w w:val="96"/>
              </w:rPr>
            </w:pPr>
            <w:hyperlink w:anchor="page17">
              <w:r>
                <w:rPr>
                  <w:rFonts w:ascii="Arial" w:cs="Arial" w:eastAsia="Arial" w:hAnsi="Arial"/>
                  <w:sz w:val="18"/>
                  <w:szCs w:val="18"/>
                  <w:color w:val="0000EE"/>
                  <w:w w:val="96"/>
                </w:rPr>
                <w:t>Management’s Discussion and Analysis of Financial Condition and Results of Operations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254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Part II—OTHER INFORMATION</w:t>
              </w:r>
            </w:hyperlink>
          </w:p>
        </w:tc>
        <w:tc>
          <w:tcPr>
            <w:tcW w:w="508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12"/>
        </w:trPr>
        <w:tc>
          <w:tcPr>
            <w:tcW w:w="240" w:type="dxa"/>
            <w:vAlign w:val="bottom"/>
          </w:tcPr>
          <w:p>
            <w:pPr>
              <w:spacing w:after="0"/>
              <w:rPr>
                <w:sz w:val="24"/>
                <w:szCs w:val="24"/>
                <w:color w:val="auto"/>
              </w:rPr>
            </w:pPr>
          </w:p>
        </w:tc>
        <w:tc>
          <w:tcPr>
            <w:tcW w:w="78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w:t>
              </w:r>
            </w:hyperlink>
          </w:p>
        </w:tc>
        <w:tc>
          <w:tcPr>
            <w:tcW w:w="684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1A.</w:t>
              </w:r>
            </w:hyperlink>
          </w:p>
        </w:tc>
        <w:tc>
          <w:tcPr>
            <w:tcW w:w="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Risk Factors</w:t>
              </w:r>
            </w:hyperlink>
          </w:p>
        </w:tc>
        <w:tc>
          <w:tcPr>
            <w:tcW w:w="5940" w:type="dxa"/>
            <w:vAlign w:val="bottom"/>
            <w:gridSpan w:val="14"/>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3.</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452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0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5.</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54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6.</w:t>
              </w:r>
            </w:hyperlink>
          </w:p>
        </w:tc>
        <w:tc>
          <w:tcPr>
            <w:tcW w:w="684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445"/>
        </w:trPr>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500" w:right="1540"/>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58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00" w:type="dxa"/>
            <w:vAlign w:val="bottom"/>
          </w:tcPr>
          <w:p>
            <w:pPr>
              <w:spacing w:after="0"/>
              <w:rPr>
                <w:sz w:val="14"/>
                <w:szCs w:val="14"/>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20"/>
              <w:spacing w:after="0"/>
              <w:rPr>
                <w:sz w:val="20"/>
                <w:szCs w:val="20"/>
                <w:color w:val="auto"/>
              </w:rPr>
            </w:pPr>
            <w:r>
              <w:rPr>
                <w:rFonts w:ascii="Arial" w:cs="Arial" w:eastAsia="Arial" w:hAnsi="Arial"/>
                <w:sz w:val="18"/>
                <w:szCs w:val="18"/>
                <w:color w:val="auto"/>
              </w:rPr>
              <w:t>Ocean Transportation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682.9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410.8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1,243.4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Revenue</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1,038.0</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(615.6)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(426.3)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(1,160.3)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20"/>
              <w:spacing w:after="0"/>
              <w:rPr>
                <w:sz w:val="20"/>
                <w:szCs w:val="20"/>
                <w:color w:val="auto"/>
              </w:rPr>
            </w:pPr>
            <w:r>
              <w:rPr>
                <w:rFonts w:ascii="Arial" w:cs="Arial" w:eastAsia="Arial" w:hAnsi="Arial"/>
                <w:sz w:val="18"/>
                <w:szCs w:val="18"/>
                <w:color w:val="auto"/>
              </w:rPr>
              <w:t>Income from SSAT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(661.0)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(472.9)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(1,252.6)</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5560" w:type="dxa"/>
            <w:vAlign w:val="bottom"/>
            <w:gridSpan w:val="2"/>
          </w:tcPr>
          <w:p>
            <w:pPr>
              <w:ind w:left="22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(74.5)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249.7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340"/>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net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560" w:type="dxa"/>
            <w:vAlign w:val="bottom"/>
            <w:gridSpan w:val="2"/>
          </w:tcPr>
          <w:p>
            <w:pPr>
              <w:ind w:left="340"/>
              <w:spacing w:after="0"/>
              <w:rPr>
                <w:sz w:val="20"/>
                <w:szCs w:val="20"/>
                <w:color w:val="auto"/>
              </w:rPr>
            </w:pPr>
            <w:r>
              <w:rPr>
                <w:rFonts w:ascii="Arial" w:cs="Arial" w:eastAsia="Arial" w:hAnsi="Arial"/>
                <w:sz w:val="18"/>
                <w:szCs w:val="18"/>
                <w:color w:val="auto"/>
              </w:rPr>
              <w:t>Other adjustments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197"/>
        </w:trPr>
        <w:tc>
          <w:tcPr>
            <w:tcW w:w="5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7"/>
              </w:rPr>
              <w:t>Accounts receivable, net of allowance for credit loss of $7.7 million and $6.3</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million, respectively</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313.6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Assets: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Investment in SSAT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Operating lease right of use assets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dry-docking costs, net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long-term assets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assets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2,633.5</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3,036.2</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2,900.6</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Current portion of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accruals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Long-term debt, net of deferred loan fees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22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net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1,172.8</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3,036.2</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40" w:type="dxa"/>
            <w:vAlign w:val="bottom"/>
            <w:gridSpan w:val="6"/>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249.7</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Amortization of operating lease right of use 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Income from SSAT</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(22.0)</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Distribution from SSAT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(60.2)</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dry-docking payments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(17.4)</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Deferred dry-docking amortization</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(38.7)</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Accounts payable, accruals and other liabilities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(47.1)</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03"/>
        </w:trPr>
        <w:tc>
          <w:tcPr>
            <w:tcW w:w="6860" w:type="dxa"/>
            <w:vAlign w:val="bottom"/>
            <w:gridSpan w:val="2"/>
          </w:tcPr>
          <w:p>
            <w:pPr>
              <w:ind w:left="3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Capitalized vessel construction expenditures</w:t>
            </w: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capital expenditures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(101.3)</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Proceeds from disposal of property and equipment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Proceeds from issuance of debt</w:t>
            </w:r>
          </w:p>
        </w:tc>
        <w:tc>
          <w:tcPr>
            <w:tcW w:w="18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Repayments of debt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(26.8)</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241.9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(313.7)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(612.6)</w:t>
            </w:r>
          </w:p>
        </w:tc>
        <w:tc>
          <w:tcPr>
            <w:tcW w:w="0" w:type="dxa"/>
            <w:vAlign w:val="bottom"/>
          </w:tcPr>
          <w:p>
            <w:pPr>
              <w:spacing w:after="0"/>
              <w:rPr>
                <w:sz w:val="1"/>
                <w:szCs w:val="1"/>
                <w:color w:val="auto"/>
              </w:rPr>
            </w:pPr>
          </w:p>
        </w:tc>
      </w:tr>
      <w:tr>
        <w:trPr>
          <w:trHeight w:val="202"/>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Payment of financing costs</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issuance of capital stock</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Dividends paid</w:t>
            </w:r>
          </w:p>
        </w:tc>
        <w:tc>
          <w:tcPr>
            <w:tcW w:w="1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(20.2)</w:t>
            </w: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(14.4)</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(136.2)</w:t>
            </w:r>
          </w:p>
        </w:tc>
        <w:tc>
          <w:tcPr>
            <w:tcW w:w="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860" w:type="dxa"/>
            <w:vAlign w:val="bottom"/>
            <w:gridSpan w:val="2"/>
          </w:tcPr>
          <w:p>
            <w:pPr>
              <w:ind w:left="20"/>
              <w:spacing w:after="0"/>
              <w:rPr>
                <w:sz w:val="20"/>
                <w:szCs w:val="20"/>
                <w:color w:val="auto"/>
              </w:rPr>
            </w:pPr>
            <w:r>
              <w:rPr>
                <w:rFonts w:ascii="Arial" w:cs="Arial" w:eastAsia="Arial" w:hAnsi="Arial"/>
                <w:sz w:val="16"/>
                <w:szCs w:val="16"/>
                <w:color w:val="auto"/>
              </w:rPr>
              <w:t>Reconciliation of Cash, Cash Equivalents and Restricted Cash, End of the Period: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Cash, Cash Equivalents and Restricted Cash, End of the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10.4</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 payments and (refunds),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3"/>
        </w:trPr>
        <w:tc>
          <w:tcPr>
            <w:tcW w:w="6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Non-cash Information: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ind w:left="22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7.7</w:t>
            </w:r>
          </w:p>
        </w:tc>
        <w:tc>
          <w:tcPr>
            <w:tcW w:w="2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dividends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9019"/>
          </w:cols>
          <w:pgMar w:left="1440" w:top="517" w:right="1440" w:bottom="1149"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149"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1500" w:right="21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Shareholders’ Equity </w:t>
      </w:r>
      <w:r>
        <w:rPr>
          <w:rFonts w:ascii="Arial" w:cs="Arial" w:eastAsia="Arial" w:hAnsi="Arial"/>
          <w:sz w:val="18"/>
          <w:szCs w:val="18"/>
          <w:color w:val="auto"/>
        </w:rPr>
        <w:t>(Unaudited)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8"/>
            <w:vMerge w:val="restart"/>
          </w:tcPr>
          <w:p>
            <w:pPr>
              <w:jc w:val="right"/>
              <w:ind w:right="200"/>
              <w:spacing w:after="0"/>
              <w:rPr>
                <w:sz w:val="20"/>
                <w:szCs w:val="20"/>
                <w:color w:val="auto"/>
              </w:rPr>
            </w:pPr>
            <w:r>
              <w:rPr>
                <w:rFonts w:ascii="Arial" w:cs="Arial" w:eastAsia="Arial" w:hAnsi="Arial"/>
                <w:sz w:val="14"/>
                <w:szCs w:val="14"/>
                <w:b w:val="1"/>
                <w:bCs w:val="1"/>
                <w:color w:val="auto"/>
                <w:w w:val="95"/>
              </w:rPr>
              <w:t>Common Stock</w:t>
            </w:r>
          </w:p>
        </w:tc>
        <w:tc>
          <w:tcPr>
            <w:tcW w:w="8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Additional</w:t>
            </w:r>
          </w:p>
        </w:tc>
        <w:tc>
          <w:tcPr>
            <w:tcW w:w="11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8"/>
            <w:vMerge w:val="continue"/>
          </w:tcPr>
          <w:p>
            <w:pPr>
              <w:spacing w:after="0"/>
              <w:rPr>
                <w:sz w:val="14"/>
                <w:szCs w:val="14"/>
                <w:color w:val="auto"/>
              </w:rPr>
            </w:pPr>
          </w:p>
        </w:tc>
        <w:tc>
          <w:tcPr>
            <w:tcW w:w="8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56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Paid In</w:t>
            </w:r>
          </w:p>
        </w:tc>
        <w:tc>
          <w:tcPr>
            <w:tcW w:w="1100" w:type="dxa"/>
            <w:vAlign w:val="bottom"/>
            <w:gridSpan w:val="5"/>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720" w:type="dxa"/>
            <w:vAlign w:val="bottom"/>
            <w:gridSpan w:val="4"/>
          </w:tcPr>
          <w:p>
            <w:pPr>
              <w:jc w:val="right"/>
              <w:ind w:right="160"/>
              <w:spacing w:after="0" w:line="119" w:lineRule="exact"/>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0"/>
                <w:szCs w:val="10"/>
                <w:color w:val="auto"/>
              </w:rPr>
            </w:pPr>
          </w:p>
        </w:tc>
        <w:tc>
          <w:tcPr>
            <w:tcW w:w="6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40" w:type="dxa"/>
            <w:vAlign w:val="bottom"/>
            <w:gridSpan w:val="3"/>
            <w:vMerge w:val="continue"/>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Capital</w:t>
            </w:r>
          </w:p>
        </w:tc>
        <w:tc>
          <w:tcPr>
            <w:tcW w:w="11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Income (Loss)</w:t>
            </w:r>
          </w:p>
        </w:tc>
        <w:tc>
          <w:tcPr>
            <w:tcW w:w="7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$ 32.4</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321.5</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$ 658.1</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  961.2</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Net income</w:t>
            </w:r>
          </w:p>
        </w:tc>
        <w:tc>
          <w:tcPr>
            <w:tcW w:w="6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87.2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Other comprehensive loss, net of tax</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Share-based compensation</w:t>
            </w:r>
          </w:p>
        </w:tc>
        <w:tc>
          <w:tcPr>
            <w:tcW w:w="6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97"/>
              </w:rPr>
              <w:t>Shares issued, net of shares withheld for employee taxes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(14.3)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Dividends ($0.23 per share)</w:t>
            </w:r>
          </w:p>
        </w:tc>
        <w:tc>
          <w:tcPr>
            <w:tcW w:w="6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rPr>
              <w:t>(10.1)</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Balance at March 31, 2021</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312.0</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735.2</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1,028.9</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Net income</w:t>
            </w:r>
          </w:p>
        </w:tc>
        <w:tc>
          <w:tcPr>
            <w:tcW w:w="6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162.5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162.5</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Other comprehensive income, net of tax</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Share-based compensation</w:t>
            </w:r>
          </w:p>
        </w:tc>
        <w:tc>
          <w:tcPr>
            <w:tcW w:w="6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97"/>
              </w:rPr>
              <w:t>Shares issued, net of shares withheld for employee taxes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Dividends ($0.23 per share and $0.30 per share)</w:t>
            </w:r>
          </w:p>
        </w:tc>
        <w:tc>
          <w:tcPr>
            <w:tcW w:w="6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rPr>
              <w:t>(23.3)</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Balance at June 30, 2021</w:t>
            </w: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$ 32.6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316.5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$ 874.4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3"/>
              </w:rPr>
              <w:t>$ 1,172.8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7"/>
            <w:vMerge w:val="restart"/>
          </w:tcPr>
          <w:p>
            <w:pPr>
              <w:jc w:val="right"/>
              <w:ind w:right="120"/>
              <w:spacing w:after="0"/>
              <w:rPr>
                <w:sz w:val="20"/>
                <w:szCs w:val="20"/>
                <w:color w:val="auto"/>
              </w:rPr>
            </w:pPr>
            <w:r>
              <w:rPr>
                <w:rFonts w:ascii="Arial" w:cs="Arial" w:eastAsia="Arial" w:hAnsi="Arial"/>
                <w:sz w:val="14"/>
                <w:szCs w:val="14"/>
                <w:b w:val="1"/>
                <w:bCs w:val="1"/>
                <w:color w:val="auto"/>
                <w:w w:val="97"/>
              </w:rPr>
              <w:t>Common Stock</w:t>
            </w:r>
          </w:p>
        </w:tc>
        <w:tc>
          <w:tcPr>
            <w:tcW w:w="100" w:type="dxa"/>
            <w:vAlign w:val="bottom"/>
          </w:tcPr>
          <w:p>
            <w:pPr>
              <w:spacing w:after="0"/>
              <w:rPr>
                <w:sz w:val="23"/>
                <w:szCs w:val="23"/>
                <w:color w:val="auto"/>
              </w:rPr>
            </w:pPr>
          </w:p>
        </w:tc>
        <w:tc>
          <w:tcPr>
            <w:tcW w:w="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23"/>
                <w:szCs w:val="23"/>
                <w:color w:val="auto"/>
              </w:rPr>
            </w:pPr>
          </w:p>
        </w:tc>
        <w:tc>
          <w:tcPr>
            <w:tcW w:w="10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60" w:type="dxa"/>
            <w:vAlign w:val="bottom"/>
          </w:tcPr>
          <w:p>
            <w:pPr>
              <w:spacing w:after="0"/>
              <w:rPr>
                <w:sz w:val="10"/>
                <w:szCs w:val="10"/>
                <w:color w:val="auto"/>
              </w:rPr>
            </w:pPr>
          </w:p>
        </w:tc>
        <w:tc>
          <w:tcPr>
            <w:tcW w:w="5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Stated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Paid In</w:t>
            </w:r>
          </w:p>
        </w:tc>
        <w:tc>
          <w:tcPr>
            <w:tcW w:w="80" w:type="dxa"/>
            <w:vAlign w:val="bottom"/>
          </w:tcPr>
          <w:p>
            <w:pPr>
              <w:spacing w:after="0"/>
              <w:rPr>
                <w:sz w:val="10"/>
                <w:szCs w:val="10"/>
                <w:color w:val="auto"/>
              </w:rPr>
            </w:pPr>
          </w:p>
        </w:tc>
        <w:tc>
          <w:tcPr>
            <w:tcW w:w="102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0"/>
                <w:szCs w:val="10"/>
                <w:color w:val="auto"/>
              </w:rPr>
            </w:pPr>
          </w:p>
        </w:tc>
        <w:tc>
          <w:tcPr>
            <w:tcW w:w="62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0"/>
                <w:szCs w:val="10"/>
                <w:color w:val="auto"/>
              </w:rPr>
            </w:pPr>
          </w:p>
        </w:tc>
        <w:tc>
          <w:tcPr>
            <w:tcW w:w="6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$ 32.2</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306.2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$ 504.2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$ 805.7</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Net income</w:t>
            </w:r>
          </w:p>
        </w:tc>
        <w:tc>
          <w:tcPr>
            <w:tcW w:w="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Other comprehensive loss, net of tax</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Share-based compensation</w:t>
            </w:r>
          </w:p>
        </w:tc>
        <w:tc>
          <w:tcPr>
            <w:tcW w:w="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97"/>
              </w:rPr>
              <w:t>Shares issued, net of shares withheld for employee taxes</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Equity interest in SSAT</w:t>
            </w:r>
          </w:p>
        </w:tc>
        <w:tc>
          <w:tcPr>
            <w:tcW w:w="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Dividends ($0.22 per share)</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0"/>
        </w:trPr>
        <w:tc>
          <w:tcPr>
            <w:tcW w:w="4340" w:type="dxa"/>
            <w:vAlign w:val="bottom"/>
            <w:gridSpan w:val="3"/>
          </w:tcPr>
          <w:p>
            <w:pPr>
              <w:ind w:left="20"/>
              <w:spacing w:after="0"/>
              <w:rPr>
                <w:sz w:val="20"/>
                <w:szCs w:val="20"/>
                <w:color w:val="auto"/>
              </w:rPr>
            </w:pPr>
            <w:r>
              <w:rPr>
                <w:rFonts w:ascii="Arial" w:cs="Arial" w:eastAsia="Arial" w:hAnsi="Arial"/>
                <w:sz w:val="17"/>
                <w:szCs w:val="17"/>
                <w:color w:val="auto"/>
              </w:rPr>
              <w:t>Balance at March 31, 2020</w:t>
            </w:r>
          </w:p>
        </w:tc>
        <w:tc>
          <w:tcPr>
            <w:tcW w:w="60" w:type="dxa"/>
            <w:vAlign w:val="bottom"/>
          </w:tcPr>
          <w:p>
            <w:pPr>
              <w:spacing w:after="0"/>
              <w:rPr>
                <w:sz w:val="18"/>
                <w:szCs w:val="18"/>
                <w:color w:val="auto"/>
              </w:rPr>
            </w:pPr>
          </w:p>
        </w:tc>
        <w:tc>
          <w:tcPr>
            <w:tcW w:w="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91"/>
              </w:rPr>
              <w:t>$ 500.7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32.8</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rPr>
              <w:t>Other comprehensive loss, net of tax</w:t>
            </w:r>
          </w:p>
        </w:tc>
        <w:tc>
          <w:tcPr>
            <w:tcW w:w="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6"/>
        </w:trPr>
        <w:tc>
          <w:tcPr>
            <w:tcW w:w="4340" w:type="dxa"/>
            <w:vAlign w:val="bottom"/>
            <w:gridSpan w:val="3"/>
          </w:tcPr>
          <w:p>
            <w:pPr>
              <w:ind w:left="120"/>
              <w:spacing w:after="0"/>
              <w:rPr>
                <w:sz w:val="20"/>
                <w:szCs w:val="20"/>
                <w:color w:val="auto"/>
              </w:rPr>
            </w:pPr>
            <w:r>
              <w:rPr>
                <w:rFonts w:ascii="Arial" w:cs="Arial" w:eastAsia="Arial" w:hAnsi="Arial"/>
                <w:sz w:val="17"/>
                <w:szCs w:val="17"/>
                <w:color w:val="auto"/>
                <w:w w:val="97"/>
              </w:rPr>
              <w:t>Shares issued, net of shares withheld for employee taxes</w:t>
            </w:r>
          </w:p>
        </w:tc>
        <w:tc>
          <w:tcPr>
            <w:tcW w:w="480" w:type="dxa"/>
            <w:vAlign w:val="bottom"/>
            <w:gridSpan w:val="3"/>
          </w:tcPr>
          <w:p>
            <w:pPr>
              <w:jc w:val="right"/>
              <w:ind w:right="40"/>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6"/>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Dividends ($0.22 per share and $0.23 per share)</w:t>
            </w: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(19.6)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196"/>
        </w:trPr>
        <w:tc>
          <w:tcPr>
            <w:tcW w:w="4340" w:type="dxa"/>
            <w:vAlign w:val="bottom"/>
            <w:gridSpan w:val="3"/>
          </w:tcPr>
          <w:p>
            <w:pPr>
              <w:ind w:left="20"/>
              <w:spacing w:after="0"/>
              <w:rPr>
                <w:sz w:val="20"/>
                <w:szCs w:val="20"/>
                <w:color w:val="auto"/>
              </w:rPr>
            </w:pPr>
            <w:r>
              <w:rPr>
                <w:rFonts w:ascii="Arial" w:cs="Arial" w:eastAsia="Arial" w:hAnsi="Arial"/>
                <w:sz w:val="17"/>
                <w:szCs w:val="17"/>
                <w:color w:val="auto"/>
              </w:rPr>
              <w:t>Balance at June 30, 2020</w:t>
            </w:r>
          </w:p>
        </w:tc>
        <w:tc>
          <w:tcPr>
            <w:tcW w:w="60" w:type="dxa"/>
            <w:vAlign w:val="bottom"/>
          </w:tcPr>
          <w:p>
            <w:pPr>
              <w:spacing w:after="0"/>
              <w:rPr>
                <w:sz w:val="17"/>
                <w:szCs w:val="17"/>
                <w:color w:val="auto"/>
              </w:rPr>
            </w:pPr>
          </w:p>
        </w:tc>
        <w:tc>
          <w:tcPr>
            <w:tcW w:w="4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92"/>
              </w:rPr>
              <w:t>$ 32.3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306.</w:t>
            </w:r>
            <w:r>
              <w:rPr>
                <w:rFonts w:ascii="Arial" w:cs="Arial" w:eastAsia="Arial" w:hAnsi="Arial"/>
                <w:sz w:val="17"/>
                <w:szCs w:val="17"/>
                <w:u w:val="single" w:color="auto"/>
                <w:color w:val="auto"/>
              </w:rPr>
              <w:t>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(37.4)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91"/>
              </w:rPr>
              <w:t>$ 513.9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$ 815.5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640" w:hanging="590"/>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Matson, Inc., a holding company incorporated in the State of Hawaii, and its subsidiaries (“Matson” or the “Company”), is a leading provider of ocean transportation and logistics services. The Company consists of two segments, Ocean Transportation and Logistics:</w:t>
      </w:r>
    </w:p>
    <w:p>
      <w:pPr>
        <w:spacing w:after="0" w:line="184"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b w:val="1"/>
          <w:bCs w:val="1"/>
          <w:i w:val="1"/>
          <w:iCs w:val="1"/>
          <w:color w:val="auto"/>
        </w:rPr>
        <w:t xml:space="preserve">Ocean Transportation: </w:t>
      </w:r>
      <w:r>
        <w:rPr>
          <w:rFonts w:ascii="Arial" w:cs="Arial" w:eastAsia="Arial" w:hAnsi="Arial"/>
          <w:sz w:val="16"/>
          <w:szCs w:val="16"/>
          <w:color w:val="auto"/>
        </w:rPr>
        <w:t>Matson’s Ocean Transportation business is conducted through Matson Navigation Company,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and provides services to Okinawa, Japan and various islands in the South Pacific, and operates an international export service from Dutch Harbor to Asia. In addition, subsidiaries of MatNav provide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6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seven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spacing w:after="0" w:line="192"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b w:val="1"/>
          <w:bCs w:val="1"/>
          <w:i w:val="1"/>
          <w:iCs w:val="1"/>
          <w:color w:val="auto"/>
        </w:rPr>
        <w:t xml:space="preserve">Logistics: </w:t>
      </w:r>
      <w:r>
        <w:rPr>
          <w:rFonts w:ascii="Arial" w:cs="Arial" w:eastAsia="Arial" w:hAnsi="Arial"/>
          <w:sz w:val="18"/>
          <w:szCs w:val="18"/>
          <w:color w:val="auto"/>
        </w:rPr>
        <w:t>Matson’s Logistics business is conducted through Matson Logistics, Inc. (“Matson Logistics”), a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MatNav. Matson Logistics, established in 1987, extends the geographic reach of Matson’s transportation network throughout North America,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(“NVOCC”) freight forwarding and other services.</w:t>
      </w:r>
    </w:p>
    <w:p>
      <w:pPr>
        <w:spacing w:after="0" w:line="200" w:lineRule="exact"/>
        <w:rPr>
          <w:sz w:val="20"/>
          <w:szCs w:val="20"/>
          <w:color w:val="auto"/>
        </w:rPr>
      </w:pPr>
    </w:p>
    <w:p>
      <w:pPr>
        <w:spacing w:after="0" w:line="208" w:lineRule="exact"/>
        <w:rPr>
          <w:sz w:val="20"/>
          <w:szCs w:val="20"/>
          <w:color w:val="auto"/>
        </w:rPr>
      </w:pPr>
    </w:p>
    <w:p>
      <w:pPr>
        <w:ind w:left="640" w:hanging="590"/>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Condensed Consolidated Financial Statements are unaudited, and include the accounts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w:t>
      </w:r>
    </w:p>
    <w:p>
      <w:pPr>
        <w:spacing w:after="0" w:line="1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ind w:left="60" w:right="339"/>
        <w:spacing w:after="0" w:line="286" w:lineRule="auto"/>
        <w:rPr>
          <w:sz w:val="20"/>
          <w:szCs w:val="20"/>
          <w:color w:val="auto"/>
        </w:rPr>
      </w:pPr>
      <w:r>
        <w:rPr>
          <w:rFonts w:ascii="Arial" w:cs="Arial" w:eastAsia="Arial" w:hAnsi="Arial"/>
          <w:sz w:val="17"/>
          <w:szCs w:val="17"/>
          <w:color w:val="auto"/>
        </w:rPr>
        <w:t>The Condensed Consolidated Financial Statements should be read in conjunction with the Consolidated Financial Statements and notes thereto included in the Company’s Annual Report on Form 10-K for the year ended December 31, 2020, filed with the Securities and Exchange Commission (“SEC”) on February 26,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 xml:space="preserve">Fiscal Period: </w:t>
      </w:r>
      <w:r>
        <w:rPr>
          <w:rFonts w:ascii="Arial" w:cs="Arial" w:eastAsia="Arial" w:hAnsi="Arial"/>
          <w:sz w:val="18"/>
          <w:szCs w:val="18"/>
          <w:color w:val="auto"/>
        </w:rPr>
        <w:t>The period end for Matson covered by this report is June 30, 2021. The period end for MatNav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covered by this report occurred on the last Friday in June, or June 25, 2021.</w:t>
      </w:r>
    </w:p>
    <w:p>
      <w:pPr>
        <w:spacing w:after="0" w:line="170"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II, Item 8 of the Company’s Annual Report on Form 10-K for the year ended December 31, 2020.</w:t>
      </w:r>
    </w:p>
    <w:p>
      <w:pPr>
        <w:spacing w:after="0" w:line="184"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the interim condensed consolidated financial statements in conformity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legal contingencies; insurance reserves and other related liabilities; accrual estimates; pension and post-retirement estimates; multi-employer withdrawal liabilities; operating lease assets and liabilities; and income taxes. Future results could be materially affected if actual results differ from these estimates and assumptions.</w:t>
      </w:r>
    </w:p>
    <w:p>
      <w:pPr>
        <w:spacing w:after="0" w:line="177"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b w:val="1"/>
          <w:bCs w:val="1"/>
          <w:i w:val="1"/>
          <w:iCs w:val="1"/>
          <w:color w:val="auto"/>
        </w:rPr>
        <w:t xml:space="preserve">Recognition of Revenues and Expenses: </w:t>
      </w:r>
      <w:r>
        <w:rPr>
          <w:rFonts w:ascii="Arial" w:cs="Arial" w:eastAsia="Arial" w:hAnsi="Arial"/>
          <w:sz w:val="18"/>
          <w:szCs w:val="18"/>
          <w:color w:val="auto"/>
        </w:rPr>
        <w:t>Revenue in the Company’s Condensed Consolidated Financial Statements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net of elimination of intercompany transactions. The following is a description of the Company’s principal revenue generating activities by segment, and the Company’s revenue recognition policy for each activity for the periods presented:</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r>
      <w:tr>
        <w:trPr>
          <w:trHeight w:val="196"/>
        </w:trPr>
        <w:tc>
          <w:tcPr>
            <w:tcW w:w="5480" w:type="dxa"/>
            <w:vAlign w:val="bottom"/>
            <w:gridSpan w:val="3"/>
          </w:tcPr>
          <w:p>
            <w:pPr>
              <w:ind w:left="20"/>
              <w:spacing w:after="0"/>
              <w:rPr>
                <w:sz w:val="20"/>
                <w:szCs w:val="20"/>
                <w:color w:val="auto"/>
              </w:rPr>
            </w:pPr>
            <w:r>
              <w:rPr>
                <w:rFonts w:ascii="Arial" w:cs="Arial" w:eastAsia="Arial" w:hAnsi="Arial"/>
                <w:sz w:val="14"/>
                <w:szCs w:val="14"/>
                <w:b w:val="1"/>
                <w:bCs w:val="1"/>
                <w:color w:val="auto"/>
              </w:rPr>
              <w:t>Ocean Transportation (in millions) (1)</w:t>
            </w:r>
          </w:p>
        </w:tc>
        <w:tc>
          <w:tcPr>
            <w:tcW w:w="140" w:type="dxa"/>
            <w:vAlign w:val="bottom"/>
          </w:tcPr>
          <w:p>
            <w:pPr>
              <w:spacing w:after="0"/>
              <w:rPr>
                <w:sz w:val="17"/>
                <w:szCs w:val="17"/>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7"/>
                <w:szCs w:val="17"/>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r>
      <w:tr>
        <w:trPr>
          <w:trHeight w:val="210"/>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$ 1,228.6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w:t>
            </w: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Terminal and other related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Fuel sales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4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Vessel management and related services</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09"/>
        </w:trPr>
        <w:tc>
          <w:tcPr>
            <w:tcW w:w="54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r>
              <w:rPr>
                <w:rFonts w:ascii="Arial" w:cs="Arial" w:eastAsia="Arial" w:hAnsi="Arial"/>
                <w:sz w:val="18"/>
                <w:szCs w:val="18"/>
                <w:u w:val="single" w:color="auto"/>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$ 1,243.4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w:t>
            </w: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r>
    </w:tbl>
    <w:p>
      <w:pPr>
        <w:spacing w:after="0" w:line="62" w:lineRule="exact"/>
        <w:rPr>
          <w:sz w:val="20"/>
          <w:szCs w:val="20"/>
          <w:color w:val="auto"/>
        </w:rPr>
      </w:pPr>
    </w:p>
    <w:p>
      <w:pPr>
        <w:ind w:left="380" w:right="99" w:hanging="330"/>
        <w:spacing w:after="0" w:line="253"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less than 3 percent of Ocean Transportation services revenue and fuel sales revenue categories which are denominated in foreign currencies.</w:t>
      </w:r>
    </w:p>
    <w:p>
      <w:pPr>
        <w:spacing w:after="0" w:line="110" w:lineRule="exact"/>
        <w:rPr>
          <w:sz w:val="20"/>
          <w:szCs w:val="20"/>
          <w:color w:val="auto"/>
        </w:rPr>
      </w:pPr>
    </w:p>
    <w:p>
      <w:pPr>
        <w:ind w:left="380" w:right="119"/>
        <w:spacing w:after="0" w:line="254" w:lineRule="auto"/>
        <w:rPr>
          <w:sz w:val="20"/>
          <w:szCs w:val="20"/>
          <w:color w:val="auto"/>
        </w:rPr>
      </w:pPr>
      <w:r>
        <w:rPr>
          <w:rFonts w:ascii="Arial" w:cs="Arial" w:eastAsia="Arial" w:hAnsi="Arial"/>
          <w:sz w:val="18"/>
          <w:szCs w:val="18"/>
          <w:color w:val="auto"/>
        </w:rPr>
        <w:t>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w:t>
      </w:r>
    </w:p>
    <w:p>
      <w:pPr>
        <w:spacing w:after="0" w:line="2" w:lineRule="exact"/>
        <w:rPr>
          <w:sz w:val="20"/>
          <w:szCs w:val="20"/>
          <w:color w:val="auto"/>
        </w:rPr>
      </w:pPr>
    </w:p>
    <w:p>
      <w:pPr>
        <w:ind w:left="380" w:right="179"/>
        <w:spacing w:after="0" w:line="250" w:lineRule="auto"/>
        <w:rPr>
          <w:sz w:val="20"/>
          <w:szCs w:val="20"/>
          <w:color w:val="auto"/>
        </w:rPr>
      </w:pPr>
      <w:r>
        <w:rPr>
          <w:rFonts w:ascii="Arial" w:cs="Arial" w:eastAsia="Arial" w:hAnsi="Arial"/>
          <w:sz w:val="18"/>
          <w:szCs w:val="18"/>
          <w:color w:val="auto"/>
        </w:rPr>
        <w:t>Terminal and other related services revenue is recognized as the services are performed. Related costs are recognized as incurred.</w:t>
      </w:r>
    </w:p>
    <w:p>
      <w:pPr>
        <w:ind w:left="380" w:right="319"/>
        <w:spacing w:after="0" w:line="250" w:lineRule="auto"/>
        <w:rPr>
          <w:sz w:val="20"/>
          <w:szCs w:val="20"/>
          <w:color w:val="auto"/>
        </w:rPr>
      </w:pPr>
      <w:r>
        <w:rPr>
          <w:rFonts w:ascii="Arial" w:cs="Arial" w:eastAsia="Arial" w:hAnsi="Arial"/>
          <w:sz w:val="18"/>
          <w:szCs w:val="18"/>
          <w:color w:val="auto"/>
        </w:rPr>
        <w:t>Fuel sales revenue and related costs are recognized when the Company has completed delivery of the product to the customer in accordance with the terms and conditions of the contract.</w:t>
      </w:r>
    </w:p>
    <w:p>
      <w:pPr>
        <w:ind w:left="380" w:right="199"/>
        <w:spacing w:after="0" w:line="260" w:lineRule="auto"/>
        <w:rPr>
          <w:sz w:val="20"/>
          <w:szCs w:val="20"/>
          <w:color w:val="auto"/>
        </w:rPr>
      </w:pPr>
      <w:r>
        <w:rPr>
          <w:rFonts w:ascii="Arial" w:cs="Arial" w:eastAsia="Arial" w:hAnsi="Arial"/>
          <w:sz w:val="18"/>
          <w:szCs w:val="18"/>
          <w:color w:val="auto"/>
        </w:rPr>
        <w:t>Vessel management and related services revenue is recognized in proportion to the services completed. Related costs are recognized as incurred.</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Logistics (in millions) (1)</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3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Brokerage and Freight Forwarding services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Warehouse and distribution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Supply chain management and other services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5480" w:type="dxa"/>
            <w:vAlign w:val="bottom"/>
            <w:gridSpan w:val="3"/>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79" w:hanging="330"/>
        <w:spacing w:after="0" w:line="335" w:lineRule="auto"/>
        <w:tabs>
          <w:tab w:leader="none" w:pos="380" w:val="left"/>
        </w:tabs>
        <w:numPr>
          <w:ilvl w:val="0"/>
          <w:numId w:val="7"/>
        </w:numPr>
        <w:rPr>
          <w:rFonts w:ascii="Arial" w:cs="Arial" w:eastAsia="Arial" w:hAnsi="Arial"/>
          <w:sz w:val="12"/>
          <w:szCs w:val="12"/>
          <w:color w:val="auto"/>
        </w:rPr>
      </w:pPr>
      <w:r>
        <w:rPr>
          <w:rFonts w:ascii="Arial" w:cs="Arial" w:eastAsia="Arial" w:hAnsi="Arial"/>
          <w:sz w:val="12"/>
          <w:szCs w:val="12"/>
          <w:color w:val="auto"/>
        </w:rPr>
        <w:t>Logistics revenue transactions are primarily denominated in U.S. dollars except for less than 3 percent of transportation brokerage and freight forwarding services revenue, and supply chain management and other services revenue categories which are denominated in foreign currencies.</w:t>
      </w:r>
    </w:p>
    <w:p>
      <w:pPr>
        <w:spacing w:after="0" w:line="65" w:lineRule="exact"/>
        <w:rPr>
          <w:sz w:val="20"/>
          <w:szCs w:val="20"/>
          <w:color w:val="auto"/>
        </w:rPr>
      </w:pPr>
    </w:p>
    <w:p>
      <w:pPr>
        <w:ind w:left="380" w:right="99"/>
        <w:spacing w:after="0" w:line="296" w:lineRule="auto"/>
        <w:rPr>
          <w:sz w:val="20"/>
          <w:szCs w:val="20"/>
          <w:color w:val="auto"/>
        </w:rPr>
      </w:pPr>
      <w:r>
        <w:rPr>
          <w:rFonts w:ascii="Arial" w:cs="Arial" w:eastAsia="Arial" w:hAnsi="Arial"/>
          <w:sz w:val="16"/>
          <w:szCs w:val="16"/>
          <w:color w:val="auto"/>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699"/>
        <w:spacing w:after="0" w:line="258" w:lineRule="auto"/>
        <w:rPr>
          <w:sz w:val="20"/>
          <w:szCs w:val="20"/>
          <w:color w:val="auto"/>
        </w:rPr>
      </w:pPr>
      <w:r>
        <w:rPr>
          <w:rFonts w:ascii="Arial" w:cs="Arial" w:eastAsia="Arial" w:hAnsi="Arial"/>
          <w:sz w:val="18"/>
          <w:szCs w:val="18"/>
          <w:color w:val="auto"/>
        </w:rPr>
        <w:t>the Company serves as the principal in these transactions because it is responsible for fulfilling the contractual arrangements with the customer and has latitude in establishing prices.</w:t>
      </w:r>
    </w:p>
    <w:p>
      <w:pPr>
        <w:spacing w:after="0" w:line="1" w:lineRule="exact"/>
        <w:rPr>
          <w:sz w:val="20"/>
          <w:szCs w:val="20"/>
          <w:color w:val="auto"/>
        </w:rPr>
      </w:pPr>
    </w:p>
    <w:p>
      <w:pPr>
        <w:ind w:left="380" w:right="99"/>
        <w:spacing w:after="0" w:line="265" w:lineRule="auto"/>
        <w:rPr>
          <w:sz w:val="20"/>
          <w:szCs w:val="20"/>
          <w:color w:val="auto"/>
        </w:rPr>
      </w:pPr>
      <w:r>
        <w:rPr>
          <w:rFonts w:ascii="Arial" w:cs="Arial" w:eastAsia="Arial" w:hAnsi="Arial"/>
          <w:sz w:val="17"/>
          <w:szCs w:val="17"/>
          <w:color w:val="auto"/>
        </w:rPr>
        <w:t>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w:t>
      </w:r>
    </w:p>
    <w:p>
      <w:pPr>
        <w:ind w:left="380" w:right="319"/>
        <w:spacing w:after="0" w:line="260" w:lineRule="auto"/>
        <w:rPr>
          <w:sz w:val="20"/>
          <w:szCs w:val="20"/>
          <w:color w:val="auto"/>
        </w:rPr>
      </w:pPr>
      <w:r>
        <w:rPr>
          <w:rFonts w:ascii="Arial" w:cs="Arial" w:eastAsia="Arial" w:hAnsi="Arial"/>
          <w:sz w:val="18"/>
          <w:szCs w:val="18"/>
          <w:color w:val="auto"/>
        </w:rPr>
        <w:t>Supply chain management and other services revenue, and related costs are recognized in proportion to the services performed.</w:t>
      </w:r>
    </w:p>
    <w:p>
      <w:pPr>
        <w:spacing w:after="0" w:line="18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administration expenses in the Condensed Consolidated Statements of Income and Comprehensive Income.</w:t>
      </w:r>
    </w:p>
    <w:p>
      <w:pPr>
        <w:spacing w:after="0" w:line="178"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b w:val="1"/>
          <w:bCs w:val="1"/>
          <w:i w:val="1"/>
          <w:iCs w:val="1"/>
          <w:color w:val="auto"/>
        </w:rPr>
        <w:t xml:space="preserve">Capital Construction Fund: </w:t>
      </w:r>
      <w:r>
        <w:rPr>
          <w:rFonts w:ascii="Arial" w:cs="Arial" w:eastAsia="Arial" w:hAnsi="Arial"/>
          <w:sz w:val="17"/>
          <w:szCs w:val="17"/>
          <w:color w:val="auto"/>
        </w:rPr>
        <w:t>The Company’s Capital Construction Fund (“CCF”) is described in Note 7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Financial Statements included in Part II, Item 8 of the Company’s Annual Report on Form 10-K for the year ended December 31, 2020. As of June 30, 2021 and December 31, 2020, $1.7 million of eligible accounts receivable was assigned to the CCF. Due to the nature of the assignment of eligible accounts receivable into the CCF, such assigned amounts are classified as part of accounts receivable in the Condensed Consolidated Balance Sheets. Cash on deposit in the CCF is held in a money market account and classified as a long-term asset in the Company’s Condensed Consolidated Balance Sheets, as the Company intends to use qualified cash withdrawals to fund long-term investment in the construction of new vessels. During the three and six months ended June 30, 2021, the Company deposited $31.2 million into the CCF and made qualifying cash withdrawals of $31.2 million from the CCF. The balance of cash on deposit at June 30, 2021 and December 31, 2020 was nominal.</w:t>
      </w:r>
    </w:p>
    <w:p>
      <w:pPr>
        <w:spacing w:after="0" w:line="185" w:lineRule="exact"/>
        <w:rPr>
          <w:sz w:val="20"/>
          <w:szCs w:val="20"/>
          <w:color w:val="auto"/>
        </w:rPr>
      </w:pPr>
    </w:p>
    <w:p>
      <w:pPr>
        <w:ind w:left="60" w:right="459"/>
        <w:spacing w:after="0" w:line="276" w:lineRule="auto"/>
        <w:rPr>
          <w:sz w:val="20"/>
          <w:szCs w:val="20"/>
          <w:color w:val="auto"/>
        </w:rPr>
      </w:pPr>
      <w:r>
        <w:rPr>
          <w:rFonts w:ascii="Arial" w:cs="Arial" w:eastAsia="Arial" w:hAnsi="Arial"/>
          <w:sz w:val="18"/>
          <w:szCs w:val="18"/>
          <w:b w:val="1"/>
          <w:bCs w:val="1"/>
          <w:i w:val="1"/>
          <w:iCs w:val="1"/>
          <w:color w:val="auto"/>
        </w:rPr>
        <w:t xml:space="preserve">Investment in SSAT: </w:t>
      </w:r>
      <w:r>
        <w:rPr>
          <w:rFonts w:ascii="Arial" w:cs="Arial" w:eastAsia="Arial" w:hAnsi="Arial"/>
          <w:sz w:val="18"/>
          <w:szCs w:val="18"/>
          <w:color w:val="auto"/>
        </w:rPr>
        <w:t>Condensed income statement information for SSAT for the three and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and 2020 consisted of the following:</w:t>
      </w:r>
    </w:p>
    <w:tbl>
      <w:tblPr>
        <w:tblLayout w:type="fixed"/>
        <w:tblInd w:w="40" w:type="dxa"/>
        <w:tblCellMar>
          <w:top w:w="0" w:type="dxa"/>
          <w:left w:w="0" w:type="dxa"/>
          <w:bottom w:w="0" w:type="dxa"/>
          <w:right w:w="0" w:type="dxa"/>
        </w:tblCellMar>
      </w:tblPr>
      <w:tr>
        <w:trPr>
          <w:trHeight w:val="150"/>
        </w:trPr>
        <w:tc>
          <w:tcPr>
            <w:tcW w:w="22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ind w:left="40"/>
              <w:spacing w:after="0" w:line="150" w:lineRule="exact"/>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3"/>
                <w:szCs w:val="13"/>
                <w:color w:val="auto"/>
              </w:rPr>
            </w:pPr>
          </w:p>
        </w:tc>
        <w:tc>
          <w:tcPr>
            <w:tcW w:w="1560" w:type="dxa"/>
            <w:vAlign w:val="bottom"/>
            <w:gridSpan w:val="5"/>
          </w:tcPr>
          <w:p>
            <w:pPr>
              <w:jc w:val="right"/>
              <w:ind w:right="320"/>
              <w:spacing w:after="0" w:line="150"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(284.0)</w:t>
            </w: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(229.9)</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(557.1)</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(495.3)</w:t>
            </w: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Net Income (1)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gridSpan w:val="3"/>
            <w:shd w:val="clear" w:color="auto" w:fill="CCEEFF"/>
          </w:tcPr>
          <w:p>
            <w:pPr>
              <w:ind w:left="120"/>
              <w:spacing w:after="0" w:line="196" w:lineRule="exact"/>
              <w:rPr>
                <w:sz w:val="20"/>
                <w:szCs w:val="20"/>
                <w:color w:val="auto"/>
              </w:rPr>
            </w:pPr>
            <w:r>
              <w:rPr>
                <w:rFonts w:ascii="Arial" w:cs="Arial" w:eastAsia="Arial" w:hAnsi="Arial"/>
                <w:sz w:val="18"/>
                <w:szCs w:val="18"/>
                <w:color w:val="auto"/>
              </w:rPr>
              <w:t>Company Share of SSAT’s Net Income (2)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SSAT less earnings allocated to non-controlling interests.</w:t>
      </w:r>
    </w:p>
    <w:p>
      <w:pPr>
        <w:ind w:left="380" w:right="759" w:hanging="330"/>
        <w:spacing w:after="0" w:line="237"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records its share of net income from SSAT in costs and expenses in the Condensed Consolidated Statement of Income and Comprehensive Income due to the nature of SSAT’s operations.</w:t>
      </w:r>
    </w:p>
    <w:p>
      <w:pPr>
        <w:spacing w:after="0" w:line="120"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The Company’s investment in SSAT was $50.1 million and $48.7 million at June 30, 2021 and December 31, 2020, respectively.</w:t>
      </w:r>
    </w:p>
    <w:p>
      <w:pPr>
        <w:spacing w:after="0" w:line="170"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i w:val="1"/>
          <w:iCs w:val="1"/>
          <w:color w:val="auto"/>
        </w:rPr>
        <w:t>Environmental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Ocean Transportation business has certain risks that could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expenditures for environmental remediation. The Company believes that based on all information available to it, the Company is currently in compliance, in all material respects, with applicable environmental laws and regulations.</w:t>
      </w:r>
    </w:p>
    <w:p>
      <w:pPr>
        <w:spacing w:after="0" w:line="14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7"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The Company’s second quarter 2021 cash dividend of $0.23 per share was paid on June 3, 2021. On June 24,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the Company’s Board of Directors declared a cash dividend of $0.30 per share payable on September 2,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left="60" w:right="299"/>
        <w:spacing w:after="0" w:line="301"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57" w:lineRule="exact"/>
        <w:rPr>
          <w:sz w:val="20"/>
          <w:szCs w:val="20"/>
          <w:color w:val="auto"/>
        </w:rPr>
      </w:pPr>
    </w:p>
    <w:p>
      <w:pPr>
        <w:ind w:left="60" w:right="359"/>
        <w:spacing w:after="0" w:line="255" w:lineRule="auto"/>
        <w:rPr>
          <w:sz w:val="20"/>
          <w:szCs w:val="20"/>
          <w:color w:val="auto"/>
        </w:rPr>
      </w:pPr>
      <w:r>
        <w:rPr>
          <w:rFonts w:ascii="Arial" w:cs="Arial" w:eastAsia="Arial" w:hAnsi="Arial"/>
          <w:sz w:val="18"/>
          <w:szCs w:val="18"/>
          <w:color w:val="auto"/>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spacing w:after="0" w:line="192" w:lineRule="exact"/>
        <w:rPr>
          <w:sz w:val="20"/>
          <w:szCs w:val="20"/>
          <w:color w:val="auto"/>
        </w:rPr>
      </w:pPr>
    </w:p>
    <w:p>
      <w:pPr>
        <w:jc w:val="both"/>
        <w:ind w:left="60" w:right="339"/>
        <w:spacing w:after="0" w:line="287" w:lineRule="auto"/>
        <w:rPr>
          <w:sz w:val="20"/>
          <w:szCs w:val="20"/>
          <w:color w:val="auto"/>
        </w:rPr>
      </w:pPr>
      <w:r>
        <w:rPr>
          <w:rFonts w:ascii="Arial" w:cs="Arial" w:eastAsia="Arial" w:hAnsi="Arial"/>
          <w:sz w:val="16"/>
          <w:szCs w:val="16"/>
          <w:color w:val="auto"/>
        </w:rPr>
        <w:t>The Company’s Ocean Transportation segment provides ocean transportation services to the Logistics segment, and the Logistics segment provides logistics services to the Ocean Transportation segment in certain transactions. Accordingly, inter-segment revenue of $49.0 million and $24.2 million for the three months ended June 30, 2021 and 2020, and</w:t>
      </w:r>
    </w:p>
    <w:p>
      <w:pPr>
        <w:spacing w:after="0" w:line="2"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auto"/>
        </w:rPr>
        <w:t>$82.7 million and $43.6 million for the six months ended June 30, 2021 and 2020, respectively, have been eliminated from operating revenues in the table below.</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Reportable segment financial information for the three and six months ended June 30, 2021 and 2020 are as follows: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ind w:left="220"/>
              <w:spacing w:after="0"/>
              <w:rPr>
                <w:sz w:val="20"/>
                <w:szCs w:val="20"/>
                <w:color w:val="auto"/>
              </w:rPr>
            </w:pPr>
            <w:r>
              <w:rPr>
                <w:rFonts w:ascii="Arial" w:cs="Arial" w:eastAsia="Arial" w:hAnsi="Arial"/>
                <w:sz w:val="18"/>
                <w:szCs w:val="18"/>
                <w:color w:val="auto"/>
              </w:rPr>
              <w:t>Ocean Transportation (1)</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$ 682.9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410.8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1,243.4</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Total Operating Revenue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$ 874.9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524.1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1,586.7</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1,038.0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2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ind w:left="220"/>
              <w:spacing w:after="0"/>
              <w:rPr>
                <w:sz w:val="20"/>
                <w:szCs w:val="20"/>
                <w:color w:val="auto"/>
              </w:rPr>
            </w:pPr>
            <w:r>
              <w:rPr>
                <w:rFonts w:ascii="Arial" w:cs="Arial" w:eastAsia="Arial" w:hAnsi="Arial"/>
                <w:sz w:val="18"/>
                <w:szCs w:val="18"/>
                <w:color w:val="auto"/>
              </w:rPr>
              <w:t>Ocean Transportation (3)</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$ 201.0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315.1</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3"/>
          </w:tcPr>
          <w:p>
            <w:pPr>
              <w:ind w:left="440"/>
              <w:spacing w:after="0"/>
              <w:rPr>
                <w:sz w:val="20"/>
                <w:szCs w:val="20"/>
                <w:color w:val="auto"/>
              </w:rPr>
            </w:pPr>
            <w:r>
              <w:rPr>
                <w:rFonts w:ascii="Arial" w:cs="Arial" w:eastAsia="Arial" w:hAnsi="Arial"/>
                <w:sz w:val="18"/>
                <w:szCs w:val="18"/>
                <w:color w:val="auto"/>
              </w:rPr>
              <w:t>Total Operating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213.9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Other income (expense), net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ind w:left="20"/>
              <w:spacing w:after="0"/>
              <w:rPr>
                <w:sz w:val="20"/>
                <w:szCs w:val="20"/>
                <w:color w:val="auto"/>
              </w:rPr>
            </w:pPr>
            <w:r>
              <w:rPr>
                <w:rFonts w:ascii="Arial" w:cs="Arial" w:eastAsia="Arial" w:hAnsi="Arial"/>
                <w:sz w:val="18"/>
                <w:szCs w:val="18"/>
                <w:color w:val="auto"/>
              </w:rPr>
              <w:t>Income taxes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359" w:hanging="330"/>
        <w:spacing w:after="0" w:line="230"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Ocean Transportation operating revenue excludes inter-segment revenue of $18.7 million and $11.9 million for the three months ended June 30, 2021 and 2020, and $33.8 million and $21.3 million for the six months ended June 30, 2021 and 2020, respectively.</w:t>
      </w:r>
    </w:p>
    <w:p>
      <w:pPr>
        <w:ind w:left="380" w:right="159" w:hanging="330"/>
        <w:spacing w:after="0" w:line="221"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Logistics operating revenue excludes inter-segment revenue of $30.3 million and $12.3 million for the three months ended June 30, 2021 and 2020, and $48.9 million and $22.3 million for the six months ended June 30, 2021 and 2020, respectively.</w:t>
      </w:r>
    </w:p>
    <w:p>
      <w:pPr>
        <w:ind w:left="380" w:right="279" w:hanging="330"/>
        <w:spacing w:after="0" w:line="232" w:lineRule="auto"/>
        <w:tabs>
          <w:tab w:leader="none" w:pos="3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$12.8 million and $3.7 million of equity in income from the Company’s equity investment in SSAT for the three months ended June 30, 2021 and 2020, and $22.0 million and $7.7 million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as of June 30, 2021 and December 31, 2020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Vessels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2,218.1</w:t>
            </w:r>
          </w:p>
        </w:tc>
        <w:tc>
          <w:tcPr>
            <w:tcW w:w="18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Total Property and Equipment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(1,254.2)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(1,222.4)</w:t>
            </w:r>
          </w:p>
        </w:tc>
        <w:tc>
          <w:tcPr>
            <w:tcW w:w="0" w:type="dxa"/>
            <w:vAlign w:val="bottom"/>
          </w:tcPr>
          <w:p>
            <w:pPr>
              <w:spacing w:after="0"/>
              <w:rPr>
                <w:sz w:val="1"/>
                <w:szCs w:val="1"/>
                <w:color w:val="auto"/>
              </w:rPr>
            </w:pPr>
          </w:p>
        </w:tc>
      </w:tr>
      <w:tr>
        <w:trPr>
          <w:trHeight w:val="209"/>
        </w:trPr>
        <w:tc>
          <w:tcPr>
            <w:tcW w:w="6680" w:type="dxa"/>
            <w:vAlign w:val="bottom"/>
            <w:gridSpan w:val="2"/>
          </w:tcPr>
          <w:p>
            <w:pPr>
              <w:ind w:left="2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1,715.8</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40" w:hanging="590"/>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Goodwill by segment as of June 30, 2021 and December 31, 2020 consisted of the following: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68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w w:val="93"/>
              </w:rPr>
              <w:t>Ocean</w:t>
            </w:r>
          </w:p>
        </w:tc>
        <w:tc>
          <w:tcPr>
            <w:tcW w:w="180" w:type="dxa"/>
            <w:vAlign w:val="bottom"/>
          </w:tcPr>
          <w:p>
            <w:pPr>
              <w:spacing w:after="0"/>
              <w:rPr>
                <w:sz w:val="14"/>
                <w:szCs w:val="14"/>
                <w:color w:val="auto"/>
              </w:rPr>
            </w:pPr>
          </w:p>
        </w:tc>
        <w:tc>
          <w:tcPr>
            <w:tcW w:w="8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Logistics</w:t>
            </w:r>
          </w:p>
        </w:tc>
        <w:tc>
          <w:tcPr>
            <w:tcW w:w="8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Transportation</w:t>
            </w:r>
          </w:p>
        </w:tc>
        <w:tc>
          <w:tcPr>
            <w:tcW w:w="18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  105.2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gridSpan w:val="3"/>
          </w:tcPr>
          <w:p>
            <w:pPr>
              <w:ind w:left="20"/>
              <w:spacing w:after="0"/>
              <w:rPr>
                <w:sz w:val="20"/>
                <w:szCs w:val="20"/>
                <w:color w:val="auto"/>
              </w:rPr>
            </w:pPr>
            <w:r>
              <w:rPr>
                <w:rFonts w:ascii="Arial" w:cs="Arial" w:eastAsia="Arial" w:hAnsi="Arial"/>
                <w:sz w:val="18"/>
                <w:szCs w:val="18"/>
                <w:color w:val="auto"/>
                <w:w w:val="89"/>
              </w:rPr>
              <w:t>Intangible assets as of June 30, 2021 and December 31, 2020 consisted of the following: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4"/>
          </w:tcPr>
          <w:p>
            <w:pPr>
              <w:ind w:left="200"/>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5"/>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Ocean Transportation</w:t>
            </w:r>
          </w:p>
        </w:tc>
        <w:tc>
          <w:tcPr>
            <w:tcW w:w="260" w:type="dxa"/>
            <w:vAlign w:val="bottom"/>
          </w:tcPr>
          <w:p>
            <w:pPr>
              <w:spacing w:after="0"/>
              <w:rPr>
                <w:sz w:val="18"/>
                <w:szCs w:val="18"/>
                <w:color w:val="auto"/>
              </w:rPr>
            </w:pPr>
          </w:p>
        </w:tc>
        <w:tc>
          <w:tcPr>
            <w:tcW w:w="680" w:type="dxa"/>
            <w:vAlign w:val="bottom"/>
            <w:gridSpan w:val="3"/>
          </w:tcPr>
          <w:p>
            <w:pPr>
              <w:jc w:val="right"/>
              <w:ind w:right="22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Logistics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Customer Relationships,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name – Logistics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Total Intangible Assets,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186.5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due to the COVID-19 pandemic and its impact on the performance of each of the Company’s reporting units. Based on the Company’s assessment of its market capitalization, future forecasts and the amount of excess of fair value over the carrying value of the reporting units in the 2020 annual impairment tests, the Company concluded that an impairment triggering event did not occur during the quarter ended June 30, 2021.</w:t>
      </w:r>
    </w:p>
    <w:p>
      <w:pPr>
        <w:spacing w:after="0" w:line="166"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a more prolonged and/or severe COVID-19 pandemic, or future changes in the assumptions and estimates used in assessing the fair value of the reporting unit, could require the Company to record a non-cash impairment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2021 and December 31, 2020, the Company’s debt consisted of the following:</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Placement Term Loans: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3.66 %, payable through 2023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4.16 %, payable through 2027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3.37 %, payable through 2027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3.14 %, payable through 2031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4.31 %, payable through 2032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Title XI Debt: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5.34 %, payable through 2028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5.27 %, payable through 2029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1.22 %, payable through 2043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1.35 %, payable through 2044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 maturity date of March 31, 2026</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i w:val="1"/>
                <w:iCs w:val="1"/>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(65.0)</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Less: Deferred loan fees</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Long-term Debt, net of deferred loan fees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Except as described below, the Company’s debt is described in Note 8 to the Consolidated Financial Statements included in the Company’s Annual Report on Form 10-K for the year ended December 31, 2020 and in Note 6 to the Condensed Consolidated Financial Statements included in the Company’s Quarterly Report on Form 10-Q for the three months ended March 31, 2021.</w:t>
      </w:r>
    </w:p>
    <w:p>
      <w:pPr>
        <w:spacing w:after="0" w:line="187"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As of June 30, 2021, the Company had $641.9 million of remaining borrowing availability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revolving credit facility. The Company used $8.1 million of the sublimit for letters of credit outstanding as of June 30, 2021. Although there were no outstanding borrowings under the facility at June 30, 2021, based on the Company’s consolidated net leverage ratio, which stipulates borrowing margins, the interest rate applicable to the revolving credit facility would have been approximately 1.10 percent at June 30, 2021. Borrowings under the revolving credit facility are classified as long-term debt in the Condensed Consolidated Balance Sheets, as principal payments are not required until the maturity date.</w:t>
      </w:r>
    </w:p>
    <w:p>
      <w:pPr>
        <w:spacing w:after="0" w:line="19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 xml:space="preserve">Debt Security and Guarantees: </w:t>
      </w:r>
      <w:r>
        <w:rPr>
          <w:rFonts w:ascii="Arial" w:cs="Arial" w:eastAsia="Arial" w:hAnsi="Arial"/>
          <w:sz w:val="18"/>
          <w:szCs w:val="18"/>
          <w:color w:val="auto"/>
        </w:rPr>
        <w:t>All of the debt of the Company and MatNav, including related guarantees, as of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was unsecured, except for the Title XI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Maturities: </w:t>
      </w:r>
      <w:r>
        <w:rPr>
          <w:rFonts w:ascii="Arial" w:cs="Arial" w:eastAsia="Arial" w:hAnsi="Arial"/>
          <w:sz w:val="18"/>
          <w:szCs w:val="18"/>
          <w:color w:val="auto"/>
        </w:rPr>
        <w:t>As of June 30, 2021, debt maturities during the next five years and thereafter are as follows:</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(in millions)</w:t>
            </w:r>
          </w:p>
        </w:tc>
        <w:tc>
          <w:tcPr>
            <w:tcW w:w="140" w:type="dxa"/>
            <w:vAlign w:val="bottom"/>
          </w:tcPr>
          <w:p>
            <w:pPr>
              <w:spacing w:after="0"/>
              <w:rPr>
                <w:sz w:val="14"/>
                <w:szCs w:val="14"/>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June 30, 2021</w:t>
            </w:r>
          </w:p>
        </w:tc>
        <w:tc>
          <w:tcPr>
            <w:tcW w:w="0" w:type="dxa"/>
            <w:vAlign w:val="bottom"/>
          </w:tcPr>
          <w:p>
            <w:pPr>
              <w:spacing w:after="0"/>
              <w:rPr>
                <w:sz w:val="1"/>
                <w:szCs w:val="1"/>
                <w:color w:val="auto"/>
              </w:rPr>
            </w:pPr>
          </w:p>
        </w:tc>
      </w:tr>
      <w:tr>
        <w:trPr>
          <w:trHeight w:val="209"/>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210"/>
        </w:trPr>
        <w:tc>
          <w:tcPr>
            <w:tcW w:w="7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590"/>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Company’s leases are described in Note 9 to the Consolidated Financial Statements included in Part II, Item 8 of the Company’s Annual Report on Form 10-K for the year ended December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Components of Lease Cost: </w:t>
      </w:r>
      <w:r>
        <w:rPr>
          <w:rFonts w:ascii="Arial" w:cs="Arial" w:eastAsia="Arial" w:hAnsi="Arial"/>
          <w:sz w:val="16"/>
          <w:szCs w:val="16"/>
          <w:color w:val="auto"/>
        </w:rPr>
        <w:t>Components of lease cost recorded in the Company’s Condensed Consolidated Statement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Income and Comprehensive Income for the three and six months ended June 30, 2021 and 2020 consisted of the following:</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4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i w:val="1"/>
          <w:iCs w:val="1"/>
          <w:color w:val="auto"/>
        </w:rPr>
        <w:t xml:space="preserve">Sale and Leaseback of Equipment: </w:t>
      </w:r>
      <w:r>
        <w:rPr>
          <w:rFonts w:ascii="Arial" w:cs="Arial" w:eastAsia="Arial" w:hAnsi="Arial"/>
          <w:sz w:val="18"/>
          <w:szCs w:val="18"/>
          <w:color w:val="auto"/>
        </w:rPr>
        <w:t>There were no sale and leaseback transactions during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During the three months ended March 31, 2020, the Company entered into an agreement for the sale and leaseback of multiple tranches of chassis and container equipment. The net proceeds from the sales were $14.3 million, and the gain on the disposal of the equipment was not material to the Company’s Condensed Consolidated Financial Statements. The Company subsequently leased back the equipment under a five-year operating lease agreement that includes purchase options exercisable at fair market value. There were no sale and leaseback transactions during the three months ended June 30, 2020.</w:t>
      </w:r>
    </w:p>
    <w:p>
      <w:pPr>
        <w:spacing w:after="0" w:line="19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b w:val="1"/>
          <w:bCs w:val="1"/>
          <w:i w:val="1"/>
          <w:iCs w:val="1"/>
          <w:color w:val="auto"/>
        </w:rPr>
        <w:t xml:space="preserve">Termination of Vessel Charter: </w:t>
      </w:r>
      <w:r>
        <w:rPr>
          <w:rFonts w:ascii="Arial" w:cs="Arial" w:eastAsia="Arial" w:hAnsi="Arial"/>
          <w:sz w:val="18"/>
          <w:szCs w:val="18"/>
          <w:color w:val="auto"/>
        </w:rPr>
        <w:t>On July 7, 2021, a wholly-owned subsidiary of the Company entered into an agreement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terminate a Bareboat Charter Agreement (the “Charter”) on the vessel, </w:t>
      </w:r>
      <w:r>
        <w:rPr>
          <w:rFonts w:ascii="Arial" w:cs="Arial" w:eastAsia="Arial" w:hAnsi="Arial"/>
          <w:sz w:val="18"/>
          <w:szCs w:val="18"/>
          <w:i w:val="1"/>
          <w:iCs w:val="1"/>
          <w:color w:val="auto"/>
        </w:rPr>
        <w:t>Maunalei,</w:t>
      </w:r>
      <w:r>
        <w:rPr>
          <w:rFonts w:ascii="Arial" w:cs="Arial" w:eastAsia="Arial" w:hAnsi="Arial"/>
          <w:sz w:val="18"/>
          <w:szCs w:val="18"/>
          <w:color w:val="auto"/>
        </w:rPr>
        <w:t xml:space="preserve"> for approximately $95.8 million thereby acquiring the vessel. The Company paid the termination payment with a combination of cash on hand and borrowing on the revolving credit facility. Concurrent with the termination of the Charter, the Company was released from obligations under a Guaranty related to the Charter.</w:t>
      </w:r>
    </w:p>
    <w:p>
      <w:pPr>
        <w:spacing w:after="0" w:line="200" w:lineRule="exact"/>
        <w:rPr>
          <w:sz w:val="20"/>
          <w:szCs w:val="20"/>
          <w:color w:val="auto"/>
        </w:rPr>
      </w:pPr>
    </w:p>
    <w:p>
      <w:pPr>
        <w:spacing w:after="0" w:line="240" w:lineRule="exact"/>
        <w:rPr>
          <w:sz w:val="20"/>
          <w:szCs w:val="20"/>
          <w:color w:val="auto"/>
        </w:rPr>
      </w:pPr>
    </w:p>
    <w:p>
      <w:pPr>
        <w:ind w:left="620" w:hanging="570"/>
        <w:spacing w:after="0"/>
        <w:tabs>
          <w:tab w:leader="none" w:pos="6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89" w:lineRule="exact"/>
        <w:rPr>
          <w:sz w:val="20"/>
          <w:szCs w:val="20"/>
          <w:color w:val="auto"/>
        </w:rPr>
      </w:pPr>
    </w:p>
    <w:p>
      <w:pPr>
        <w:ind w:left="60" w:right="299"/>
        <w:spacing w:after="0" w:line="261" w:lineRule="auto"/>
        <w:rPr>
          <w:sz w:val="20"/>
          <w:szCs w:val="20"/>
          <w:color w:val="auto"/>
        </w:rPr>
      </w:pPr>
      <w:r>
        <w:rPr>
          <w:rFonts w:ascii="Arial" w:cs="Arial" w:eastAsia="Arial" w:hAnsi="Arial"/>
          <w:sz w:val="18"/>
          <w:szCs w:val="18"/>
          <w:color w:val="auto"/>
        </w:rPr>
        <w:t>Changes in accumulated other comprehensive income (loss) by component, net of tax, for the six months ended June 30, 2021 consisted of the following:</w:t>
      </w:r>
    </w:p>
    <w:tbl>
      <w:tblPr>
        <w:tblLayout w:type="fixed"/>
        <w:tblInd w:w="4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58"/>
        </w:trPr>
        <w:tc>
          <w:tcPr>
            <w:tcW w:w="4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3"/>
                <w:szCs w:val="13"/>
                <w:color w:val="auto"/>
              </w:rPr>
            </w:pPr>
          </w:p>
        </w:tc>
        <w:tc>
          <w:tcPr>
            <w:tcW w:w="8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3"/>
                <w:szCs w:val="13"/>
                <w:color w:val="auto"/>
              </w:rPr>
            </w:pPr>
          </w:p>
        </w:tc>
        <w:tc>
          <w:tcPr>
            <w:tcW w:w="68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3"/>
                <w:szCs w:val="13"/>
                <w:color w:val="auto"/>
              </w:rPr>
            </w:pPr>
          </w:p>
        </w:tc>
        <w:tc>
          <w:tcPr>
            <w:tcW w:w="10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Foreign currency exchange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(0.2)</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Foreign currency exchange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r>
              <w:rPr>
                <w:rFonts w:ascii="Arial" w:cs="Arial" w:eastAsia="Arial" w:hAnsi="Arial"/>
                <w:sz w:val="18"/>
                <w:szCs w:val="18"/>
                <w:u w:val="single" w:color="auto"/>
                <w:color w:val="auto"/>
              </w:rPr>
              <w:t>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3</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(0.8)</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8" w:lineRule="auto"/>
        <w:rPr>
          <w:sz w:val="20"/>
          <w:szCs w:val="20"/>
          <w:color w:val="auto"/>
        </w:rPr>
      </w:pPr>
      <w:r>
        <w:rPr>
          <w:rFonts w:ascii="Arial" w:cs="Arial" w:eastAsia="Arial" w:hAnsi="Arial"/>
          <w:sz w:val="18"/>
          <w:szCs w:val="18"/>
          <w:color w:val="auto"/>
        </w:rPr>
        <w:t>Changes in accumulated other comprehensive income (loss) by component, net of tax, for the six months ended June 30, 2020 consisted of the following:</w:t>
      </w:r>
    </w:p>
    <w:tbl>
      <w:tblPr>
        <w:tblLayout w:type="fixed"/>
        <w:tblInd w:w="40" w:type="dxa"/>
        <w:tblCellMar>
          <w:top w:w="0" w:type="dxa"/>
          <w:left w:w="0" w:type="dxa"/>
          <w:bottom w:w="0" w:type="dxa"/>
          <w:right w:w="0" w:type="dxa"/>
        </w:tblCellMar>
      </w:tblPr>
      <w:tr>
        <w:trPr>
          <w:trHeight w:val="141"/>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Benefits</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(0.5)</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Balance at March 31, 2020</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exchange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(0.4)</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40" w:hanging="590"/>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16"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64"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Company uses Level 1 inputs for the fair values of its cash, cash equivalents and restricted cash, and Level 2 inputs for its variable and fixed rate debt. The fair values of cash, cash equivalents and restricted cash,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spacing w:after="0" w:line="157" w:lineRule="exact"/>
        <w:rPr>
          <w:sz w:val="20"/>
          <w:szCs w:val="20"/>
          <w:color w:val="auto"/>
        </w:rPr>
      </w:pPr>
    </w:p>
    <w:p>
      <w:pPr>
        <w:ind w:left="60" w:right="219"/>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June 30, 2021 and December 31, 2020 are as follows:</w:t>
      </w:r>
    </w:p>
    <w:tbl>
      <w:tblPr>
        <w:tblLayout w:type="fixed"/>
        <w:tblInd w:w="40" w:type="dxa"/>
        <w:tblCellMar>
          <w:top w:w="0" w:type="dxa"/>
          <w:left w:w="0" w:type="dxa"/>
          <w:bottom w:w="0" w:type="dxa"/>
          <w:right w:w="0" w:type="dxa"/>
        </w:tblCellMar>
      </w:tblPr>
      <w:tr>
        <w:trPr>
          <w:trHeight w:val="141"/>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2"/>
                <w:szCs w:val="12"/>
                <w:color w:val="auto"/>
              </w:rPr>
            </w:pPr>
          </w:p>
        </w:tc>
        <w:tc>
          <w:tcPr>
            <w:tcW w:w="102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w w:val="97"/>
              </w:rPr>
              <w:t>Significant</w:t>
            </w:r>
          </w:p>
        </w:tc>
        <w:tc>
          <w:tcPr>
            <w:tcW w:w="1020" w:type="dxa"/>
            <w:vAlign w:val="bottom"/>
            <w:gridSpan w:val="3"/>
          </w:tcPr>
          <w:p>
            <w:pPr>
              <w:ind w:left="160"/>
              <w:spacing w:after="0" w:line="141"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Active Markets</w:t>
            </w:r>
          </w:p>
        </w:tc>
        <w:tc>
          <w:tcPr>
            <w:tcW w:w="12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7"/>
              </w:rPr>
              <w:t>Carrying Value</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Inputs (Level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5"/>
              <w:spacing w:after="0" w:line="129" w:lineRule="exact"/>
              <w:rPr>
                <w:sz w:val="20"/>
                <w:szCs w:val="20"/>
                <w:color w:val="auto"/>
              </w:rPr>
            </w:pPr>
            <w:r>
              <w:rPr>
                <w:rFonts w:ascii="Arial" w:cs="Arial" w:eastAsia="Arial" w:hAnsi="Arial"/>
                <w:sz w:val="14"/>
                <w:szCs w:val="14"/>
                <w:b w:val="1"/>
                <w:bCs w:val="1"/>
                <w:color w:val="auto"/>
                <w:w w:val="92"/>
              </w:rPr>
              <w:t>June 30, 2021</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60" w:type="dxa"/>
            <w:vAlign w:val="bottom"/>
            <w:gridSpan w:val="9"/>
          </w:tcPr>
          <w:p>
            <w:pPr>
              <w:spacing w:after="0" w:line="129" w:lineRule="exact"/>
              <w:rPr>
                <w:sz w:val="20"/>
                <w:szCs w:val="20"/>
                <w:color w:val="auto"/>
              </w:rPr>
            </w:pPr>
            <w:r>
              <w:rPr>
                <w:rFonts w:ascii="Arial" w:cs="Arial" w:eastAsia="Arial" w:hAnsi="Arial"/>
                <w:sz w:val="14"/>
                <w:szCs w:val="14"/>
                <w:b w:val="1"/>
                <w:bCs w:val="1"/>
                <w:color w:val="auto"/>
              </w:rPr>
              <w:t>Fair Value Measurements at June 30, 2021</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6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Fixed rate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661.5</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648.9</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648.9</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200" w:type="dxa"/>
            <w:vAlign w:val="bottom"/>
          </w:tcPr>
          <w:p>
            <w:pPr>
              <w:spacing w:after="0"/>
              <w:rPr>
                <w:sz w:val="24"/>
                <w:szCs w:val="24"/>
                <w:color w:val="auto"/>
              </w:rPr>
            </w:pPr>
          </w:p>
        </w:tc>
        <w:tc>
          <w:tcPr>
            <w:tcW w:w="3760" w:type="dxa"/>
            <w:vAlign w:val="bottom"/>
            <w:gridSpan w:val="10"/>
          </w:tcPr>
          <w:p>
            <w:pPr>
              <w:ind w:left="620"/>
              <w:spacing w:after="0"/>
              <w:rPr>
                <w:sz w:val="20"/>
                <w:szCs w:val="20"/>
                <w:color w:val="auto"/>
              </w:rPr>
            </w:pPr>
            <w:r>
              <w:rPr>
                <w:rFonts w:ascii="Arial" w:cs="Arial" w:eastAsia="Arial" w:hAnsi="Arial"/>
                <w:sz w:val="14"/>
                <w:szCs w:val="14"/>
                <w:b w:val="1"/>
                <w:bCs w:val="1"/>
                <w:color w:val="auto"/>
                <w:w w:val="98"/>
              </w:rPr>
              <w:t>Fair Value Measurements at December 31, 2020</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Fixed rate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688.3</w:t>
            </w:r>
          </w:p>
        </w:tc>
        <w:tc>
          <w:tcPr>
            <w:tcW w:w="1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686.7</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686.7</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62"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June 30, 2021 and 2020.</w:t>
      </w:r>
    </w:p>
    <w:p>
      <w:pPr>
        <w:spacing w:after="0" w:line="90"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computations for basic and diluted earnings per share for the three and six months ended June 30, 2021 and 2020 are as follows: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gridSpan w:val="13"/>
          </w:tcPr>
          <w:p>
            <w:pPr>
              <w:jc w:val="center"/>
              <w:ind w:right="120"/>
              <w:spacing w:after="0"/>
              <w:rPr>
                <w:sz w:val="20"/>
                <w:szCs w:val="20"/>
                <w:color w:val="auto"/>
              </w:rPr>
            </w:pPr>
            <w:r>
              <w:rPr>
                <w:rFonts w:ascii="Arial" w:cs="Arial" w:eastAsia="Arial" w:hAnsi="Arial"/>
                <w:sz w:val="13"/>
                <w:szCs w:val="13"/>
                <w:b w:val="1"/>
                <w:bCs w:val="1"/>
                <w:color w:val="auto"/>
                <w:w w:val="94"/>
              </w:rPr>
              <w:t>Three Months Ended June 30, 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11"/>
          </w:tcPr>
          <w:p>
            <w:pPr>
              <w:jc w:val="center"/>
              <w:ind w:right="120"/>
              <w:spacing w:after="0"/>
              <w:rPr>
                <w:sz w:val="20"/>
                <w:szCs w:val="20"/>
                <w:color w:val="auto"/>
              </w:rPr>
            </w:pPr>
            <w:r>
              <w:rPr>
                <w:rFonts w:ascii="Arial" w:cs="Arial" w:eastAsia="Arial" w:hAnsi="Arial"/>
                <w:sz w:val="13"/>
                <w:szCs w:val="13"/>
                <w:b w:val="1"/>
                <w:bCs w:val="1"/>
                <w:color w:val="auto"/>
                <w:w w:val="93"/>
              </w:rPr>
              <w:t>Six Months Ended June 30, 2021</w:t>
            </w:r>
          </w:p>
        </w:tc>
      </w:tr>
      <w:tr>
        <w:trPr>
          <w:trHeight w:val="129"/>
        </w:trPr>
        <w:tc>
          <w:tcPr>
            <w:tcW w:w="4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2"/>
              </w:rPr>
              <w:t>Weighted</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95"/>
              </w:rPr>
              <w:t>Per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5"/>
              </w:rPr>
              <w:t>Weighted</w:t>
            </w: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3"/>
                <w:szCs w:val="13"/>
                <w:b w:val="1"/>
                <w:bCs w:val="1"/>
                <w:color w:val="auto"/>
                <w:w w:val="95"/>
              </w:rPr>
              <w:t>Per</w:t>
            </w:r>
          </w:p>
        </w:tc>
        <w:tc>
          <w:tcPr>
            <w:tcW w:w="20" w:type="dxa"/>
            <w:vAlign w:val="bottom"/>
          </w:tcPr>
          <w:p>
            <w:pPr>
              <w:spacing w:after="0"/>
              <w:rPr>
                <w:sz w:val="11"/>
                <w:szCs w:val="11"/>
                <w:color w:val="auto"/>
              </w:rPr>
            </w:pPr>
          </w:p>
        </w:tc>
      </w:tr>
      <w:tr>
        <w:trPr>
          <w:trHeight w:val="148"/>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Common</w:t>
            </w:r>
          </w:p>
        </w:tc>
      </w:tr>
      <w:tr>
        <w:trPr>
          <w:trHeight w:val="148"/>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140"/>
              <w:spacing w:after="0"/>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Common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3"/>
              </w:rPr>
              <w:t>Share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Common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Share</w:t>
            </w:r>
          </w:p>
        </w:tc>
      </w:tr>
      <w:tr>
        <w:trPr>
          <w:trHeight w:val="161"/>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3"/>
              </w:rPr>
              <w:t>Amount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Income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Shares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7"/>
              </w:rPr>
              <w:t>Amount</w:t>
            </w:r>
          </w:p>
        </w:tc>
      </w:tr>
      <w:tr>
        <w:trPr>
          <w:trHeight w:val="210"/>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3"/>
              </w:rPr>
              <w:t>$ 162.5</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249.7</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r>
      <w:tr>
        <w:trPr>
          <w:trHeight w:val="209"/>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3"/>
              </w:rPr>
              <w:t>$ 162.5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249.7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13"/>
          </w:tcPr>
          <w:p>
            <w:pPr>
              <w:jc w:val="center"/>
              <w:ind w:right="180"/>
              <w:spacing w:after="0"/>
              <w:rPr>
                <w:sz w:val="20"/>
                <w:szCs w:val="20"/>
                <w:color w:val="auto"/>
              </w:rPr>
            </w:pPr>
            <w:r>
              <w:rPr>
                <w:rFonts w:ascii="Arial" w:cs="Arial" w:eastAsia="Arial" w:hAnsi="Arial"/>
                <w:sz w:val="13"/>
                <w:szCs w:val="13"/>
                <w:b w:val="1"/>
                <w:bCs w:val="1"/>
                <w:color w:val="auto"/>
                <w:w w:val="95"/>
              </w:rPr>
              <w:t>Three Months Ended June 30, 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11"/>
          </w:tcPr>
          <w:p>
            <w:pPr>
              <w:jc w:val="center"/>
              <w:ind w:right="120"/>
              <w:spacing w:after="0"/>
              <w:rPr>
                <w:sz w:val="20"/>
                <w:szCs w:val="20"/>
                <w:color w:val="auto"/>
              </w:rPr>
            </w:pPr>
            <w:r>
              <w:rPr>
                <w:rFonts w:ascii="Arial" w:cs="Arial" w:eastAsia="Arial" w:hAnsi="Arial"/>
                <w:sz w:val="13"/>
                <w:szCs w:val="13"/>
                <w:b w:val="1"/>
                <w:bCs w:val="1"/>
                <w:color w:val="auto"/>
                <w:w w:val="93"/>
              </w:rPr>
              <w:t>Six Months Ended June 30, 2020</w:t>
            </w:r>
          </w:p>
        </w:tc>
      </w:tr>
      <w:tr>
        <w:trPr>
          <w:trHeight w:val="129"/>
        </w:trPr>
        <w:tc>
          <w:tcPr>
            <w:tcW w:w="4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3"/>
                <w:szCs w:val="13"/>
                <w:b w:val="1"/>
                <w:bCs w:val="1"/>
                <w:color w:val="auto"/>
                <w:w w:val="95"/>
              </w:rPr>
              <w:t>Weighted</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3"/>
                <w:szCs w:val="13"/>
                <w:b w:val="1"/>
                <w:bCs w:val="1"/>
                <w:color w:val="auto"/>
                <w:w w:val="95"/>
              </w:rPr>
              <w:t>Per</w:t>
            </w:r>
          </w:p>
        </w:tc>
        <w:tc>
          <w:tcPr>
            <w:tcW w:w="160" w:type="dxa"/>
            <w:vAlign w:val="bottom"/>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3"/>
                <w:szCs w:val="13"/>
                <w:b w:val="1"/>
                <w:bCs w:val="1"/>
                <w:color w:val="auto"/>
              </w:rPr>
              <w:t>Per</w:t>
            </w:r>
          </w:p>
        </w:tc>
        <w:tc>
          <w:tcPr>
            <w:tcW w:w="20" w:type="dxa"/>
            <w:vAlign w:val="bottom"/>
          </w:tcPr>
          <w:p>
            <w:pPr>
              <w:spacing w:after="0"/>
              <w:rPr>
                <w:sz w:val="11"/>
                <w:szCs w:val="11"/>
                <w:color w:val="auto"/>
              </w:rPr>
            </w:pPr>
          </w:p>
        </w:tc>
      </w:tr>
      <w:tr>
        <w:trPr>
          <w:trHeight w:val="148"/>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Average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2"/>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9"/>
              </w:rPr>
              <w:t>Average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5"/>
              </w:rPr>
              <w:t>Common</w:t>
            </w:r>
          </w:p>
        </w:tc>
      </w:tr>
      <w:tr>
        <w:trPr>
          <w:trHeight w:val="148"/>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120"/>
              <w:spacing w:after="0"/>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2"/>
                <w:szCs w:val="12"/>
                <w:color w:val="auto"/>
              </w:rPr>
            </w:pPr>
          </w:p>
        </w:tc>
        <w:tc>
          <w:tcPr>
            <w:tcW w:w="5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Common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Share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Common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Share</w:t>
            </w:r>
          </w:p>
        </w:tc>
      </w:tr>
      <w:tr>
        <w:trPr>
          <w:trHeight w:val="161"/>
        </w:trPr>
        <w:tc>
          <w:tcPr>
            <w:tcW w:w="4400" w:type="dxa"/>
            <w:vAlign w:val="bottom"/>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4"/>
                <w:szCs w:val="14"/>
                <w:color w:val="auto"/>
              </w:rPr>
            </w:pPr>
          </w:p>
        </w:tc>
        <w:tc>
          <w:tcPr>
            <w:tcW w:w="6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6"/>
              </w:rPr>
              <w:t>Income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3"/>
              </w:rPr>
              <w:t>Amount</w:t>
            </w:r>
          </w:p>
        </w:tc>
      </w:tr>
      <w:tr>
        <w:trPr>
          <w:trHeight w:val="210"/>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6"/>
              </w:rPr>
              <w:t>32.8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6"/>
              </w:rPr>
              <w:t>32.8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720" w:hanging="670"/>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During the three and six months ended June 30, 2021, the Company granted approximately 11,900 and 237,500 in total of time-based restricted stock units and performance-based shares to certain of its employees at a weighted average grant date fair value of $67.47 and $68.36, respectively.</w:t>
      </w:r>
    </w:p>
    <w:p>
      <w:pPr>
        <w:spacing w:after="0" w:line="184"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Total share-based compensation cost recognized in the Condensed Consolidated Statements of Income and Comprehensive Income as a component of selling, general and administrative expenses was $4.7 million and $3.0 million for the three months ended June 30, 2021 and 2020, and $9.5 million and $6.1 million for the six months ended June 30, 2021 and 2020, respectively. Total unrecognized compensation cost related to unvested share-based compensation arrangements was $30.6 million at June 30, 2021, and is expected to be recognized over a weighted average period of approximately 1.7 years. Total unrecognized compensation cost may be adjusted for any unearned performance shares or forfeited shares.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670"/>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148"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The Company’s pension and post-retirement plans are described in Note 11 to the Consolidated Financial Statements included in Part II, Item 8 of the Company’s Annual Report on Form 10-K for the year ended December 31, 2020. Components of net periodic benefit cost and other amounts recognized in Other Comprehensive Income (Loss) for the qualified pension plans and the post-retirement benefit plans for the three and six months ended June 30, 2021 and 2020 consisted of the following:</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Pension Benefits</w:t>
            </w:r>
          </w:p>
        </w:tc>
        <w:tc>
          <w:tcPr>
            <w:tcW w:w="120" w:type="dxa"/>
            <w:vAlign w:val="bottom"/>
          </w:tcPr>
          <w:p>
            <w:pPr>
              <w:spacing w:after="0"/>
              <w:rPr>
                <w:sz w:val="14"/>
                <w:szCs w:val="14"/>
                <w:color w:val="auto"/>
              </w:rPr>
            </w:pPr>
          </w:p>
        </w:tc>
        <w:tc>
          <w:tcPr>
            <w:tcW w:w="190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1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Three Months Ended June 30,</w:t>
            </w:r>
          </w:p>
        </w:tc>
        <w:tc>
          <w:tcPr>
            <w:tcW w:w="2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 June 30,</w:t>
            </w: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Pension Benefits</w:t>
            </w:r>
          </w:p>
        </w:tc>
        <w:tc>
          <w:tcPr>
            <w:tcW w:w="120" w:type="dxa"/>
            <w:vAlign w:val="bottom"/>
          </w:tcPr>
          <w:p>
            <w:pPr>
              <w:spacing w:after="0"/>
              <w:rPr>
                <w:sz w:val="24"/>
                <w:szCs w:val="24"/>
                <w:color w:val="auto"/>
              </w:rPr>
            </w:pPr>
          </w:p>
        </w:tc>
        <w:tc>
          <w:tcPr>
            <w:tcW w:w="190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14"/>
                <w:szCs w:val="14"/>
                <w:color w:val="auto"/>
              </w:rPr>
            </w:pPr>
          </w:p>
        </w:tc>
        <w:tc>
          <w:tcPr>
            <w:tcW w:w="190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Service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700" w:type="dxa"/>
            <w:vAlign w:val="bottom"/>
            <w:gridSpan w:val="2"/>
          </w:tcPr>
          <w:p>
            <w:pPr>
              <w:ind w:left="12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(benefit)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319"/>
        <w:spacing w:after="0" w:line="275"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76"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2"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2020.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spacing w:after="0" w:line="290" w:lineRule="auto"/>
        <w:rPr>
          <w:rFonts w:ascii="Arial" w:cs="Arial" w:eastAsia="Arial" w:hAnsi="Arial"/>
          <w:sz w:val="16"/>
          <w:szCs w:val="16"/>
          <w:color w:val="0000EE"/>
        </w:rPr>
      </w:pPr>
      <w:r>
        <w:rPr>
          <w:rFonts w:ascii="Arial" w:cs="Arial" w:eastAsia="Arial" w:hAnsi="Arial"/>
          <w:sz w:val="16"/>
          <w:szCs w:val="16"/>
          <w:color w:val="auto"/>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w:t>
      </w:r>
      <w:hyperlink r:id="rId26">
        <w:r>
          <w:rPr>
            <w:rFonts w:ascii="Arial" w:cs="Arial" w:eastAsia="Arial" w:hAnsi="Arial"/>
            <w:sz w:val="16"/>
            <w:szCs w:val="16"/>
            <w:color w:val="auto"/>
          </w:rPr>
          <w:t xml:space="preserve">and notes herein, and should be read in conjunction with the Company’s </w:t>
        </w:r>
        <w:r>
          <w:rPr>
            <w:rFonts w:ascii="Arial" w:cs="Arial" w:eastAsia="Arial" w:hAnsi="Arial"/>
            <w:sz w:val="16"/>
            <w:szCs w:val="16"/>
            <w:u w:val="single" w:color="auto"/>
            <w:color w:val="0000EE"/>
          </w:rPr>
          <w:t>Annual Report on Form 10-K for the year ended</w:t>
        </w:r>
      </w:hyperlink>
      <w:r>
        <w:rPr>
          <w:rFonts w:ascii="Arial" w:cs="Arial" w:eastAsia="Arial" w:hAnsi="Arial"/>
          <w:sz w:val="16"/>
          <w:szCs w:val="16"/>
          <w:color w:val="auto"/>
        </w:rPr>
        <w:t xml:space="preserve"> </w:t>
      </w:r>
      <w:hyperlink r:id="rId26">
        <w:r>
          <w:rPr>
            <w:rFonts w:ascii="Arial" w:cs="Arial" w:eastAsia="Arial" w:hAnsi="Arial"/>
            <w:sz w:val="16"/>
            <w:szCs w:val="16"/>
            <w:u w:val="single" w:color="auto"/>
            <w:color w:val="0000EE"/>
          </w:rPr>
          <w:t>December 31, 2020</w:t>
        </w:r>
        <w:r>
          <w:rPr>
            <w:rFonts w:ascii="Arial" w:cs="Arial" w:eastAsia="Arial" w:hAnsi="Arial"/>
            <w:sz w:val="16"/>
            <w:szCs w:val="16"/>
            <w:color w:val="000000"/>
          </w:rPr>
          <w:t>, the Company’s reports on Forms 10-Q and 8-K, and other publicly available information.</w:t>
        </w:r>
      </w:hyperlink>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SECOND QUARTER 2021 DISCUSSION AND UPDATE ON BUSINESS CONDITIONS</w:t>
      </w:r>
    </w:p>
    <w:p>
      <w:pPr>
        <w:spacing w:after="0" w:line="229"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i w:val="1"/>
          <w:iCs w:val="1"/>
          <w:color w:val="auto"/>
        </w:rPr>
        <w:t xml:space="preserve">Ocean Transportation: </w:t>
      </w:r>
      <w:r>
        <w:rPr>
          <w:rFonts w:ascii="Arial" w:cs="Arial" w:eastAsia="Arial" w:hAnsi="Arial"/>
          <w:sz w:val="17"/>
          <w:szCs w:val="17"/>
          <w:color w:val="auto"/>
        </w:rPr>
        <w:t>The Company’s container volume in the Hawaii service in the second quarter 2021 was 9.9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higher year-over-year. The increase was primarily due to higher retail and hospitality-related demand due to the reopening of the Hawaii economy compared to the pandemic low in the year ago period, partially offset by volume associated with the dry-docking of a competitor’s vessel in the year ago period. Domestic visitor travel to the state accelerated since the beginning of the year and the local economy continued to reopen with COVID-19 vaccinations, leading to a sharp rebound in Hawaii’s tourism industry and economy. The economic recovery in the state is on a cautiously optimistic trajectory due to improving tourism and unemployment trends.</w:t>
      </w:r>
    </w:p>
    <w:p>
      <w:pPr>
        <w:spacing w:after="0" w:line="177"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In China, the Company’s container volume in the second quarter 2021 increased 59.1 percent year-over-year. The increase was primarily due to incremental volume from the CLX+ service in addition to higher volume in the CLX service as a result of our increased capacity in the tradelane. The total number of eastbound voyages in the China service increased by nine year-over-year of which six were from incremental CLX+ voyages and three from extra loaders. Volume demand in the quarter was driven by e-commerce, garments and other goods. Matson continued to realize a significant rate premium in the second quarter 2021 and achieved average freight rates that were considerably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93" w:lineRule="auto"/>
        <w:rPr>
          <w:sz w:val="20"/>
          <w:szCs w:val="20"/>
          <w:color w:val="auto"/>
        </w:rPr>
      </w:pPr>
      <w:r>
        <w:rPr>
          <w:rFonts w:ascii="Arial" w:cs="Arial" w:eastAsia="Arial" w:hAnsi="Arial"/>
          <w:sz w:val="16"/>
          <w:szCs w:val="16"/>
          <w:color w:val="auto"/>
        </w:rPr>
        <w:t>higher than in the year ago period. Currently in the Transpacific tradelane, supply chain congestion continues, and consumption trends remain elevated. We expect these conditions to remain in place and lead to a high level of demand at least until Lunar New Year in the first quarter of 2022. As a result of the exceptional level of demand for our expedited Transpacific services, Matson recently announced the initiation of our CCX service as a seasonal string with Matson-owned vessels from China to the U.S. West Coast with Oakland as the first call. Consequently, we expect our vessels in the CLX, CLX+ and CCX services to be operating at capacity at least until Lunar New Year next year.</w:t>
      </w:r>
    </w:p>
    <w:p>
      <w:pPr>
        <w:spacing w:after="0" w:line="164"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 Guam, the Company’s container volume in the second quarter 2021 increased 35.7 percent year-over-year primarily due to higher retail-related demand compared to the pandemic low in the year ago period as well as volume attributable to a competitor’s schedule issues. The economic recovery trajectory in Guam remains uncertain as the economy recovers slowly and tourism remains constrained.</w:t>
      </w:r>
    </w:p>
    <w:p>
      <w:pPr>
        <w:spacing w:after="0" w:line="187"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 Alaska, the Company’s container volume for the second quarter 2021 increased 15.2 percent year-over-year due to higher northbound volume primarily due to (i) higher retail-related demand compared to the pandemic low in the year ago period, (ii) higher southbound volume and (iii) the addition of volume from the Alaska-Asia Express service, partially offset by one less northbound sailing. In the near-term, we expect improving economic trends in Alaska, but the recovery’s trajectory continues to remain uncertain.</w:t>
      </w:r>
    </w:p>
    <w:p>
      <w:pPr>
        <w:spacing w:after="0" w:line="188"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contribution in the second quarter 2021 from the Company’s SSAT joint venture investment was $12.8 million, or $9.1 million higher than the second quarter 2020. The increase was driven by higher lift volume.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In the second quarter 2021, operating income for the Company’s Logistics segment was $12.9 million, or</w:t>
      </w:r>
    </w:p>
    <w:p>
      <w:pPr>
        <w:spacing w:after="0" w:line="35"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$4.0 million higher compared to the pandemic low operating income achieved in the second quarter 2020. The increase was due primarily to higher contributions from transportation brokerage, freight forwarding and supply chain management as a result of elevated goods consumption and inventory restocking in addition to favorable supply and demand fundamentals in our core markets.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Three months ended June 30, 2021, compared with 2020:</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w w:val="98"/>
              </w:rPr>
              <w:t>Three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(661.0)</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(472.9)</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(188.1)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317.8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209.9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165.4</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371.7 %</w:t>
            </w:r>
          </w:p>
        </w:tc>
        <w:tc>
          <w:tcPr>
            <w:tcW w:w="0" w:type="dxa"/>
            <w:vAlign w:val="bottom"/>
          </w:tcPr>
          <w:p>
            <w:pPr>
              <w:spacing w:after="0"/>
              <w:rPr>
                <w:sz w:val="1"/>
                <w:szCs w:val="1"/>
                <w:color w:val="auto"/>
              </w:rPr>
            </w:pPr>
          </w:p>
        </w:tc>
      </w:tr>
      <w:tr>
        <w:trPr>
          <w:trHeight w:val="432"/>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305.1 %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162.5</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129.7</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395.4 %</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392.1 %</w:t>
            </w:r>
          </w:p>
        </w:tc>
        <w:tc>
          <w:tcPr>
            <w:tcW w:w="0" w:type="dxa"/>
            <w:vAlign w:val="bottom"/>
          </w:tcPr>
          <w:p>
            <w:pPr>
              <w:spacing w:after="0"/>
              <w:rPr>
                <w:sz w:val="1"/>
                <w:szCs w:val="1"/>
                <w:color w:val="auto"/>
              </w:rPr>
            </w:pPr>
          </w:p>
        </w:tc>
      </w:tr>
      <w:tr>
        <w:trPr>
          <w:trHeight w:val="432"/>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0.76</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388.2 %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decrease in interest expense for the three months ended June 30, 2021, compared to the three months ended June 30, 2020, was due to lower outstanding debt during the period.</w:t>
      </w:r>
    </w:p>
    <w:p>
      <w:pPr>
        <w:spacing w:after="0" w:line="170"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pacing w:after="0" w:line="170"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Income tax expense was $47.4 million or 22.6 percent of income before income taxes for the three months ended June 30, 2021, compared to $11.7 million or 26.3 percent of income before income taxes for the three months ended June 30, 2020. The effective tax rate for the three months ended June 30, 2021 was lower than the effective tax rate for the three months ended June 30, 2020 as it benefitted from discrete adjustments related to the valuation allowance</w:t>
      </w:r>
    </w:p>
    <w:p>
      <w:pPr>
        <w:sectPr>
          <w:pgSz w:w="11900" w:h="16838" w:orient="portrait"/>
          <w:cols w:equalWidth="0" w:num="1">
            <w:col w:w="9019"/>
          </w:cols>
          <w:pgMar w:left="1440" w:top="517" w:right="1440" w:bottom="358"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358"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against the Company’s foreign income tax net operating losses and stock compensation that lowered the effective tax rate for that period.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 Six months ended June 30, 2021, compared with 2020:</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1,586.7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(1,252.6)</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(973.8)</w:t>
            </w: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(278.8)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09"/>
        </w:trPr>
        <w:tc>
          <w:tcPr>
            <w:tcW w:w="5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420.4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274.7</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554.9 %</w:t>
            </w:r>
          </w:p>
        </w:tc>
        <w:tc>
          <w:tcPr>
            <w:tcW w:w="0" w:type="dxa"/>
            <w:vAlign w:val="bottom"/>
          </w:tcPr>
          <w:p>
            <w:pPr>
              <w:spacing w:after="0"/>
              <w:rPr>
                <w:sz w:val="1"/>
                <w:szCs w:val="1"/>
                <w:color w:val="auto"/>
              </w:rPr>
            </w:pPr>
          </w:p>
        </w:tc>
      </w:tr>
      <w:tr>
        <w:trPr>
          <w:trHeight w:val="432"/>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477.5 %</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249.7</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213.1</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582.2 %</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576.5 %</w:t>
            </w:r>
          </w:p>
        </w:tc>
        <w:tc>
          <w:tcPr>
            <w:tcW w:w="0" w:type="dxa"/>
            <w:vAlign w:val="bottom"/>
          </w:tcPr>
          <w:p>
            <w:pPr>
              <w:spacing w:after="0"/>
              <w:rPr>
                <w:sz w:val="1"/>
                <w:szCs w:val="1"/>
                <w:color w:val="auto"/>
              </w:rPr>
            </w:pPr>
          </w:p>
        </w:tc>
      </w:tr>
      <w:tr>
        <w:trPr>
          <w:trHeight w:val="432"/>
        </w:trPr>
        <w:tc>
          <w:tcPr>
            <w:tcW w:w="544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0.85</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570.6 %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decrease in interest expense for the six months ended June 30, 2021, compared to the six months ended June 30, 2020, was due to a lower outstanding debt during the period.</w:t>
      </w:r>
    </w:p>
    <w:p>
      <w:pPr>
        <w:spacing w:after="0" w:line="170"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Other income (expense) relates to the amortization of certain components of net periodic benefit costs or gains related to the Company’s pension and post-retirement plans. The increase in Other income (expense) was due to adjustments related to the Company’s pension and post-retirement plan liabilities during the six months ended June 30, 2021.</w:t>
      </w:r>
    </w:p>
    <w:p>
      <w:pPr>
        <w:spacing w:after="0" w:line="149"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Income tax expense was $74.5 million or 23.0 percent of income before income taxes for the six months ended June 30, 2021, compared to $12.9 million or 26.1 percent of income before income taxes for the six months ended June 30, 2020. The effective tax rate for the six months ended June 30, 2021 was lower than the effective tax rate for the six months ended June 30, 2020 as it benefitted from discrete adjustments related to the valuation allowance against the Company’s foreign income tax net operating losses and stock compensation that lowered the effective tax rate for that period.</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Operating Results - Three months ended June 30, 2021, compared with 2020:</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ind w:right="33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(481.9)</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(368.5)</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(113.4)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375.2 %</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29.4 %</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10.3 %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Volume (Forty-foot equivalent units (FEU), except for automobiles) (1)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54.9 %</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43,600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27,400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16,200</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59.1 %</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ectPr>
          <w:pgSz w:w="11900" w:h="16838" w:orient="portrait"/>
          <w:cols w:equalWidth="0" w:num="1">
            <w:col w:w="9019"/>
          </w:cols>
          <w:pgMar w:left="1440" w:top="517" w:right="1440" w:bottom="5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547"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19"/>
        <w:spacing w:after="0" w:line="286" w:lineRule="auto"/>
        <w:rPr>
          <w:sz w:val="20"/>
          <w:szCs w:val="20"/>
          <w:color w:val="auto"/>
        </w:rPr>
      </w:pPr>
      <w:r>
        <w:rPr>
          <w:rFonts w:ascii="Arial" w:cs="Arial" w:eastAsia="Arial" w:hAnsi="Arial"/>
          <w:sz w:val="17"/>
          <w:szCs w:val="17"/>
          <w:color w:val="auto"/>
        </w:rPr>
        <w:t>Ocean Transportation revenue increased $272.1 million, or 66.2 percent, during the three months ended June 30, 2021, compared with the three months ended June 30, 2020. The increase was primarily due to higher revenue in China and Hawaii, higher fuel-related surcharge revenue and higher revenue in Alaska and Guam.</w:t>
      </w:r>
    </w:p>
    <w:p>
      <w:pPr>
        <w:spacing w:after="0" w:line="165"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On a year-over-year FEU basis, Hawaii container volume increased 9.9 percent primarily due to higher retail and hospitality-related demand due to the reopening of the Hawaii economy compared to the pandemic low in the year ago period as a result of the state’s COVID-19 mitigation efforts, including restrictions on tourism, partially offset by volume associated with the dry-docking of a competitor’s vessel in the year ago period; Alaska volume increased 15.2 percent due to higher northbound volume primarily due to higher retail-related demand compared to the pandemic low in the year ago period as a result of the state’s COVID-19 mitigation efforts, higher southbound volume and the addition of volume from the Alaska-Asia Express service, partially offset by one less northbound sailing; China volume was 59.1 percent higher primarily due to incremental volume from the CLX+ service in addition to higher volume in the CLX service as a result of our increased capacity in the tradelane; Guam volume was 35.7 percent higher primarily due to higher retail-related demand compared to the pandemic low in the year ago period as a result of the island’s COVID-19 mitigation measures as well as volume attributable to a competitor’s schedule issues; and Other containers volume increased 33.3 percent primarily due to higher volume in Okinawa.</w:t>
      </w:r>
    </w:p>
    <w:p>
      <w:pPr>
        <w:spacing w:after="0" w:line="179"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Ocean Transportation operating income increased $158.7 million during the three months ended June 30, 2021, compared with the three months ended June 30, 2020. The increase was primarily due to higher contributions from the China and Hawaii services and SSAT, partially offset by higher vessel operating costs, higher terminal handling costs and higher depreciation.</w:t>
      </w:r>
    </w:p>
    <w:p>
      <w:pPr>
        <w:spacing w:after="0" w:line="187"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The Company’s SSAT terminal joint venture investment contributed $12.8 million during the three months ended June 30, 2021, compared to a contribution of $3.7 million during the three months ended June 30, 2020. The increase was driven by higher lift volume.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Ocean Transportation Operating Results - Six months ended June 30, 2021, compared with 2020:</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Ocean Transportation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(928.3)</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(761.5)</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(166.8)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527.7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25.3 %</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20"/>
              <w:spacing w:after="0"/>
              <w:rPr>
                <w:sz w:val="20"/>
                <w:szCs w:val="20"/>
                <w:color w:val="auto"/>
              </w:rPr>
            </w:pPr>
            <w:r>
              <w:rPr>
                <w:rFonts w:ascii="Arial" w:cs="Arial" w:eastAsia="Arial" w:hAnsi="Arial"/>
                <w:sz w:val="18"/>
                <w:szCs w:val="18"/>
                <w:color w:val="auto"/>
              </w:rPr>
              <w:t>Volume (Forty-foot equivalent units (FEU), except for automobiles) (1)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Hawaii containers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71,700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20"/>
              <w:spacing w:after="0"/>
              <w:rPr>
                <w:sz w:val="20"/>
                <w:szCs w:val="20"/>
                <w:color w:val="auto"/>
              </w:rPr>
            </w:pPr>
            <w:r>
              <w:rPr>
                <w:rFonts w:ascii="Arial" w:cs="Arial" w:eastAsia="Arial" w:hAnsi="Arial"/>
                <w:sz w:val="18"/>
                <w:szCs w:val="18"/>
                <w:color w:val="auto"/>
              </w:rPr>
              <w:t>Hawaii automobiles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23,400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Alaska containers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6"/>
        </w:trPr>
        <w:tc>
          <w:tcPr>
            <w:tcW w:w="5720" w:type="dxa"/>
            <w:vAlign w:val="bottom"/>
            <w:gridSpan w:val="2"/>
          </w:tcPr>
          <w:p>
            <w:pPr>
              <w:ind w:left="220"/>
              <w:spacing w:after="0"/>
              <w:rPr>
                <w:sz w:val="20"/>
                <w:szCs w:val="20"/>
                <w:color w:val="auto"/>
              </w:rPr>
            </w:pPr>
            <w:r>
              <w:rPr>
                <w:rFonts w:ascii="Arial" w:cs="Arial" w:eastAsia="Arial" w:hAnsi="Arial"/>
                <w:sz w:val="18"/>
                <w:szCs w:val="18"/>
                <w:color w:val="auto"/>
              </w:rPr>
              <w:t>China containers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84,700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40,300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44,400</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0"/>
              </w:rPr>
              <w:t>110.2 %</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Guam containers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20"/>
              <w:spacing w:after="0"/>
              <w:rPr>
                <w:sz w:val="20"/>
                <w:szCs w:val="20"/>
                <w:color w:val="auto"/>
              </w:rPr>
            </w:pPr>
            <w:r>
              <w:rPr>
                <w:rFonts w:ascii="Arial" w:cs="Arial" w:eastAsia="Arial" w:hAnsi="Arial"/>
                <w:sz w:val="18"/>
                <w:szCs w:val="18"/>
                <w:color w:val="auto"/>
              </w:rPr>
              <w:t>Other containers (2)</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3" w:lineRule="exact"/>
        <w:rPr>
          <w:sz w:val="20"/>
          <w:szCs w:val="20"/>
          <w:color w:val="auto"/>
        </w:rPr>
      </w:pPr>
    </w:p>
    <w:p>
      <w:pPr>
        <w:ind w:left="380" w:right="219" w:hanging="330"/>
        <w:spacing w:after="0" w:line="248" w:lineRule="auto"/>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80" w:hanging="330"/>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Okinawa, Japan.</w:t>
      </w:r>
    </w:p>
    <w:p>
      <w:pPr>
        <w:spacing w:after="0" w:line="196"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Ocean Transportation revenue increased $431.7 million, or 53.2 percent, during the six months ended June 30, 2021, compared with the six months ended June 30, 2020. The increase was primarily due to higher revenue in China, Hawaii and Guam.</w:t>
      </w:r>
    </w:p>
    <w:p>
      <w:pPr>
        <w:spacing w:after="0" w:line="184"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On a year-over-year FEU basis, Hawaii container volume increased 5.3 percent primarily due to higher retail and hospitality-related demand due to the reopening of the Hawaii economy compared to the negatively impacted volume in the year ago period as a result of the pandemic and the state’s COVID-19 mitigation efforts, partially offset by volume associated with the dry-docking of a competitor’s vessel in the second quarter of last year; Alaska volume increased by 4.8 percent due to higher northbound volume primarily due to higher retail-related demand compared to the negatively impacted volume in the year ago period as a result of the pandemic and the state’s COVID-19 mitigation efforts, higher southbound volume and the addition of volume from the Alaska-Asia Express service, partially offset by two less northbound sailings; China volume was 110.2 percent higher primarily due to incremental volume from the CLX+</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service in addition to higher volume on the CLX service as a result of increased capacity in the tradelane; Guam volume was 17.6 percent higher primarily due to higher retail-related demand compared to the negatively impacted volume in the year ago period as a result of the pandemic and the island’s COVID-19 mitigation measures as well as volume attributable to a competitor’s schedule issues; and Other container volume increased 15.0 percent primarily due to higher volume in Okinawa.</w:t>
      </w:r>
    </w:p>
    <w:p>
      <w:pPr>
        <w:spacing w:after="0" w:line="188" w:lineRule="exact"/>
        <w:rPr>
          <w:sz w:val="20"/>
          <w:szCs w:val="20"/>
          <w:color w:val="auto"/>
        </w:rPr>
      </w:pPr>
    </w:p>
    <w:p>
      <w:pPr>
        <w:ind w:left="60" w:right="359"/>
        <w:spacing w:after="0" w:line="259" w:lineRule="auto"/>
        <w:rPr>
          <w:sz w:val="20"/>
          <w:szCs w:val="20"/>
          <w:color w:val="auto"/>
        </w:rPr>
      </w:pPr>
      <w:r>
        <w:rPr>
          <w:rFonts w:ascii="Arial" w:cs="Arial" w:eastAsia="Arial" w:hAnsi="Arial"/>
          <w:sz w:val="18"/>
          <w:szCs w:val="18"/>
          <w:color w:val="auto"/>
        </w:rPr>
        <w:t>Ocean Transportation operating income increased $264.9 million during the six months ended June 30, 2021, compared with the six months ended June 30, 2020. The increase was primarily due to higher contributions from the China and Hawaii services and SSAT, partially offset by higher vessel operating costs, higher terminal handling costs and higher depreciation.</w:t>
      </w:r>
    </w:p>
    <w:p>
      <w:pPr>
        <w:spacing w:after="0" w:line="187"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The Company’s SSAT terminal joint venture investment contributed $22.0 million during the six months ended June 30, 2021, compared to a contribution of $7.7 million during the six months ended June 30, 2020. The increase was largely attributable to higher lift volume.</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Three months ended June 30, 2021, compared with 2020:</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w w:val="95"/>
              </w:rPr>
              <w:t>Three Months Ended June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(179.1)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(104.4)</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(74.7)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71.6 %</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Logistics revenue increased $78.7 million, or 69.5 percent, during the three months ended June 30, 2021, compared with the three months ended June 30, 2020. The increase was primarily due to higher transportation brokerage revenue.</w:t>
      </w:r>
    </w:p>
    <w:p>
      <w:pPr>
        <w:spacing w:after="0" w:line="124"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color w:val="auto"/>
        </w:rPr>
        <w:t>Logistics operating income increased $4.0 million, or 44.9 percent, for the three months ended June 30, 2021, compared with the three months ended June 30, 2020. The increase was primarily due to higher contributions from transportation brokerage, freight forwarding and supply chain management.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Operating Results: Six months ended June 30, 2021, compared with 2020:</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9"/>
          </w:tcPr>
          <w:p>
            <w:pPr>
              <w:ind w:left="46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Logistics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51.7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(324.3)</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(212.3)</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(112.0)</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9"/>
              </w:rPr>
              <w:t>52.8 %</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Operating income margin</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99"/>
        <w:spacing w:after="0" w:line="308" w:lineRule="auto"/>
        <w:rPr>
          <w:sz w:val="20"/>
          <w:szCs w:val="20"/>
          <w:color w:val="auto"/>
        </w:rPr>
      </w:pPr>
      <w:r>
        <w:rPr>
          <w:rFonts w:ascii="Arial" w:cs="Arial" w:eastAsia="Arial" w:hAnsi="Arial"/>
          <w:sz w:val="17"/>
          <w:szCs w:val="17"/>
          <w:color w:val="auto"/>
        </w:rPr>
        <w:t>Logistics revenue increased $117.0 million, or 51.7 percent, during the six months ended June 30, 2021, compared with the six months ended June 30, 2020. The increase was primarily due to higher transportation brokerage revenue.</w:t>
      </w:r>
    </w:p>
    <w:p>
      <w:pPr>
        <w:spacing w:after="0" w:line="14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Logistics operating income increased $5.0 million, or 35.7 percent, for the six months ended June 30, 2021, compared with the six months ended June 30, 2020. The increase was due primarily to higher contributions from transportation brokerage, freight forwarding and supply chain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Sources of liquidity available to the Company as of June 30, 2021, compared to December 31, 2020 were as follows:</w:t>
      </w:r>
    </w:p>
    <w:p>
      <w:pPr>
        <w:spacing w:after="0" w:line="237" w:lineRule="exact"/>
        <w:rPr>
          <w:sz w:val="20"/>
          <w:szCs w:val="20"/>
          <w:color w:val="auto"/>
        </w:rPr>
      </w:pPr>
    </w:p>
    <w:p>
      <w:pPr>
        <w:ind w:left="60" w:right="559"/>
        <w:spacing w:after="0" w:line="308" w:lineRule="auto"/>
        <w:rPr>
          <w:sz w:val="20"/>
          <w:szCs w:val="20"/>
          <w:color w:val="auto"/>
        </w:rPr>
      </w:pPr>
      <w:r>
        <w:rPr>
          <w:rFonts w:ascii="Arial" w:cs="Arial" w:eastAsia="Arial" w:hAnsi="Arial"/>
          <w:sz w:val="17"/>
          <w:szCs w:val="17"/>
          <w:b w:val="1"/>
          <w:bCs w:val="1"/>
          <w:i w:val="1"/>
          <w:iCs w:val="1"/>
          <w:color w:val="auto"/>
        </w:rPr>
        <w:t xml:space="preserve">Cash, Cash Equivalents, Restricted Cash and Accounts Receivable: </w:t>
      </w:r>
      <w:r>
        <w:rPr>
          <w:rFonts w:ascii="Arial" w:cs="Arial" w:eastAsia="Arial" w:hAnsi="Arial"/>
          <w:sz w:val="17"/>
          <w:szCs w:val="17"/>
          <w:color w:val="auto"/>
        </w:rPr>
        <w:t>Cash and cash equivalents, restricted cash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accounts receivable as of June 30, 2021, compared to December 31, 2020 were as follows: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6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Accounts receivable, net (1)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 of June 30, 2021 and December 31, 2020, $1.7 million of eligible accounts receivable were assigned to the CCF.</w:t>
      </w:r>
    </w:p>
    <w:p>
      <w:pPr>
        <w:spacing w:after="0" w:line="208"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Changes in the Company’s cash, cash equivalents and restricted cash for the six months ended June 30, 2021, compared to the six months ended June 30, 2020 were as follows: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2400" w:type="dxa"/>
            <w:vAlign w:val="bottom"/>
            <w:gridSpan w:val="8"/>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360" w:type="dxa"/>
            <w:vAlign w:val="bottom"/>
            <w:gridSpan w:val="3"/>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3"/>
              </w:rPr>
              <w:t>Change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(1)</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238.8</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cash used in investing activities (2)</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(99.6)</w:t>
            </w:r>
          </w:p>
        </w:tc>
        <w:tc>
          <w:tcPr>
            <w:tcW w:w="1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(35.1)</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 (3)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(136.2)</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the period</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gridSpan w:val="3"/>
          </w:tcPr>
          <w:p>
            <w:pPr>
              <w:ind w:left="20"/>
              <w:spacing w:after="0"/>
              <w:rPr>
                <w:sz w:val="20"/>
                <w:szCs w:val="20"/>
                <w:color w:val="auto"/>
              </w:rPr>
            </w:pPr>
            <w:r>
              <w:rPr>
                <w:rFonts w:ascii="Arial" w:cs="Arial" w:eastAsia="Arial" w:hAnsi="Arial"/>
                <w:sz w:val="17"/>
                <w:szCs w:val="17"/>
                <w:color w:val="auto"/>
              </w:rPr>
              <w:t>Cash, cash equivalents and restricted cash, end of the period</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12"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Changes in net cash provided by operating activities for the six months ended June 30, 2021, compared to the six months ended June 30, 2020, were due to the following:</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00" w:type="dxa"/>
            <w:vAlign w:val="bottom"/>
          </w:tcPr>
          <w:p>
            <w:pPr>
              <w:jc w:val="right"/>
              <w:ind w:right="91"/>
              <w:spacing w:after="0"/>
              <w:rPr>
                <w:sz w:val="20"/>
                <w:szCs w:val="20"/>
                <w:color w:val="auto"/>
              </w:rPr>
            </w:pPr>
            <w:r>
              <w:rPr>
                <w:rFonts w:ascii="Arial" w:cs="Arial" w:eastAsia="Arial" w:hAnsi="Arial"/>
                <w:sz w:val="14"/>
                <w:szCs w:val="14"/>
                <w:b w:val="1"/>
                <w:bCs w:val="1"/>
                <w:color w:val="auto"/>
                <w:w w:val="97"/>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Amortization of operating lease right of use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Non-cash deferred income taxes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non-cash related changes,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Income and distributions from SSAT,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 accruals and other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dry-docking payments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Deferred dry-docking amortization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Income and cash distributions from SSAT was $22.0 million and $21.0 million for the six months ended June 30, 2021, respectively, compared to $7.7 million and $7.8 million for the six months ended June 30, 2020. The change in income and cash distributions was due to greater levels of operating profits generated by SSAT during the six months ended June 30, 2021 as compared to the same prior year period. Changes in accounts receivable were primarily due to increased levels of revenues, and the timing of collections associated with those receivables. Changes in prepaid expenses and other assets were primarily due to increased prepaid fuel and other operating related costs, and prepaid income taxes, primarily due to increased levels of operations for the six months ended June 30, 2021, as compared to the same prior year period. Changes in accounts payable, accruals and other liabilities were primarily due to increased level of operating costs and the timing of payments associated with those liabilities. Deferred dry-docking payments for the six months ended June 30, 2021 were $17.4 million, compared to $7.6 million for the six months ended June 30, 2020.</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increase in deferred dry-docking payments was due to an increase in dry-dock related activity during the six months ended June 30, 2021 as compared to the same prior year period.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net cash used in investing activities for the six months ended June 30, 2021, compared to the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2020, were due to the following:</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00" w:type="dxa"/>
            <w:vAlign w:val="bottom"/>
          </w:tcPr>
          <w:p>
            <w:pPr>
              <w:jc w:val="right"/>
              <w:ind w:right="93"/>
              <w:spacing w:after="0"/>
              <w:rPr>
                <w:sz w:val="20"/>
                <w:szCs w:val="20"/>
                <w:color w:val="auto"/>
              </w:rPr>
            </w:pPr>
            <w:r>
              <w:rPr>
                <w:rFonts w:ascii="Arial" w:cs="Arial" w:eastAsia="Arial" w:hAnsi="Arial"/>
                <w:sz w:val="14"/>
                <w:szCs w:val="14"/>
                <w:b w:val="1"/>
                <w:bCs w:val="1"/>
                <w:color w:val="auto"/>
                <w:w w:val="97"/>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deposits into CCF</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Withdrawals from CCF</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capital expenditures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Capitalized vessel construction expenditures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disposal of property and equipment, net</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09"/>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5)</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Capitalized vessel construction expenditures (including capitalized interest) were $16.5 million for the six months ended June 30, 2020. There were no capitalized vessel construction expenditures during the six months ended June 30, 2021 due to the completion of the Company’s fleet renewal program in 2020. Changes in cash deposits into CCF and withdrawals from CCF primarily relate to the timing of when deposits are made into the CCF, and when the subsequent withdrawals are made out of the CCF for the purposes of vessel construction progress payments. Other capital expenditures payments were $101.3 million for the six months ended June 30, 2021, compared to $34.0 million for the six months ended June 30, 2020. During the six months ended June 30, 2021, the Company increased its acquisition of containers, chassis and other terminal equipment, as compared to the same prior year period. The increase in capital expenditure payments was also due to the timing of certain capital project activities incurred during 2021 as compared to 2020. The decrease in proceeds from disposal of property and equipment was primarily due to the sale and leaseback of chassis and container equipment for net proceeds of $14.3 million during the six months ended June 30, 2020. There were no sale and leaseback transactions during the six months ended June 30, 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Change in net cash used in financing activities: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Changes in net cash used in financing activities for the six months ended June 30, 2021, compared to the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2020, were due to the following:</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Change</w:t>
            </w:r>
          </w:p>
        </w:tc>
      </w:tr>
      <w:tr>
        <w:trPr>
          <w:trHeight w:val="210"/>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received from issuance of fixed interest debt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Repayments of fixed interest debt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166.0</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Repayments and borrowings under revolving credit facility,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Payment of financing costs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other payments, net</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0"/>
        </w:trPr>
        <w:tc>
          <w:tcPr>
            <w:tcW w:w="8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During the six months ended June 30, 2021, the Company paid $26.8 million in fixed debt payments, compared to</w:t>
      </w:r>
    </w:p>
    <w:p>
      <w:pPr>
        <w:spacing w:after="0" w:line="35"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$192.8 million during the six months ended June 30, 2020. During the six months ended June 30, 2021, the Company decreased net borrowings under the revolving credit facility by $71.8 million, compared to a $201.1 million decrease during the six months ended June 30, 2020. During the six months ended June 30, 2021, the Company paid $3.0 million in financing costs, compared to $18.5 million paid during the six months ended June 30, 2020, related to amendments of its revolving credit facility, private placement term loans and Title XI debt. During the six months ended June 30, 2021, the Company paid $14.4 million in taxes related to vested restricted stock units, compared to $5.5 million for the six months ended June 30, 2020. The increase in taxes was primarily due to the increase of the Company’s stock price as of the vesting date of the restricted stock units. During the six months ended June 30, 2021, the Company paid $20.2 million in dividends, compared to $19.1 million during the six months ended June 30, 2020. The increase in dividend payments resulted from an increase in dividends declared per share of common stock by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June 30, 2021 and December 31, 2020 is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6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Fixed interest debt</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9"/>
        </w:trPr>
        <w:tc>
          <w:tcPr>
            <w:tcW w:w="6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19"/>
        <w:spacing w:after="0" w:line="279" w:lineRule="auto"/>
        <w:rPr>
          <w:sz w:val="20"/>
          <w:szCs w:val="20"/>
          <w:color w:val="auto"/>
        </w:rPr>
      </w:pPr>
      <w:r>
        <w:rPr>
          <w:rFonts w:ascii="Arial" w:cs="Arial" w:eastAsia="Arial" w:hAnsi="Arial"/>
          <w:sz w:val="17"/>
          <w:szCs w:val="17"/>
          <w:color w:val="auto"/>
        </w:rPr>
        <w:t>Total Debt decreased by $98.6 million during the six months ended June 30, 2021. The decrease in the Company’s outstanding revolving credit borrowings was primarily due to the increase in net cash provided by operating activities during that same period. The decrease in fixed interest debt was due to the scheduled repayments of private placement term loans and Title XI debt during the six months ended June 30, 2021.</w:t>
      </w:r>
    </w:p>
    <w:p>
      <w:pPr>
        <w:spacing w:after="0" w:line="171" w:lineRule="exact"/>
        <w:rPr>
          <w:sz w:val="20"/>
          <w:szCs w:val="20"/>
          <w:color w:val="auto"/>
        </w:rPr>
      </w:pPr>
    </w:p>
    <w:p>
      <w:pPr>
        <w:ind w:left="60" w:right="539"/>
        <w:spacing w:after="0" w:line="342" w:lineRule="auto"/>
        <w:rPr>
          <w:sz w:val="20"/>
          <w:szCs w:val="20"/>
          <w:color w:val="auto"/>
        </w:rPr>
      </w:pPr>
      <w:r>
        <w:rPr>
          <w:rFonts w:ascii="Arial" w:cs="Arial" w:eastAsia="Arial" w:hAnsi="Arial"/>
          <w:sz w:val="16"/>
          <w:szCs w:val="16"/>
          <w:color w:val="auto"/>
        </w:rPr>
        <w:t>As of June 30, 2021, the Company had $641.9 million of remaining borrowing availability under the revolving credit facility, with a maturity date of March 31, 2026. The Company’s debt is described in Note 6 of Part I, Item 1 above.</w:t>
      </w:r>
    </w:p>
    <w:p>
      <w:pPr>
        <w:spacing w:after="0" w:line="124"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b w:val="1"/>
          <w:bCs w:val="1"/>
          <w:i w:val="1"/>
          <w:iCs w:val="1"/>
          <w:color w:val="auto"/>
        </w:rPr>
        <w:t xml:space="preserve">Working Capital: </w:t>
      </w:r>
      <w:r>
        <w:rPr>
          <w:rFonts w:ascii="Arial" w:cs="Arial" w:eastAsia="Arial" w:hAnsi="Arial"/>
          <w:sz w:val="16"/>
          <w:szCs w:val="16"/>
          <w:color w:val="auto"/>
        </w:rPr>
        <w:t>The Company had a working capital deficit of $129.6 million and $205.6 million at June 30, 2021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respectively. The Company manages its working capital needs through the use of borrowings on its revolving credit facility which can be received on short notice. The decrease in working capital deficit at June 30, 2021 is primarily due to the increase in revenues generated during the six months ended June 30, 2021, compared to the six months ended June 30, 2020. Working capital is also impacted by the timing of collections associated with accounts receivable and other assets, and the timing of payments associated with accounts payable, accruals, income taxes and other liabilities.</w:t>
      </w:r>
    </w:p>
    <w:p>
      <w:pPr>
        <w:spacing w:after="0" w:line="160" w:lineRule="exact"/>
        <w:rPr>
          <w:sz w:val="20"/>
          <w:szCs w:val="20"/>
          <w:color w:val="auto"/>
        </w:rPr>
      </w:pPr>
    </w:p>
    <w:p>
      <w:pPr>
        <w:ind w:left="60" w:right="679"/>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ind w:left="60" w:right="319"/>
        <w:spacing w:after="0" w:line="311" w:lineRule="auto"/>
        <w:rPr>
          <w:rFonts w:ascii="Arial" w:cs="Arial" w:eastAsia="Arial" w:hAnsi="Arial"/>
          <w:sz w:val="16"/>
          <w:szCs w:val="16"/>
          <w:color w:val="0000EE"/>
        </w:rPr>
      </w:pPr>
      <w:r>
        <w:rPr>
          <w:rFonts w:ascii="Arial" w:cs="Arial" w:eastAsia="Arial" w:hAnsi="Arial"/>
          <w:sz w:val="16"/>
          <w:szCs w:val="16"/>
          <w:color w:val="auto"/>
        </w:rPr>
        <w:t xml:space="preserve">Except as described below, there were no material changes during this quarter to the Company’s contractual obligations, commitments, contingencies and off-balance sheet arrangements that are described in Part II, Item 7 of the Company’s </w:t>
      </w:r>
      <w:hyperlink r:id="rId26">
        <w:r>
          <w:rPr>
            <w:rFonts w:ascii="Arial" w:cs="Arial" w:eastAsia="Arial" w:hAnsi="Arial"/>
            <w:sz w:val="16"/>
            <w:szCs w:val="16"/>
            <w:u w:val="single" w:color="auto"/>
            <w:color w:val="0000EE"/>
          </w:rPr>
          <w:t>Annual Report on Form 10-K for the year ended December 31, 2020</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which is incorporated herein by reference.</w:t>
      </w:r>
    </w:p>
    <w:p>
      <w:pPr>
        <w:spacing w:after="0" w:line="149" w:lineRule="exact"/>
        <w:rPr>
          <w:sz w:val="20"/>
          <w:szCs w:val="20"/>
          <w:color w:val="auto"/>
        </w:rPr>
      </w:pPr>
    </w:p>
    <w:p>
      <w:pPr>
        <w:ind w:left="60" w:right="279"/>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Company’s debt is described in Note 6 to the Condensed Consolidated Financial Statements included in the Company’s </w:t>
      </w:r>
      <w:hyperlink r:id="rId36">
        <w:r>
          <w:rPr>
            <w:rFonts w:ascii="Arial" w:cs="Arial" w:eastAsia="Arial" w:hAnsi="Arial"/>
            <w:sz w:val="18"/>
            <w:szCs w:val="18"/>
            <w:u w:val="single" w:color="auto"/>
            <w:color w:val="0000EE"/>
          </w:rPr>
          <w:t>Quarterly Report on Form 10-Q for the three months ended March 31, 2021</w:t>
        </w:r>
      </w:hyperlink>
      <w:r>
        <w:rPr>
          <w:rFonts w:ascii="Arial" w:cs="Arial" w:eastAsia="Arial" w:hAnsi="Arial"/>
          <w:sz w:val="18"/>
          <w:szCs w:val="18"/>
          <w:color w:val="auto"/>
        </w:rPr>
        <w:t>, which is incorporated herein by reference.</w:t>
      </w:r>
    </w:p>
    <w:p>
      <w:pPr>
        <w:spacing w:after="0" w:line="184"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On July 7, 2021, the Company terminated a Bareboat Charter Operating Lease agreement as described in Note 7 of Part I, Item 1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color w:val="auto"/>
        </w:rPr>
        <w:t>The Company’s second quarter 2021 cash dividend of $0.23 per share was paid on June 3, 2021. On June 24, 2021, the Company’s Board of Directors declared a cash dividend of $0.30 per share payable on September 2,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have been no material changes to the Company’s market risk position from the information provided under</w:t>
      </w:r>
    </w:p>
    <w:p>
      <w:pPr>
        <w:spacing w:after="0" w:line="35"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June 30, 2021, the Company’s disclosure controls and procedures are effective.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Rules 13a-15(f) and 15d-15(f) under the Exchange Act) that occurred during the three months ended June 30, 2021, that have materially affected, or are reasonably likely to materially affect, the Company’s internal control over financial reporting.</w:t>
      </w:r>
    </w:p>
    <w:p>
      <w:pPr>
        <w:spacing w:after="0" w:line="165"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During the quarter ended June 30, 2021, the Company implemented the financial modules of a new enterprise resource planning (“ERP”) system intended to enhance operating efficiencies and provide more effective management of its business operations. The Company completed pre-implementation testing and is currently performing post-implementation monitoring of the financial modules to ensure the continued effectiveness of internal controls over financial reporting. As a result of this implementation, certain internal controls over financial reporting have been automated, modified or implemented. While the Company believes the ERP financial modules system will strengthen its internal control environment, there are inherent risks in implementing any new system. The Company will continue to evaluate these internal control changes as part of its assessment of internal controls over financial reporting throughout 2021.</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left="60" w:right="239"/>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segment has certain risks that could result in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for environmental remediation. The Company believes that based on all information available to it, the Company is currently in compliance, in all material respects, with applicable environmental laws and regulations.</w:t>
      </w:r>
    </w:p>
    <w:p>
      <w:pPr>
        <w:spacing w:after="0" w:line="165"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In accordance with SEC rules, with respect to administrative or judicial proceedings involving the environment, the Company has determined that in future filings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spacing w:after="0" w:line="188"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There were no material changes to the Company’s risk factors that are described in Part I, Item 1A, “Risk Factors” of the Company’s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 Purchases of Equity Securities by the Issuer and Affiliated Purchases.</w:t>
      </w:r>
    </w:p>
    <w:p>
      <w:pPr>
        <w:spacing w:after="0" w:line="22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On June 24, 2021, the Company announced that Matson’s Board of Directors had approved a share repurchase program of up to 3.0 million shares of common stock from August 3, 2021 through August 2, 2024.</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70" w:lineRule="exact"/>
        <w:rPr>
          <w:sz w:val="20"/>
          <w:szCs w:val="20"/>
          <w:color w:val="auto"/>
        </w:rPr>
      </w:pPr>
    </w:p>
    <w:p>
      <w:pPr>
        <w:ind w:left="880" w:right="35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9">
        <w:r>
          <w:rPr>
            <w:rFonts w:ascii="Arial" w:cs="Arial" w:eastAsia="Arial" w:hAnsi="Arial"/>
            <w:sz w:val="18"/>
            <w:szCs w:val="18"/>
            <w:u w:val="single" w:color="auto"/>
            <w:color w:val="0000EE"/>
          </w:rPr>
          <w:t>Certification of Chief Executive Officer pursuant to Rule 13a-14(a) or 15d-14(a) of the Securities Exchange</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Act of 1934.</w:t>
        </w:r>
      </w:hyperlink>
    </w:p>
    <w:p>
      <w:pPr>
        <w:spacing w:after="0" w:line="198" w:lineRule="exact"/>
        <w:rPr>
          <w:sz w:val="20"/>
          <w:szCs w:val="20"/>
          <w:color w:val="auto"/>
        </w:rPr>
      </w:pPr>
    </w:p>
    <w:p>
      <w:pPr>
        <w:ind w:left="880" w:right="119" w:hanging="822"/>
        <w:spacing w:after="0" w:line="308"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30">
        <w:r>
          <w:rPr>
            <w:rFonts w:ascii="Arial" w:cs="Arial" w:eastAsia="Arial" w:hAnsi="Arial"/>
            <w:sz w:val="18"/>
            <w:szCs w:val="18"/>
            <w:u w:val="single" w:color="auto"/>
            <w:color w:val="0000EE"/>
          </w:rPr>
          <w:t>Certification of Chief Financial Officer pursuant to Rule 13a-14(a) or 15d-14(a) of the Securities Exchange Act</w:t>
        </w:r>
      </w:hyperlink>
      <w:r>
        <w:rPr>
          <w:rFonts w:ascii="Arial" w:cs="Arial" w:eastAsia="Arial" w:hAnsi="Arial"/>
          <w:sz w:val="18"/>
          <w:szCs w:val="18"/>
          <w:u w:val="single" w:color="auto"/>
          <w:color w:val="0000EE"/>
        </w:rPr>
        <w:t xml:space="preserve"> </w:t>
      </w:r>
      <w:hyperlink w:anchor="page30">
        <w:r>
          <w:rPr>
            <w:rFonts w:ascii="Arial" w:cs="Arial" w:eastAsia="Arial" w:hAnsi="Arial"/>
            <w:sz w:val="18"/>
            <w:szCs w:val="18"/>
            <w:u w:val="single" w:color="auto"/>
            <w:color w:val="0000EE"/>
          </w:rPr>
          <w:t>of 1934.</w:t>
        </w:r>
      </w:hyperlink>
    </w:p>
    <w:p>
      <w:pPr>
        <w:spacing w:after="0" w:line="198" w:lineRule="exact"/>
        <w:rPr>
          <w:sz w:val="20"/>
          <w:szCs w:val="20"/>
          <w:color w:val="auto"/>
        </w:rPr>
      </w:pPr>
    </w:p>
    <w:p>
      <w:pPr>
        <w:ind w:left="880" w:hanging="824"/>
        <w:spacing w:after="0"/>
        <w:tabs>
          <w:tab w:leader="none" w:pos="880" w:val="left"/>
        </w:tabs>
        <w:numPr>
          <w:ilvl w:val="0"/>
          <w:numId w:val="25"/>
        </w:numPr>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Certification of Chief Executive Officer and Chief Financial Officer pursuant to 18 U.S.C. Section 1350.</w:t>
        </w:r>
      </w:hyperlink>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7760" w:type="dxa"/>
            <w:vAlign w:val="bottom"/>
          </w:tcPr>
          <w:p>
            <w:pPr>
              <w:ind w:left="8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w:t>
            </w:r>
          </w:p>
        </w:tc>
      </w:tr>
      <w:tr>
        <w:trPr>
          <w:trHeight w:val="243"/>
        </w:trPr>
        <w:tc>
          <w:tcPr>
            <w:tcW w:w="740" w:type="dxa"/>
            <w:vAlign w:val="bottom"/>
          </w:tcPr>
          <w:p>
            <w:pPr>
              <w:spacing w:after="0"/>
              <w:rPr>
                <w:sz w:val="21"/>
                <w:szCs w:val="21"/>
                <w:color w:val="auto"/>
              </w:rPr>
            </w:pPr>
          </w:p>
        </w:tc>
        <w:tc>
          <w:tcPr>
            <w:tcW w:w="7760" w:type="dxa"/>
            <w:vAlign w:val="bottom"/>
          </w:tcPr>
          <w:p>
            <w:pPr>
              <w:ind w:left="80"/>
              <w:spacing w:after="0"/>
              <w:rPr>
                <w:sz w:val="20"/>
                <w:szCs w:val="20"/>
                <w:color w:val="auto"/>
              </w:rPr>
            </w:pPr>
            <w:r>
              <w:rPr>
                <w:rFonts w:ascii="Arial" w:cs="Arial" w:eastAsia="Arial" w:hAnsi="Arial"/>
                <w:sz w:val="18"/>
                <w:szCs w:val="18"/>
                <w:color w:val="auto"/>
              </w:rPr>
              <w:t>XBRL tags are embedded within the Inline XBRL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77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56" w:lineRule="exact"/>
        <w:rPr>
          <w:sz w:val="20"/>
          <w:szCs w:val="20"/>
          <w:color w:val="auto"/>
        </w:rPr>
      </w:pPr>
    </w:p>
    <w:p>
      <w:pPr>
        <w:ind w:left="880" w:hanging="8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included as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6"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120" w:val="left"/>
        </w:tabs>
        <w:rPr>
          <w:sz w:val="20"/>
          <w:szCs w:val="20"/>
          <w:color w:val="auto"/>
        </w:rPr>
      </w:pPr>
      <w:r>
        <w:rPr>
          <w:rFonts w:ascii="Arial" w:cs="Arial" w:eastAsia="Arial" w:hAnsi="Arial"/>
          <w:sz w:val="18"/>
          <w:szCs w:val="18"/>
          <w:color w:val="auto"/>
        </w:rPr>
        <w:t>Date: July 30, 2021</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Joel M. Wine</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Executive Vice President and</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22" w:lineRule="exact"/>
        <w:rPr>
          <w:sz w:val="20"/>
          <w:szCs w:val="20"/>
          <w:color w:val="auto"/>
        </w:rPr>
      </w:pPr>
    </w:p>
    <w:p>
      <w:pPr>
        <w:ind w:left="60"/>
        <w:spacing w:after="0"/>
        <w:tabs>
          <w:tab w:leader="none" w:pos="6060" w:val="left"/>
        </w:tabs>
        <w:rPr>
          <w:sz w:val="20"/>
          <w:szCs w:val="20"/>
          <w:color w:val="auto"/>
        </w:rPr>
      </w:pPr>
      <w:r>
        <w:rPr>
          <w:rFonts w:ascii="Arial" w:cs="Arial" w:eastAsia="Arial" w:hAnsi="Arial"/>
          <w:sz w:val="18"/>
          <w:szCs w:val="18"/>
          <w:color w:val="auto"/>
        </w:rPr>
        <w:t>Date: July 30, 2021</w:t>
      </w:r>
      <w:r>
        <w:rPr>
          <w:sz w:val="20"/>
          <w:szCs w:val="20"/>
          <w:color w:val="auto"/>
        </w:rPr>
        <w:tab/>
      </w:r>
      <w:r>
        <w:rPr>
          <w:rFonts w:ascii="Arial" w:cs="Arial" w:eastAsia="Arial" w:hAnsi="Arial"/>
          <w:sz w:val="16"/>
          <w:szCs w:val="16"/>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2820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30"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Kevin L. Stuck</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Vice President and Controller</w:t>
      </w:r>
    </w:p>
    <w:p>
      <w:pPr>
        <w:spacing w:after="0" w:line="36" w:lineRule="exact"/>
        <w:rPr>
          <w:sz w:val="20"/>
          <w:szCs w:val="20"/>
          <w:color w:val="auto"/>
        </w:rPr>
      </w:pPr>
    </w:p>
    <w:p>
      <w:pPr>
        <w:jc w:val="center"/>
        <w:ind w:left="44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8800"/>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19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98" w:lineRule="exact"/>
        <w:rPr>
          <w:rFonts w:ascii="Arial" w:cs="Arial" w:eastAsia="Arial" w:hAnsi="Arial"/>
          <w:sz w:val="18"/>
          <w:szCs w:val="18"/>
          <w:color w:val="auto"/>
        </w:rPr>
      </w:pPr>
    </w:p>
    <w:p>
      <w:pPr>
        <w:ind w:right="420" w:firstLine="8"/>
        <w:spacing w:after="0" w:line="24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right="100" w:firstLine="8"/>
        <w:spacing w:after="0" w:line="24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right="500" w:firstLine="8"/>
        <w:spacing w:after="0" w:line="248"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right="100" w:firstLine="8"/>
        <w:spacing w:after="0" w:line="270" w:lineRule="auto"/>
        <w:tabs>
          <w:tab w:leader="none" w:pos="648"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right="200" w:firstLine="8"/>
        <w:spacing w:after="0" w:line="24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80" w:firstLine="8"/>
        <w:spacing w:after="0" w:line="248" w:lineRule="auto"/>
        <w:tabs>
          <w:tab w:leader="none" w:pos="6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43"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240" w:firstLine="8"/>
        <w:spacing w:after="0" w:line="248" w:lineRule="auto"/>
        <w:tabs>
          <w:tab w:leader="none" w:pos="6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right="40" w:firstLine="8"/>
        <w:spacing w:after="0" w:line="324" w:lineRule="auto"/>
        <w:tabs>
          <w:tab w:leader="none" w:pos="6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right="60" w:firstLine="8"/>
        <w:spacing w:after="0" w:line="261"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6350</wp:posOffset>
            </wp:positionV>
            <wp:extent cx="29229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Matthew J. Cox, Chairman and</w:t>
      </w:r>
    </w:p>
    <w:p>
      <w:pPr>
        <w:ind w:left="53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ind w:left="880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198"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98" w:lineRule="exact"/>
        <w:rPr>
          <w:rFonts w:ascii="Arial" w:cs="Arial" w:eastAsia="Arial" w:hAnsi="Arial"/>
          <w:sz w:val="18"/>
          <w:szCs w:val="18"/>
          <w:color w:val="auto"/>
        </w:rPr>
      </w:pPr>
    </w:p>
    <w:p>
      <w:pPr>
        <w:ind w:right="420" w:firstLine="8"/>
        <w:spacing w:after="0" w:line="24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right="100" w:firstLine="8"/>
        <w:spacing w:after="0" w:line="24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right="500" w:firstLine="8"/>
        <w:spacing w:after="0" w:line="248"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sz w:val="20"/>
          <w:szCs w:val="20"/>
          <w:color w:val="auto"/>
        </w:rPr>
      </w:pPr>
    </w:p>
    <w:p>
      <w:pPr>
        <w:ind w:right="100" w:firstLine="8"/>
        <w:spacing w:after="0" w:line="270" w:lineRule="auto"/>
        <w:tabs>
          <w:tab w:leader="none" w:pos="648"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right="200" w:firstLine="8"/>
        <w:spacing w:after="0" w:line="248"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ind w:right="280" w:firstLine="8"/>
        <w:spacing w:after="0" w:line="248"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w:t>
      </w:r>
    </w:p>
    <w:p>
      <w:pPr>
        <w:spacing w:after="0" w:line="23" w:lineRule="exact"/>
        <w:rPr>
          <w:rFonts w:ascii="Arial" w:cs="Arial" w:eastAsia="Arial" w:hAnsi="Arial"/>
          <w:sz w:val="17"/>
          <w:szCs w:val="17"/>
          <w:color w:val="auto"/>
        </w:rPr>
      </w:pPr>
    </w:p>
    <w:p>
      <w:pPr>
        <w:ind w:right="100"/>
        <w:spacing w:after="0" w:line="243" w:lineRule="auto"/>
        <w:rPr>
          <w:rFonts w:ascii="Arial" w:cs="Arial" w:eastAsia="Arial" w:hAnsi="Arial"/>
          <w:sz w:val="17"/>
          <w:szCs w:val="17"/>
          <w:color w:val="auto"/>
        </w:rPr>
      </w:pPr>
      <w:r>
        <w:rPr>
          <w:rFonts w:ascii="Arial" w:cs="Arial" w:eastAsia="Arial" w:hAnsi="Arial"/>
          <w:sz w:val="18"/>
          <w:szCs w:val="18"/>
          <w:color w:val="auto"/>
        </w:rPr>
        <w:t>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sz w:val="20"/>
          <w:szCs w:val="20"/>
          <w:color w:val="auto"/>
        </w:rPr>
      </w:pPr>
    </w:p>
    <w:p>
      <w:pPr>
        <w:ind w:right="240" w:firstLine="8"/>
        <w:spacing w:after="0" w:line="248" w:lineRule="auto"/>
        <w:tabs>
          <w:tab w:leader="none" w:pos="6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sz w:val="20"/>
          <w:szCs w:val="20"/>
          <w:color w:val="auto"/>
        </w:rPr>
      </w:pPr>
    </w:p>
    <w:p>
      <w:pPr>
        <w:ind w:right="40" w:firstLine="8"/>
        <w:spacing w:after="0" w:line="324" w:lineRule="auto"/>
        <w:tabs>
          <w:tab w:leader="none" w:pos="64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right="60" w:firstLine="8"/>
        <w:spacing w:after="0" w:line="261"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96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6350</wp:posOffset>
            </wp:positionV>
            <wp:extent cx="29146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Joel M. Wine, Executive Vice President and</w:t>
      </w:r>
    </w:p>
    <w:p>
      <w:pPr>
        <w:ind w:left="53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ind w:left="7960"/>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02" w:lineRule="exact"/>
        <w:rPr>
          <w:sz w:val="20"/>
          <w:szCs w:val="20"/>
          <w:color w:val="auto"/>
        </w:rPr>
      </w:pPr>
    </w:p>
    <w:p>
      <w:pPr>
        <w:ind w:left="60" w:right="259"/>
        <w:spacing w:after="0" w:line="284" w:lineRule="auto"/>
        <w:rPr>
          <w:sz w:val="20"/>
          <w:szCs w:val="20"/>
          <w:color w:val="auto"/>
        </w:rPr>
      </w:pPr>
      <w:r>
        <w:rPr>
          <w:rFonts w:ascii="Arial" w:cs="Arial" w:eastAsia="Arial" w:hAnsi="Arial"/>
          <w:sz w:val="16"/>
          <w:szCs w:val="16"/>
          <w:color w:val="auto"/>
        </w:rPr>
        <w:t>In connection with the Quarterly Report on Form 10-Q of Matson, Inc. (the “Company”) for the quarterly period ended June 30, 2021,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spacing w:after="0" w:line="142" w:lineRule="exact"/>
        <w:rPr>
          <w:sz w:val="20"/>
          <w:szCs w:val="20"/>
          <w:color w:val="auto"/>
        </w:rPr>
      </w:pPr>
    </w:p>
    <w:p>
      <w:pPr>
        <w:ind w:left="60" w:right="519" w:hanging="10"/>
        <w:spacing w:after="0" w:line="261" w:lineRule="auto"/>
        <w:tabs>
          <w:tab w:leader="none" w:pos="7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0" w:right="99" w:hanging="10"/>
        <w:spacing w:after="0" w:line="261" w:lineRule="auto"/>
        <w:tabs>
          <w:tab w:leader="none" w:pos="7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9832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Matthew J. Cox</w:t>
      </w:r>
    </w:p>
    <w:p>
      <w:pPr>
        <w:ind w:left="60"/>
        <w:spacing w:after="0" w:line="234" w:lineRule="auto"/>
        <w:tabs>
          <w:tab w:leader="none" w:pos="620" w:val="left"/>
        </w:tabs>
        <w:rPr>
          <w:sz w:val="20"/>
          <w:szCs w:val="20"/>
          <w:color w:val="auto"/>
        </w:rPr>
      </w:pPr>
      <w:r>
        <w:rPr>
          <w:rFonts w:ascii="Arial" w:cs="Arial" w:eastAsia="Arial" w:hAnsi="Arial"/>
          <w:sz w:val="18"/>
          <w:szCs w:val="18"/>
          <w:color w:val="auto"/>
        </w:rPr>
        <w:t>Title:</w:t>
        <w:tab/>
        <w:t>Chairman and Chief Executive Officer</w:t>
      </w:r>
    </w:p>
    <w:p>
      <w:pPr>
        <w:spacing w:after="0" w:line="1"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July 30, 2021</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983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Joel M. Wine</w:t>
      </w:r>
    </w:p>
    <w:p>
      <w:pPr>
        <w:ind w:left="60"/>
        <w:spacing w:after="0" w:line="234" w:lineRule="auto"/>
        <w:tabs>
          <w:tab w:leader="none" w:pos="620" w:val="left"/>
        </w:tabs>
        <w:rPr>
          <w:sz w:val="20"/>
          <w:szCs w:val="20"/>
          <w:color w:val="auto"/>
        </w:rPr>
      </w:pPr>
      <w:r>
        <w:rPr>
          <w:rFonts w:ascii="Arial" w:cs="Arial" w:eastAsia="Arial" w:hAnsi="Arial"/>
          <w:sz w:val="18"/>
          <w:szCs w:val="18"/>
          <w:color w:val="auto"/>
        </w:rPr>
        <w:t>Title:</w:t>
        <w:tab/>
        <w:t>Executive Vice President and Chief Financial Officer</w:t>
      </w:r>
    </w:p>
    <w:p>
      <w:pPr>
        <w:spacing w:after="0" w:line="1" w:lineRule="exact"/>
        <w:rPr>
          <w:sz w:val="20"/>
          <w:szCs w:val="20"/>
          <w:color w:val="auto"/>
        </w:rPr>
      </w:pPr>
    </w:p>
    <w:p>
      <w:pPr>
        <w:ind w:left="60"/>
        <w:spacing w:after="0"/>
        <w:tabs>
          <w:tab w:leader="none" w:pos="620" w:val="left"/>
        </w:tabs>
        <w:rPr>
          <w:sz w:val="20"/>
          <w:szCs w:val="20"/>
          <w:color w:val="auto"/>
        </w:rPr>
      </w:pPr>
      <w:r>
        <w:rPr>
          <w:rFonts w:ascii="Arial" w:cs="Arial" w:eastAsia="Arial" w:hAnsi="Arial"/>
          <w:sz w:val="18"/>
          <w:szCs w:val="18"/>
          <w:color w:val="auto"/>
        </w:rPr>
        <w:t>Date:</w:t>
        <w:tab/>
        <w:t>July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
      <w:numFmt w:val="bullet"/>
      <w:start w:val="1"/>
    </w:lvl>
  </w:abstractNum>
  <w:abstractNum w:abstractNumId="8">
    <w:nsid w:val="721DA317"/>
    <w:multiLevelType w:val="hybridMultilevel"/>
    <w:lvl w:ilvl="0">
      <w:lvlJc w:val="left"/>
      <w:lvlText w:val=" "/>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3"/>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4"/>
    </w:lvl>
  </w:abstractNum>
  <w:abstractNum w:abstractNumId="13">
    <w:nsid w:val="8EDBDAB"/>
    <w:multiLevelType w:val="hybridMultilevel"/>
    <w:lvl w:ilvl="0">
      <w:lvlJc w:val="left"/>
      <w:lvlText w:val="%1."/>
      <w:numFmt w:val="decimal"/>
      <w:start w:val="5"/>
    </w:lvl>
  </w:abstractNum>
  <w:abstractNum w:abstractNumId="14">
    <w:nsid w:val="79838CB2"/>
    <w:multiLevelType w:val="hybridMultilevel"/>
    <w:lvl w:ilvl="0">
      <w:lvlJc w:val="left"/>
      <w:lvlText w:val="%1."/>
      <w:numFmt w:val="decimal"/>
      <w:start w:val="6"/>
    </w:lvl>
  </w:abstractNum>
  <w:abstractNum w:abstractNumId="15">
    <w:nsid w:val="4353D0CD"/>
    <w:multiLevelType w:val="hybridMultilevel"/>
    <w:lvl w:ilvl="0">
      <w:lvlJc w:val="left"/>
      <w:lvlText w:val="%1."/>
      <w:numFmt w:val="decimal"/>
      <w:start w:val="7"/>
    </w:lvl>
  </w:abstractNum>
  <w:abstractNum w:abstractNumId="16">
    <w:nsid w:val="B03E0C6"/>
    <w:multiLevelType w:val="hybridMultilevel"/>
    <w:lvl w:ilvl="0">
      <w:lvlJc w:val="left"/>
      <w:lvlText w:val="%1."/>
      <w:numFmt w:val="decimal"/>
      <w:start w:val="8"/>
    </w:lvl>
  </w:abstractNum>
  <w:abstractNum w:abstractNumId="17">
    <w:nsid w:val="189A769B"/>
    <w:multiLevelType w:val="hybridMultilevel"/>
    <w:lvl w:ilvl="0">
      <w:lvlJc w:val="left"/>
      <w:lvlText w:val="%1."/>
      <w:numFmt w:val="decimal"/>
      <w:start w:val="9"/>
    </w:lvl>
  </w:abstractNum>
  <w:abstractNum w:abstractNumId="18">
    <w:nsid w:val="54E49EB4"/>
    <w:multiLevelType w:val="hybridMultilevel"/>
    <w:lvl w:ilvl="0">
      <w:lvlJc w:val="left"/>
      <w:lvlText w:val="%1."/>
      <w:numFmt w:val="decimal"/>
      <w:start w:val="10"/>
    </w:lvl>
  </w:abstractNum>
  <w:abstractNum w:abstractNumId="19">
    <w:nsid w:val="71F32454"/>
    <w:multiLevelType w:val="hybridMultilevel"/>
    <w:lvl w:ilvl="0">
      <w:lvlJc w:val="left"/>
      <w:lvlText w:val="%1."/>
      <w:numFmt w:val="decimal"/>
      <w:start w:val="11"/>
    </w:lvl>
  </w:abstractNum>
  <w:abstractNum w:abstractNumId="20">
    <w:nsid w:val="2CA88611"/>
    <w:multiLevelType w:val="hybridMultilevel"/>
    <w:lvl w:ilvl="0">
      <w:lvlJc w:val="left"/>
      <w:lvlText w:val="%1."/>
      <w:numFmt w:val="decimal"/>
      <w:start w:val="12"/>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32"/>
    </w:lvl>
  </w:abstractNum>
  <w:abstractNum w:abstractNumId="25">
    <w:nsid w:val="1E7FF521"/>
    <w:multiLevelType w:val="hybridMultilevel"/>
    <w:lvl w:ilvl="0">
      <w:lvlJc w:val="left"/>
      <w:lvlText w:val="%1"/>
      <w:numFmt w:val="decimal"/>
      <w:start w:val="104"/>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decimal"/>
      <w:start w:val="5"/>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lowerLetter"/>
      <w:start w:val="1"/>
    </w:lvl>
  </w:abstractNum>
  <w:abstractNum w:abstractNumId="32">
    <w:nsid w:val="614FD4A1"/>
    <w:multiLevelType w:val="hybridMultilevel"/>
    <w:lvl w:ilvl="0">
      <w:lvlJc w:val="left"/>
      <w:lvlText w:val="%1."/>
      <w:numFmt w:val="decimal"/>
      <w:start w:val="5"/>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26" Type="http://schemas.openxmlformats.org/officeDocument/2006/relationships/hyperlink" Target="https://www.sec.gov/ix?doc=/Archives/edgar/data/3453/000155837021001909/matx-20201231x10k.htm" TargetMode="External"/><Relationship Id="rId36" Type="http://schemas.openxmlformats.org/officeDocument/2006/relationships/hyperlink" Target="https://www.sec.gov/ix?doc=/Archives/edgar/data/3453/000155837021004977/matx-20210331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2021-07-30T06:36:47Z</dcterms:created>
  <dcterms:modified xsi:type="dcterms:W3CDTF">2021-07-30T06:36:47Z</dcterms:modified>
</cp:coreProperties>
</file>