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400685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99" w:lineRule="exact"/>
        <w:rPr>
          <w:sz w:val="24"/>
          <w:szCs w:val="24"/>
          <w:color w:val="auto"/>
        </w:rPr>
      </w:pPr>
    </w:p>
    <w:p>
      <w:pPr>
        <w:ind w:left="800" w:hanging="485"/>
        <w:spacing w:after="0"/>
        <w:tabs>
          <w:tab w:leader="none" w:pos="8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73" w:lineRule="exact"/>
        <w:rPr>
          <w:sz w:val="24"/>
          <w:szCs w:val="24"/>
          <w:color w:val="auto"/>
        </w:rPr>
      </w:pPr>
    </w:p>
    <w:p>
      <w:pPr>
        <w:ind w:left="800" w:hanging="485"/>
        <w:spacing w:after="0"/>
        <w:tabs>
          <w:tab w:leader="none" w:pos="8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0380"/>
          </w:cols>
          <w:pgMar w:left="760" w:top="233" w:right="759" w:bottom="1440" w:gutter="0" w:footer="0" w:header="0"/>
        </w:sectPr>
      </w:pPr>
    </w:p>
    <w:p>
      <w:pPr>
        <w:spacing w:after="0" w:line="97" w:lineRule="exact"/>
        <w:rPr>
          <w:sz w:val="24"/>
          <w:szCs w:val="24"/>
          <w:color w:val="auto"/>
        </w:rPr>
      </w:pPr>
    </w:p>
    <w:p>
      <w:pPr>
        <w:ind w:left="376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91" w:lineRule="exact"/>
        <w:rPr>
          <w:sz w:val="24"/>
          <w:szCs w:val="24"/>
          <w:color w:val="auto"/>
        </w:rPr>
      </w:pPr>
    </w:p>
    <w:p>
      <w:pPr>
        <w:sectPr>
          <w:pgSz w:w="11900" w:h="16838" w:orient="portrait"/>
          <w:cols w:equalWidth="0" w:num="2">
            <w:col w:w="5620" w:space="580"/>
            <w:col w:w="4180"/>
          </w:cols>
          <w:pgMar w:left="760" w:top="233" w:right="75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Commission file number 001-34187</w:t>
      </w:r>
    </w:p>
    <w:p>
      <w:pPr>
        <w:sectPr>
          <w:pgSz w:w="11900" w:h="16838" w:orient="portrait"/>
          <w:cols w:equalWidth="0" w:num="1">
            <w:col w:w="10380"/>
          </w:cols>
          <w:pgMar w:left="760" w:top="233" w:right="759" w:bottom="1440" w:gutter="0" w:footer="0" w:header="0"/>
          <w:type w:val="continuous"/>
        </w:sectPr>
      </w:pPr>
    </w:p>
    <w:p>
      <w:pPr>
        <w:spacing w:after="0" w:line="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Matson,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ectPr>
          <w:pgSz w:w="11900" w:h="16838" w:orient="portrait"/>
          <w:cols w:equalWidth="0" w:num="1">
            <w:col w:w="10380"/>
          </w:cols>
          <w:pgMar w:left="760" w:top="233" w:right="759" w:bottom="1440" w:gutter="0" w:footer="0" w:header="0"/>
          <w:type w:val="continuous"/>
        </w:sectPr>
      </w:pPr>
    </w:p>
    <w:p>
      <w:pPr>
        <w:spacing w:after="0" w:line="64" w:lineRule="exact"/>
        <w:rPr>
          <w:sz w:val="24"/>
          <w:szCs w:val="24"/>
          <w:color w:val="auto"/>
        </w:rPr>
      </w:pPr>
    </w:p>
    <w:p>
      <w:pPr>
        <w:ind w:left="2320"/>
        <w:spacing w:after="0"/>
        <w:rPr>
          <w:sz w:val="20"/>
          <w:szCs w:val="20"/>
          <w:color w:val="auto"/>
        </w:rPr>
      </w:pPr>
      <w:r>
        <w:rPr>
          <w:rFonts w:ascii="Arial" w:cs="Arial" w:eastAsia="Arial" w:hAnsi="Arial"/>
          <w:sz w:val="14"/>
          <w:szCs w:val="14"/>
          <w:b w:val="1"/>
          <w:bCs w:val="1"/>
          <w:color w:val="auto"/>
        </w:rPr>
        <w:t>Hawaii</w:t>
      </w:r>
    </w:p>
    <w:p>
      <w:pPr>
        <w:spacing w:after="0" w:line="3" w:lineRule="exact"/>
        <w:rPr>
          <w:sz w:val="24"/>
          <w:szCs w:val="24"/>
          <w:color w:val="auto"/>
        </w:rPr>
      </w:pPr>
    </w:p>
    <w:p>
      <w:pPr>
        <w:ind w:left="1720"/>
        <w:spacing w:after="0"/>
        <w:rPr>
          <w:sz w:val="20"/>
          <w:szCs w:val="20"/>
          <w:color w:val="auto"/>
        </w:rPr>
      </w:pPr>
      <w:r>
        <w:rPr>
          <w:rFonts w:ascii="Arial" w:cs="Arial" w:eastAsia="Arial" w:hAnsi="Arial"/>
          <w:sz w:val="13"/>
          <w:szCs w:val="13"/>
          <w:color w:val="auto"/>
        </w:rPr>
        <w:t>(State or other jurisdiction of</w:t>
      </w:r>
    </w:p>
    <w:p>
      <w:pPr>
        <w:ind w:left="168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99-0032630</w:t>
      </w:r>
    </w:p>
    <w:p>
      <w:pPr>
        <w:jc w:val="center"/>
        <w:ind w:right="2000"/>
        <w:spacing w:after="0" w:line="226" w:lineRule="auto"/>
        <w:rPr>
          <w:sz w:val="20"/>
          <w:szCs w:val="20"/>
          <w:color w:val="auto"/>
        </w:rPr>
      </w:pPr>
      <w:r>
        <w:rPr>
          <w:rFonts w:ascii="Arial" w:cs="Arial" w:eastAsia="Arial" w:hAnsi="Arial"/>
          <w:sz w:val="14"/>
          <w:szCs w:val="14"/>
          <w:color w:val="auto"/>
        </w:rPr>
        <w:t>(I.R.S. Employer</w:t>
      </w:r>
    </w:p>
    <w:p>
      <w:pPr>
        <w:spacing w:after="0" w:line="1" w:lineRule="exact"/>
        <w:rPr>
          <w:sz w:val="24"/>
          <w:szCs w:val="24"/>
          <w:color w:val="auto"/>
        </w:rPr>
      </w:pPr>
    </w:p>
    <w:p>
      <w:pPr>
        <w:jc w:val="center"/>
        <w:ind w:right="2000"/>
        <w:spacing w:after="0"/>
        <w:rPr>
          <w:sz w:val="20"/>
          <w:szCs w:val="20"/>
          <w:color w:val="auto"/>
        </w:rPr>
      </w:pPr>
      <w:r>
        <w:rPr>
          <w:rFonts w:ascii="Arial" w:cs="Arial" w:eastAsia="Arial" w:hAnsi="Arial"/>
          <w:sz w:val="13"/>
          <w:szCs w:val="13"/>
          <w:color w:val="auto"/>
        </w:rPr>
        <w:t>Identification No.)</w:t>
      </w:r>
    </w:p>
    <w:p>
      <w:pPr>
        <w:spacing w:after="0" w:line="64" w:lineRule="exact"/>
        <w:rPr>
          <w:sz w:val="24"/>
          <w:szCs w:val="24"/>
          <w:color w:val="auto"/>
        </w:rPr>
      </w:pPr>
    </w:p>
    <w:p>
      <w:pPr>
        <w:sectPr>
          <w:pgSz w:w="11900" w:h="16838" w:orient="portrait"/>
          <w:cols w:equalWidth="0" w:num="2">
            <w:col w:w="6600" w:space="720"/>
            <w:col w:w="3060"/>
          </w:cols>
          <w:pgMar w:left="760" w:top="233" w:right="75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1411 Sand Island Parkway</w:t>
      </w:r>
    </w:p>
    <w:p>
      <w:pPr>
        <w:jc w:val="center"/>
        <w:spacing w:after="0" w:line="226" w:lineRule="auto"/>
        <w:rPr>
          <w:sz w:val="20"/>
          <w:szCs w:val="20"/>
          <w:color w:val="auto"/>
        </w:rPr>
      </w:pPr>
      <w:r>
        <w:rPr>
          <w:rFonts w:ascii="Arial" w:cs="Arial" w:eastAsia="Arial" w:hAnsi="Arial"/>
          <w:sz w:val="14"/>
          <w:szCs w:val="14"/>
          <w:b w:val="1"/>
          <w:bCs w:val="1"/>
          <w:color w:val="auto"/>
        </w:rPr>
        <w:t>Honolulu, HI 96819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and zip code)</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(808) 848-1211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57" w:lineRule="exact"/>
        <w:rPr>
          <w:sz w:val="24"/>
          <w:szCs w:val="24"/>
          <w:color w:val="auto"/>
        </w:rPr>
      </w:pPr>
    </w:p>
    <w:p>
      <w:pPr>
        <w:ind w:left="32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69" w:lineRule="exact"/>
        <w:rPr>
          <w:sz w:val="24"/>
          <w:szCs w:val="24"/>
          <w:color w:val="auto"/>
        </w:rPr>
      </w:pPr>
    </w:p>
    <w:tbl>
      <w:tblPr>
        <w:tblLayout w:type="fixed"/>
        <w:tblInd w:w="320" w:type="dxa"/>
        <w:tblCellMar>
          <w:top w:w="0" w:type="dxa"/>
          <w:left w:w="0" w:type="dxa"/>
          <w:bottom w:w="0" w:type="dxa"/>
          <w:right w:w="0" w:type="dxa"/>
        </w:tblCellMar>
      </w:tblPr>
      <w:tr>
        <w:trPr>
          <w:trHeight w:val="126"/>
        </w:trPr>
        <w:tc>
          <w:tcPr>
            <w:tcW w:w="4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40" w:type="dxa"/>
            <w:vAlign w:val="bottom"/>
          </w:tcPr>
          <w:p>
            <w:pPr>
              <w:jc w:val="center"/>
              <w:spacing w:after="0"/>
              <w:rPr>
                <w:sz w:val="20"/>
                <w:szCs w:val="20"/>
                <w:color w:val="auto"/>
              </w:rPr>
            </w:pPr>
            <w:r>
              <w:rPr>
                <w:rFonts w:ascii="Arial" w:cs="Arial" w:eastAsia="Arial" w:hAnsi="Arial"/>
                <w:sz w:val="11"/>
                <w:szCs w:val="11"/>
                <w:b w:val="1"/>
                <w:bCs w:val="1"/>
                <w:color w:val="auto"/>
                <w:w w:val="84"/>
              </w:rPr>
              <w:t>Name of each exchange</w:t>
            </w:r>
          </w:p>
        </w:tc>
        <w:tc>
          <w:tcPr>
            <w:tcW w:w="0" w:type="dxa"/>
            <w:vAlign w:val="bottom"/>
          </w:tcPr>
          <w:p>
            <w:pPr>
              <w:spacing w:after="0"/>
              <w:rPr>
                <w:sz w:val="1"/>
                <w:szCs w:val="1"/>
                <w:color w:val="auto"/>
              </w:rPr>
            </w:pPr>
          </w:p>
        </w:tc>
      </w:tr>
      <w:tr>
        <w:trPr>
          <w:trHeight w:val="135"/>
        </w:trPr>
        <w:tc>
          <w:tcPr>
            <w:tcW w:w="4060" w:type="dxa"/>
            <w:vAlign w:val="bottom"/>
            <w:tcBorders>
              <w:bottom w:val="single" w:sz="8" w:color="auto"/>
            </w:tcBorders>
          </w:tcPr>
          <w:p>
            <w:pPr>
              <w:jc w:val="center"/>
              <w:ind w:left="714"/>
              <w:spacing w:after="0"/>
              <w:rPr>
                <w:sz w:val="20"/>
                <w:szCs w:val="20"/>
                <w:color w:val="auto"/>
              </w:rPr>
            </w:pPr>
            <w:r>
              <w:rPr>
                <w:rFonts w:ascii="Arial" w:cs="Arial" w:eastAsia="Arial" w:hAnsi="Arial"/>
                <w:sz w:val="11"/>
                <w:szCs w:val="11"/>
                <w:b w:val="1"/>
                <w:bCs w:val="1"/>
                <w:color w:val="auto"/>
                <w:w w:val="84"/>
              </w:rPr>
              <w:t>Title of each class</w:t>
            </w:r>
          </w:p>
        </w:tc>
        <w:tc>
          <w:tcPr>
            <w:tcW w:w="7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on which registered</w:t>
            </w:r>
          </w:p>
        </w:tc>
        <w:tc>
          <w:tcPr>
            <w:tcW w:w="0" w:type="dxa"/>
            <w:vAlign w:val="bottom"/>
          </w:tcPr>
          <w:p>
            <w:pPr>
              <w:spacing w:after="0"/>
              <w:rPr>
                <w:sz w:val="1"/>
                <w:szCs w:val="1"/>
                <w:color w:val="auto"/>
              </w:rPr>
            </w:pPr>
          </w:p>
        </w:tc>
      </w:tr>
      <w:tr>
        <w:trPr>
          <w:trHeight w:val="176"/>
        </w:trPr>
        <w:tc>
          <w:tcPr>
            <w:tcW w:w="4060" w:type="dxa"/>
            <w:vAlign w:val="bottom"/>
          </w:tcPr>
          <w:p>
            <w:pPr>
              <w:jc w:val="center"/>
              <w:ind w:left="714"/>
              <w:spacing w:after="0"/>
              <w:rPr>
                <w:sz w:val="20"/>
                <w:szCs w:val="20"/>
                <w:color w:val="auto"/>
              </w:rPr>
            </w:pPr>
            <w:r>
              <w:rPr>
                <w:rFonts w:ascii="Arial" w:cs="Arial" w:eastAsia="Arial" w:hAnsi="Arial"/>
                <w:sz w:val="14"/>
                <w:szCs w:val="14"/>
                <w:color w:val="auto"/>
                <w:w w:val="93"/>
              </w:rPr>
              <w:t>Common Stock, without par value</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c>
          <w:tcPr>
            <w:tcW w:w="0" w:type="dxa"/>
            <w:vAlign w:val="bottom"/>
          </w:tcPr>
          <w:p>
            <w:pPr>
              <w:spacing w:after="0"/>
              <w:rPr>
                <w:sz w:val="1"/>
                <w:szCs w:val="1"/>
                <w:color w:val="auto"/>
              </w:rPr>
            </w:pPr>
          </w:p>
        </w:tc>
      </w:tr>
      <w:tr>
        <w:trPr>
          <w:trHeight w:val="211"/>
        </w:trPr>
        <w:tc>
          <w:tcPr>
            <w:tcW w:w="4060" w:type="dxa"/>
            <w:vAlign w:val="bottom"/>
          </w:tcPr>
          <w:p>
            <w:pPr>
              <w:spacing w:after="0"/>
              <w:rPr>
                <w:sz w:val="20"/>
                <w:szCs w:val="20"/>
                <w:color w:val="auto"/>
              </w:rPr>
            </w:pPr>
            <w:r>
              <w:rPr>
                <w:rFonts w:ascii="Arial" w:cs="Arial" w:eastAsia="Arial" w:hAnsi="Arial"/>
                <w:sz w:val="14"/>
                <w:szCs w:val="14"/>
                <w:color w:val="auto"/>
              </w:rPr>
              <w:t>Securities registered pursuant to Section 12(g) of the Act:</w:t>
            </w:r>
          </w:p>
        </w:tc>
        <w:tc>
          <w:tcPr>
            <w:tcW w:w="580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None</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5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4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Number of shares of Common Stock outstanding at February 20, 2019:</w:t>
      </w:r>
    </w:p>
    <w:p>
      <w:pPr>
        <w:jc w:val="center"/>
        <w:spacing w:after="0"/>
        <w:rPr>
          <w:sz w:val="20"/>
          <w:szCs w:val="20"/>
          <w:color w:val="auto"/>
        </w:rPr>
      </w:pPr>
      <w:r>
        <w:rPr>
          <w:rFonts w:ascii="Arial" w:cs="Arial" w:eastAsia="Arial" w:hAnsi="Arial"/>
          <w:sz w:val="14"/>
          <w:szCs w:val="14"/>
          <w:b w:val="1"/>
          <w:bCs w:val="1"/>
          <w:color w:val="auto"/>
        </w:rPr>
        <w:t>42,826,203</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Aggregate market value of Common Stock held by non-affiliates at June 30, 2018:</w:t>
      </w:r>
    </w:p>
    <w:p>
      <w:pPr>
        <w:jc w:val="center"/>
        <w:spacing w:after="0"/>
        <w:rPr>
          <w:sz w:val="20"/>
          <w:szCs w:val="20"/>
          <w:color w:val="auto"/>
        </w:rPr>
      </w:pPr>
      <w:r>
        <w:rPr>
          <w:rFonts w:ascii="Arial" w:cs="Arial" w:eastAsia="Arial" w:hAnsi="Arial"/>
          <w:sz w:val="14"/>
          <w:szCs w:val="14"/>
          <w:b w:val="1"/>
          <w:bCs w:val="1"/>
          <w:color w:val="auto"/>
        </w:rPr>
        <w:t>$1,614,645,486</w:t>
      </w:r>
    </w:p>
    <w:p>
      <w:pPr>
        <w:spacing w:after="0" w:line="43" w:lineRule="exact"/>
        <w:rPr>
          <w:sz w:val="24"/>
          <w:szCs w:val="24"/>
          <w:color w:val="auto"/>
        </w:rPr>
      </w:pPr>
    </w:p>
    <w:p>
      <w:pPr>
        <w:ind w:right="2640"/>
        <w:spacing w:after="0" w:line="242"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ind w:right="24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480"/>
        <w:spacing w:after="0" w:line="181"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45" w:lineRule="exact"/>
        <w:rPr>
          <w:sz w:val="24"/>
          <w:szCs w:val="24"/>
          <w:color w:val="auto"/>
        </w:rPr>
      </w:pPr>
    </w:p>
    <w:p>
      <w:pPr>
        <w:ind w:right="4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0380"/>
          </w:cols>
          <w:pgMar w:left="760" w:top="233" w:right="759" w:bottom="1440" w:gutter="0" w:footer="0" w:header="0"/>
          <w:type w:val="continuous"/>
        </w:sectPr>
      </w:pPr>
    </w:p>
    <w:p>
      <w:pPr>
        <w:spacing w:after="0" w:line="25" w:lineRule="exact"/>
        <w:rPr>
          <w:sz w:val="24"/>
          <w:szCs w:val="24"/>
          <w:color w:val="auto"/>
        </w:rPr>
      </w:pPr>
    </w:p>
    <w:p>
      <w:pPr>
        <w:ind w:left="206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6680" w:space="720"/>
            <w:col w:w="2980"/>
          </w:cols>
          <w:pgMar w:left="760" w:top="233" w:right="759" w:bottom="1440" w:gutter="0" w:footer="0" w:header="0"/>
          <w:type w:val="continuous"/>
        </w:sectPr>
      </w:pPr>
    </w:p>
    <w:p>
      <w:pPr>
        <w:ind w:left="210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6360" w:space="720"/>
            <w:col w:w="3300"/>
          </w:cols>
          <w:pgMar w:left="760" w:top="233" w:right="759" w:bottom="1440" w:gutter="0" w:footer="0" w:header="0"/>
          <w:type w:val="continuous"/>
        </w:sectPr>
      </w:pPr>
    </w:p>
    <w:p>
      <w:pPr>
        <w:ind w:left="710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0380"/>
          </w:cols>
          <w:pgMar w:left="760" w:top="233" w:right="759" w:bottom="1440" w:gutter="0" w:footer="0" w:header="0"/>
          <w:type w:val="continuous"/>
        </w:sectPr>
      </w:pPr>
    </w:p>
    <w:p>
      <w:pPr>
        <w:spacing w:after="0" w:line="121" w:lineRule="exact"/>
        <w:rPr>
          <w:sz w:val="24"/>
          <w:szCs w:val="24"/>
          <w:color w:val="auto"/>
        </w:rPr>
      </w:pPr>
    </w:p>
    <w:p>
      <w:pPr>
        <w:ind w:right="3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right="3000"/>
        <w:spacing w:after="0" w:line="22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Documents Incorporated By Reference</w:t>
      </w:r>
    </w:p>
    <w:p>
      <w:pPr>
        <w:spacing w:after="0" w:line="44" w:lineRule="exact"/>
        <w:rPr>
          <w:sz w:val="24"/>
          <w:szCs w:val="24"/>
          <w:color w:val="auto"/>
        </w:rPr>
      </w:pPr>
    </w:p>
    <w:p>
      <w:pPr>
        <w:ind w:right="340"/>
        <w:spacing w:after="0" w:line="259" w:lineRule="auto"/>
        <w:rPr>
          <w:sz w:val="20"/>
          <w:szCs w:val="20"/>
          <w:color w:val="auto"/>
        </w:rPr>
      </w:pPr>
      <w:r>
        <w:rPr>
          <w:rFonts w:ascii="Arial" w:cs="Arial" w:eastAsia="Arial" w:hAnsi="Arial"/>
          <w:sz w:val="14"/>
          <w:szCs w:val="14"/>
          <w:b w:val="1"/>
          <w:bCs w:val="1"/>
          <w:color w:val="auto"/>
        </w:rPr>
        <w:t>The following document is incorporated by reference in Part III of the Annual Report on Form 10-K to the extent described therein: Proxy statement for the annual meeting of shareholders of Matson, Inc. to be held April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59690</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574040</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80"/>
          </w:cols>
          <w:pgMar w:left="760" w:top="233" w:right="7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8"/>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440" w:type="dxa"/>
            <w:vAlign w:val="bottom"/>
            <w:gridSpan w:val="4"/>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777"/>
        </w:trPr>
        <w:tc>
          <w:tcPr>
            <w:tcW w:w="8240" w:type="dxa"/>
            <w:vAlign w:val="bottom"/>
            <w:gridSpan w:val="48"/>
          </w:tcPr>
          <w:p>
            <w:pPr>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4"/>
                <w:szCs w:val="24"/>
                <w:color w:val="auto"/>
              </w:rPr>
            </w:pPr>
          </w:p>
        </w:tc>
      </w:tr>
      <w:tr>
        <w:trPr>
          <w:trHeight w:val="270"/>
        </w:trPr>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Page</w:t>
            </w:r>
          </w:p>
        </w:tc>
      </w:tr>
      <w:tr>
        <w:trPr>
          <w:trHeight w:val="38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15"/>
          </w:tcPr>
          <w:p>
            <w:pPr>
              <w:jc w:val="center"/>
              <w:ind w:right="326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840" w:type="dxa"/>
            <w:vAlign w:val="bottom"/>
          </w:tcPr>
          <w:p>
            <w:pPr>
              <w:spacing w:after="0"/>
              <w:rPr>
                <w:sz w:val="24"/>
                <w:szCs w:val="2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6"/>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Business</w:t>
              </w:r>
            </w:hyperlink>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80" w:type="dxa"/>
            <w:vAlign w:val="bottom"/>
            <w:gridSpan w:val="45"/>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A. Company Overview</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40" w:type="dxa"/>
            <w:vAlign w:val="bottom"/>
            <w:gridSpan w:val="4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 Business Description</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220" w:type="dxa"/>
            <w:vAlign w:val="bottom"/>
          </w:tcPr>
          <w:p>
            <w:pPr>
              <w:jc w:val="right"/>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(1)</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520" w:type="dxa"/>
            <w:vAlign w:val="bottom"/>
            <w:gridSpan w:val="36"/>
          </w:tcPr>
          <w:p>
            <w:pPr>
              <w:ind w:lef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Ocean Transportation Segment</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6"/>
          </w:tcPr>
          <w:p>
            <w:pPr>
              <w:spacing w:after="0"/>
              <w:rPr>
                <w:sz w:val="17"/>
                <w:szCs w:val="17"/>
                <w:color w:val="auto"/>
              </w:rPr>
            </w:pPr>
          </w:p>
        </w:tc>
        <w:tc>
          <w:tcPr>
            <w:tcW w:w="220" w:type="dxa"/>
            <w:vAlign w:val="bottom"/>
          </w:tcPr>
          <w:p>
            <w:pPr>
              <w:jc w:val="right"/>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(2)</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520" w:type="dxa"/>
            <w:vAlign w:val="bottom"/>
            <w:gridSpan w:val="36"/>
          </w:tcPr>
          <w:p>
            <w:pPr>
              <w:ind w:left="20"/>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Logistics Segment</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40" w:type="dxa"/>
            <w:vAlign w:val="bottom"/>
            <w:gridSpan w:val="4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 Employees and Labor Relations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40" w:type="dxa"/>
            <w:vAlign w:val="bottom"/>
            <w:gridSpan w:val="4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 Available Information</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14">
              <w:r>
                <w:rPr>
                  <w:rFonts w:ascii="Arial" w:cs="Arial" w:eastAsia="Arial" w:hAnsi="Arial"/>
                  <w:sz w:val="18"/>
                  <w:szCs w:val="18"/>
                  <w:color w:val="0000EE"/>
                  <w:w w:val="83"/>
                </w:rPr>
                <w:t>Item 1A.</w:t>
              </w:r>
            </w:hyperlink>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0" w:type="dxa"/>
            <w:vAlign w:val="bottom"/>
            <w:gridSpan w:val="4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23">
              <w:r>
                <w:rPr>
                  <w:rFonts w:ascii="Arial" w:cs="Arial" w:eastAsia="Arial" w:hAnsi="Arial"/>
                  <w:sz w:val="18"/>
                  <w:szCs w:val="18"/>
                  <w:color w:val="0000EE"/>
                  <w:w w:val="83"/>
                </w:rPr>
                <w:t>Item 1B.</w:t>
              </w:r>
            </w:hyperlink>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0" w:type="dxa"/>
            <w:vAlign w:val="bottom"/>
            <w:gridSpan w:val="4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0" w:type="dxa"/>
            <w:vAlign w:val="bottom"/>
            <w:gridSpan w:val="4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3.</w:t>
              </w:r>
            </w:hyperlink>
          </w:p>
        </w:tc>
        <w:tc>
          <w:tcPr>
            <w:tcW w:w="2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0" w:type="dxa"/>
            <w:vAlign w:val="bottom"/>
            <w:gridSpan w:val="4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4.</w:t>
              </w:r>
            </w:hyperlink>
          </w:p>
        </w:tc>
        <w:tc>
          <w:tcPr>
            <w:tcW w:w="2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0" w:type="dxa"/>
            <w:vAlign w:val="bottom"/>
            <w:gridSpan w:val="4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15"/>
          </w:tcPr>
          <w:p>
            <w:pPr>
              <w:jc w:val="center"/>
              <w:ind w:right="3280"/>
              <w:spacing w:after="0"/>
              <w:rPr>
                <w:rFonts w:ascii="Arial" w:cs="Arial" w:eastAsia="Arial" w:hAnsi="Arial"/>
                <w:sz w:val="18"/>
                <w:szCs w:val="18"/>
                <w:b w:val="1"/>
                <w:bCs w:val="1"/>
                <w:color w:val="0000EE"/>
                <w:w w:val="99"/>
              </w:rPr>
            </w:pPr>
            <w:hyperlink w:anchor="page25">
              <w:r>
                <w:rPr>
                  <w:rFonts w:ascii="Arial" w:cs="Arial" w:eastAsia="Arial" w:hAnsi="Arial"/>
                  <w:sz w:val="18"/>
                  <w:szCs w:val="18"/>
                  <w:b w:val="1"/>
                  <w:bCs w:val="1"/>
                  <w:color w:val="0000EE"/>
                  <w:w w:val="99"/>
                </w:rPr>
                <w:t>PART II</w:t>
              </w:r>
            </w:hyperlink>
          </w:p>
        </w:tc>
        <w:tc>
          <w:tcPr>
            <w:tcW w:w="84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5.</w:t>
              </w:r>
            </w:hyperlink>
          </w:p>
        </w:tc>
        <w:tc>
          <w:tcPr>
            <w:tcW w:w="2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0" w:type="dxa"/>
            <w:vAlign w:val="bottom"/>
            <w:gridSpan w:val="42"/>
          </w:tcPr>
          <w:p>
            <w:pPr>
              <w:spacing w:after="0"/>
              <w:rPr>
                <w:rFonts w:ascii="Arial" w:cs="Arial" w:eastAsia="Arial" w:hAnsi="Arial"/>
                <w:sz w:val="18"/>
                <w:szCs w:val="18"/>
                <w:color w:val="0000EE"/>
                <w:w w:val="98"/>
              </w:rPr>
            </w:pPr>
            <w:hyperlink w:anchor="page25">
              <w:r>
                <w:rPr>
                  <w:rFonts w:ascii="Arial" w:cs="Arial" w:eastAsia="Arial" w:hAnsi="Arial"/>
                  <w:sz w:val="18"/>
                  <w:szCs w:val="18"/>
                  <w:color w:val="0000EE"/>
                  <w:w w:val="98"/>
                </w:rPr>
                <w:t>Market for Registrant’s Common Equity, Related Stockholder Matters and Issuer Purchases</w:t>
              </w:r>
            </w:hyperlink>
          </w:p>
        </w:tc>
        <w:tc>
          <w:tcPr>
            <w:tcW w:w="84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of Equity Securities</w:t>
              </w:r>
            </w:hyperlink>
          </w:p>
        </w:tc>
        <w:tc>
          <w:tcPr>
            <w:tcW w:w="5740" w:type="dxa"/>
            <w:vAlign w:val="bottom"/>
            <w:gridSpan w:val="3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2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0" w:type="dxa"/>
            <w:vAlign w:val="bottom"/>
            <w:gridSpan w:val="4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7.</w:t>
              </w:r>
            </w:hyperlink>
          </w:p>
        </w:tc>
        <w:tc>
          <w:tcPr>
            <w:tcW w:w="2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0" w:type="dxa"/>
            <w:vAlign w:val="bottom"/>
            <w:gridSpan w:val="4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40">
              <w:r>
                <w:rPr>
                  <w:rFonts w:ascii="Arial" w:cs="Arial" w:eastAsia="Arial" w:hAnsi="Arial"/>
                  <w:sz w:val="18"/>
                  <w:szCs w:val="18"/>
                  <w:color w:val="0000EE"/>
                  <w:w w:val="83"/>
                </w:rPr>
                <w:t>Item 7A.</w:t>
              </w:r>
            </w:hyperlink>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0" w:type="dxa"/>
            <w:vAlign w:val="bottom"/>
            <w:gridSpan w:val="4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8.</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0" w:type="dxa"/>
            <w:vAlign w:val="bottom"/>
            <w:gridSpan w:val="4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Financial Statements and Supplementary Data</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Item 9.</w:t>
              </w:r>
            </w:hyperlink>
          </w:p>
        </w:tc>
        <w:tc>
          <w:tcPr>
            <w:tcW w:w="2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0" w:type="dxa"/>
            <w:vAlign w:val="bottom"/>
            <w:gridSpan w:val="42"/>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Changes in and Disagreements with Accountants on Accounting and Financial Disclosure</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79">
              <w:r>
                <w:rPr>
                  <w:rFonts w:ascii="Arial" w:cs="Arial" w:eastAsia="Arial" w:hAnsi="Arial"/>
                  <w:sz w:val="18"/>
                  <w:szCs w:val="18"/>
                  <w:color w:val="0000EE"/>
                  <w:w w:val="83"/>
                </w:rPr>
                <w:t>Item 9A.</w:t>
              </w:r>
            </w:hyperlink>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0" w:type="dxa"/>
            <w:vAlign w:val="bottom"/>
            <w:gridSpan w:val="42"/>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Controls and Procedures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60" w:type="dxa"/>
            <w:vAlign w:val="bottom"/>
            <w:tcBorders>
              <w:bottom w:val="single" w:sz="8" w:color="0000EE"/>
            </w:tcBorders>
            <w:gridSpan w:val="37"/>
          </w:tcPr>
          <w:p>
            <w:pPr>
              <w:spacing w:after="0" w:line="19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Conclusion Regarding Effectiveness of Disclosure Controls and Procedures</w:t>
              </w:r>
            </w:hyperlink>
          </w:p>
        </w:tc>
        <w:tc>
          <w:tcPr>
            <w:tcW w:w="174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0" w:type="dxa"/>
            <w:vAlign w:val="bottom"/>
            <w:gridSpan w:val="42"/>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Internal Control over Financial Reporting</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Item 9B.</w:t>
              </w:r>
            </w:hyperlink>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Other Information</w:t>
              </w:r>
            </w:hyperlink>
          </w:p>
        </w:tc>
        <w:tc>
          <w:tcPr>
            <w:tcW w:w="4200" w:type="dxa"/>
            <w:vAlign w:val="bottom"/>
            <w:gridSpan w:val="1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bottom w:val="single" w:sz="8" w:color="0000EE"/>
            </w:tcBorders>
            <w:gridSpan w:val="9"/>
          </w:tcPr>
          <w:p>
            <w:pPr>
              <w:jc w:val="center"/>
              <w:ind w:right="20"/>
              <w:spacing w:after="0"/>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PART III</w:t>
              </w:r>
            </w:hyperlink>
          </w:p>
        </w:tc>
        <w:tc>
          <w:tcPr>
            <w:tcW w:w="3220" w:type="dxa"/>
            <w:vAlign w:val="bottom"/>
            <w:gridSpan w:val="8"/>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760" w:type="dxa"/>
            <w:vAlign w:val="bottom"/>
            <w:gridSpan w:val="3"/>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10.</w:t>
              </w:r>
            </w:hyperlink>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0" w:type="dxa"/>
            <w:vAlign w:val="bottom"/>
            <w:gridSpan w:val="4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Directors, Executive Officers and Corporate Governance</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8"/>
          </w:tcPr>
          <w:p>
            <w:pPr>
              <w:spacing w:after="0" w:line="196" w:lineRule="exact"/>
              <w:rPr>
                <w:rFonts w:ascii="Arial" w:cs="Arial" w:eastAsia="Arial" w:hAnsi="Arial"/>
                <w:sz w:val="18"/>
                <w:szCs w:val="18"/>
                <w:color w:val="0000EE"/>
                <w:w w:val="95"/>
              </w:rPr>
            </w:pPr>
            <w:hyperlink w:anchor="page81">
              <w:r>
                <w:rPr>
                  <w:rFonts w:ascii="Arial" w:cs="Arial" w:eastAsia="Arial" w:hAnsi="Arial"/>
                  <w:sz w:val="18"/>
                  <w:szCs w:val="18"/>
                  <w:color w:val="0000EE"/>
                  <w:w w:val="95"/>
                </w:rPr>
                <w:t>A. Directors</w:t>
              </w:r>
            </w:hyperlink>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40" w:type="dxa"/>
            <w:vAlign w:val="bottom"/>
            <w:gridSpan w:val="4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B. Executive Officers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60" w:type="dxa"/>
            <w:vAlign w:val="bottom"/>
            <w:gridSpan w:val="8"/>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40" w:type="dxa"/>
            <w:vAlign w:val="bottom"/>
            <w:gridSpan w:val="4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 Corporate Governance</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60" w:type="dxa"/>
            <w:vAlign w:val="bottom"/>
            <w:gridSpan w:val="8"/>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40" w:type="dxa"/>
            <w:vAlign w:val="bottom"/>
            <w:gridSpan w:val="4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D. Code of Ethics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8"/>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6"/>
              </w:rPr>
            </w:pPr>
            <w:hyperlink w:anchor="page81">
              <w:r>
                <w:rPr>
                  <w:rFonts w:ascii="Arial" w:cs="Arial" w:eastAsia="Arial" w:hAnsi="Arial"/>
                  <w:sz w:val="18"/>
                  <w:szCs w:val="18"/>
                  <w:color w:val="0000EE"/>
                  <w:w w:val="86"/>
                </w:rPr>
                <w:t>Item 11.</w:t>
              </w:r>
            </w:hyperlink>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0" w:type="dxa"/>
            <w:vAlign w:val="bottom"/>
            <w:gridSpan w:val="42"/>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Executive Compensation</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right w:val="single" w:sz="8" w:color="0000EE"/>
            </w:tcBorders>
            <w:gridSpan w:val="11"/>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5"/>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Item 12.</w:t>
              </w:r>
            </w:hyperlink>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0" w:type="dxa"/>
            <w:vAlign w:val="bottom"/>
            <w:gridSpan w:val="42"/>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Security Ownership of Certain Beneficial Owners and Management and Related</w:t>
              </w:r>
            </w:hyperlink>
          </w:p>
        </w:tc>
        <w:tc>
          <w:tcPr>
            <w:tcW w:w="840" w:type="dxa"/>
            <w:vAlign w:val="bottom"/>
          </w:tcPr>
          <w:p>
            <w:pPr>
              <w:spacing w:after="0"/>
              <w:rPr>
                <w:sz w:val="17"/>
                <w:szCs w:val="17"/>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right w:val="single" w:sz="8" w:color="0000EE"/>
            </w:tcBorders>
            <w:gridSpan w:val="11"/>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7"/>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0" w:type="dxa"/>
            <w:vAlign w:val="bottom"/>
            <w:gridSpan w:val="42"/>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Stockholder Matters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right w:val="single" w:sz="8" w:color="0000EE"/>
            </w:tcBorders>
            <w:gridSpan w:val="1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Item 13.</w:t>
              </w:r>
            </w:hyperlink>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0" w:type="dxa"/>
            <w:vAlign w:val="bottom"/>
            <w:gridSpan w:val="42"/>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Certain Relationships and Related Transactions, and Director Independence</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12"/>
            <w:shd w:val="clear" w:color="auto" w:fill="0000EE"/>
          </w:tcPr>
          <w:p>
            <w:pPr>
              <w:spacing w:after="0" w:line="20" w:lineRule="exact"/>
              <w:rPr>
                <w:sz w:val="1"/>
                <w:szCs w:val="1"/>
                <w:color w:val="auto"/>
              </w:rPr>
            </w:pPr>
          </w:p>
        </w:tc>
        <w:tc>
          <w:tcPr>
            <w:tcW w:w="720" w:type="dxa"/>
            <w:vAlign w:val="bottom"/>
            <w:tcBorders>
              <w:left w:val="single" w:sz="8" w:color="0000EE"/>
            </w:tcBorders>
            <w:gridSpan w:val="7"/>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Item 14.</w:t>
              </w:r>
            </w:hyperlink>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0" w:type="dxa"/>
            <w:vAlign w:val="bottom"/>
            <w:gridSpan w:val="42"/>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Principal Accounting Fees and Services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60" w:type="dxa"/>
            <w:vAlign w:val="bottom"/>
            <w:gridSpan w:val="17"/>
          </w:tcPr>
          <w:p>
            <w:pPr>
              <w:jc w:val="center"/>
              <w:ind w:right="3240"/>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PART IV</w:t>
              </w:r>
            </w:hyperlink>
          </w:p>
        </w:tc>
        <w:tc>
          <w:tcPr>
            <w:tcW w:w="840" w:type="dxa"/>
            <w:vAlign w:val="bottom"/>
          </w:tcPr>
          <w:p>
            <w:pPr>
              <w:spacing w:after="0"/>
              <w:rPr>
                <w:sz w:val="24"/>
                <w:szCs w:val="24"/>
                <w:color w:val="auto"/>
              </w:rPr>
            </w:pPr>
          </w:p>
        </w:tc>
      </w:tr>
      <w:tr>
        <w:trPr>
          <w:trHeight w:val="412"/>
        </w:trPr>
        <w:tc>
          <w:tcPr>
            <w:tcW w:w="760" w:type="dxa"/>
            <w:vAlign w:val="bottom"/>
            <w:gridSpan w:val="3"/>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15.</w:t>
              </w:r>
            </w:hyperlink>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26"/>
          </w:tcPr>
          <w:p>
            <w:pPr>
              <w:spacing w:after="0"/>
              <w:rPr>
                <w:rFonts w:ascii="Arial" w:cs="Arial" w:eastAsia="Arial" w:hAnsi="Arial"/>
                <w:sz w:val="18"/>
                <w:szCs w:val="18"/>
                <w:color w:val="0000EE"/>
                <w:w w:val="92"/>
              </w:rPr>
            </w:pPr>
            <w:hyperlink w:anchor="page82">
              <w:r>
                <w:rPr>
                  <w:rFonts w:ascii="Arial" w:cs="Arial" w:eastAsia="Arial" w:hAnsi="Arial"/>
                  <w:sz w:val="18"/>
                  <w:szCs w:val="18"/>
                  <w:color w:val="0000EE"/>
                  <w:w w:val="92"/>
                </w:rPr>
                <w:t>Exhibits and Financial Statement Schedules</w:t>
              </w:r>
            </w:hyperlink>
          </w:p>
        </w:tc>
        <w:tc>
          <w:tcPr>
            <w:tcW w:w="700" w:type="dxa"/>
            <w:vAlign w:val="bottom"/>
            <w:tcBorders>
              <w:top w:val="single" w:sz="8" w:color="0000EE"/>
            </w:tcBorders>
            <w:gridSpan w:val="7"/>
          </w:tcPr>
          <w:p>
            <w:pPr>
              <w:spacing w:after="0"/>
              <w:rPr>
                <w:sz w:val="24"/>
                <w:szCs w:val="24"/>
                <w:color w:val="auto"/>
              </w:rPr>
            </w:pPr>
          </w:p>
        </w:tc>
        <w:tc>
          <w:tcPr>
            <w:tcW w:w="324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80" w:type="dxa"/>
            <w:vAlign w:val="bottom"/>
            <w:gridSpan w:val="12"/>
            <w:shd w:val="clear" w:color="auto" w:fill="0000EE"/>
          </w:tcPr>
          <w:p>
            <w:pPr>
              <w:spacing w:after="0" w:line="20" w:lineRule="exact"/>
              <w:rPr>
                <w:sz w:val="1"/>
                <w:szCs w:val="1"/>
                <w:color w:val="auto"/>
              </w:rPr>
            </w:pPr>
          </w:p>
        </w:tc>
        <w:tc>
          <w:tcPr>
            <w:tcW w:w="720" w:type="dxa"/>
            <w:vAlign w:val="bottom"/>
            <w:tcBorders>
              <w:left w:val="single" w:sz="8" w:color="0000EE"/>
            </w:tcBorders>
            <w:gridSpan w:val="7"/>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40" w:type="dxa"/>
            <w:vAlign w:val="bottom"/>
            <w:gridSpan w:val="4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A. Financial Statements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480" w:type="dxa"/>
            <w:vAlign w:val="bottom"/>
            <w:gridSpan w:val="12"/>
            <w:shd w:val="clear" w:color="auto" w:fill="0000EE"/>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1360" w:type="dxa"/>
            <w:vAlign w:val="bottom"/>
            <w:gridSpan w:val="10"/>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40" w:type="dxa"/>
            <w:vAlign w:val="bottom"/>
            <w:gridSpan w:val="4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B. Financial Statement Schedules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0" w:type="dxa"/>
            <w:vAlign w:val="bottom"/>
            <w:gridSpan w:val="19"/>
            <w:shd w:val="clear" w:color="auto" w:fill="0000EE"/>
          </w:tcPr>
          <w:p>
            <w:pPr>
              <w:spacing w:after="0" w:line="20" w:lineRule="exact"/>
              <w:rPr>
                <w:sz w:val="1"/>
                <w:szCs w:val="1"/>
                <w:color w:val="auto"/>
              </w:rPr>
            </w:pPr>
          </w:p>
        </w:tc>
        <w:tc>
          <w:tcPr>
            <w:tcW w:w="1360" w:type="dxa"/>
            <w:vAlign w:val="bottom"/>
            <w:gridSpan w:val="10"/>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40" w:type="dxa"/>
            <w:vAlign w:val="bottom"/>
            <w:gridSpan w:val="4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 Exhibits Required by Item 601 of Regulation S-K</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412"/>
        </w:trPr>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88">
              <w:r>
                <w:rPr>
                  <w:rFonts w:ascii="Arial" w:cs="Arial" w:eastAsia="Arial" w:hAnsi="Arial"/>
                  <w:sz w:val="18"/>
                  <w:szCs w:val="18"/>
                  <w:color w:val="0000EE"/>
                  <w:w w:val="85"/>
                </w:rPr>
                <w:t>Signatures</w:t>
              </w:r>
            </w:hyperlink>
          </w:p>
        </w:tc>
        <w:tc>
          <w:tcPr>
            <w:tcW w:w="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08" w:right="139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for the Fiscal Year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60" w:hanging="657"/>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 The Company consists of two segments, Ocean Transportation and Logistics. For financial information by segment for the three years ended December 31, 2018, see Note 3 to the Consolidated Financial Statements in Item 8 of Part II below.</w:t>
      </w:r>
    </w:p>
    <w:p>
      <w:pPr>
        <w:spacing w:after="0" w:line="18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 xml:space="preserve">Ocean Transportation: </w:t>
      </w:r>
      <w:r>
        <w:rPr>
          <w:rFonts w:ascii="Arial" w:cs="Arial" w:eastAsia="Arial" w:hAnsi="Arial"/>
          <w:sz w:val="18"/>
          <w:szCs w:val="18"/>
          <w:color w:val="auto"/>
        </w:rPr>
        <w:t>Matson’s Ocean Transportation business is conducted through Matson Navigation Company, Inc.</w:t>
      </w:r>
      <w:r>
        <w:rPr>
          <w:rFonts w:ascii="Arial" w:cs="Arial" w:eastAsia="Arial" w:hAnsi="Arial"/>
          <w:sz w:val="18"/>
          <w:szCs w:val="18"/>
          <w:i w:val="1"/>
          <w:iCs w:val="1"/>
          <w:color w:val="auto"/>
        </w:rPr>
        <w:t xml:space="preserve"> </w:t>
      </w:r>
      <w:r>
        <w:rPr>
          <w:rFonts w:ascii="Arial" w:cs="Arial" w:eastAsia="Arial" w:hAnsi="Arial"/>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a premium, expedited service from China to Long Beach, California, and also provides services to Okinawa, Japan and various islands in the South Pacific. In addition, subsidiaries of MatNav provide container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Matson has a 35 percent ownership interest in SSA Terminals, LLC (“SSAT”), a joint venture between Matson Ventures, Inc., a wholly-owned subsidiary of MatNav, and SSA Ventures, Inc. (“SSA”), a subsidiary of Carrix, Inc. (“Terminal Joint Venture”). SSAT provides terminal and stevedoring services to various carriers at seven terminal facilities on the U.S. West Coast, including four facilities which are used by MatNav. Matson records its share of income from the Terminal Joint Venture in costs and expenses in the Consolidated Statements of Income and Comprehensive Income, and within the Ocean Transportation segment due to the nature of SSAT’s operations.</w:t>
      </w:r>
    </w:p>
    <w:p>
      <w:pPr>
        <w:spacing w:after="0" w:line="19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 xml:space="preserve">Logistics: </w:t>
      </w:r>
      <w:r>
        <w:rPr>
          <w:rFonts w:ascii="Arial" w:cs="Arial" w:eastAsia="Arial" w:hAnsi="Arial"/>
          <w:sz w:val="17"/>
          <w:szCs w:val="17"/>
          <w:color w:val="auto"/>
        </w:rPr>
        <w:t>Matson’s Logistics business is conducted through Matson Logistics, Inc. (“Matson Logistics”), a wholly-owned</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of MatNav. Established in 1987, Matson Logistics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and distribution services; and (iv) supply chain management, non-vessel operating common carrier (“NVOCC”) freight forwarding and other services.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Mission and 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move freight better than anyone. Our vision is to create value for our shareholders by:</w:t>
      </w:r>
    </w:p>
    <w:p>
      <w:pPr>
        <w:spacing w:after="0" w:line="225" w:lineRule="exact"/>
        <w:rPr>
          <w:sz w:val="20"/>
          <w:szCs w:val="20"/>
          <w:color w:val="auto"/>
        </w:rPr>
      </w:pPr>
    </w:p>
    <w:p>
      <w:pPr>
        <w:ind w:left="320" w:hanging="317"/>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Being our customers’ first choice,</w:t>
      </w:r>
    </w:p>
    <w:p>
      <w:pPr>
        <w:spacing w:after="0" w:line="23" w:lineRule="exact"/>
        <w:rPr>
          <w:rFonts w:ascii="Arial" w:cs="Arial" w:eastAsia="Arial" w:hAnsi="Arial"/>
          <w:sz w:val="18"/>
          <w:szCs w:val="18"/>
          <w:color w:val="auto"/>
        </w:rPr>
      </w:pPr>
    </w:p>
    <w:p>
      <w:pPr>
        <w:ind w:left="320" w:hanging="317"/>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Leveraging our core strengths to drive growth and increase profitability,</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Improving the communities in which we work and live,</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Being an environmental leader in our industry, and</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Being a great place to work.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hanging="657"/>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w:t>
      </w:r>
    </w:p>
    <w:p>
      <w:pPr>
        <w:spacing w:after="0" w:line="225" w:lineRule="exact"/>
        <w:rPr>
          <w:sz w:val="20"/>
          <w:szCs w:val="20"/>
          <w:color w:val="auto"/>
        </w:rPr>
      </w:pPr>
    </w:p>
    <w:p>
      <w:pPr>
        <w:ind w:left="1340" w:hanging="689"/>
        <w:spacing w:after="0"/>
        <w:tabs>
          <w:tab w:leader="none" w:pos="1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OCEAN TRANSPORTATION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Freight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Matson’s Ocean Transportation segment provides the following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Ocean Transportation Services: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Hawaii Service: </w:t>
      </w:r>
      <w:r>
        <w:rPr>
          <w:rFonts w:ascii="Arial" w:cs="Arial" w:eastAsia="Arial" w:hAnsi="Arial"/>
          <w:sz w:val="18"/>
          <w:szCs w:val="18"/>
          <w:color w:val="auto"/>
        </w:rPr>
        <w:t>Matson’s Hawaii service provides ocean freight services (lift-on/lift-off, roll-on/roll-off and conventional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between the ports of Long Beach and Oakland, California; Seattle, Washington; and Honolulu, Hawaii. Matson also operates a network of inter-island barges that provide connecting services from Honolulu, Hawaii to other major ports on the Hawaiian islands of Kauai, Maui and Hawaii. Matson is the largest carrier of ocean cargo between the U.S. West Coast and Hawaii.</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Westbound cargo carried by Matson to Hawaii includes dry containers of mixed commodities, refrigerated commodities,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packaged foods and beverages, retail merchandise, building materials, automobiles and household goods. Matson’s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eastbound cargo from Hawaii includes automobiles, household goods, dry containers of mixed commodities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livestock. The majority of Matson’s Hawaii service revenue is derived from the westbound carriage of containerized freight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automobiles.</w:t>
      </w:r>
    </w:p>
    <w:p>
      <w:pPr>
        <w:spacing w:after="0" w:line="21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i w:val="1"/>
          <w:iCs w:val="1"/>
          <w:color w:val="auto"/>
        </w:rPr>
        <w:t xml:space="preserve">Alaska Service: </w:t>
      </w:r>
      <w:r>
        <w:rPr>
          <w:rFonts w:ascii="Arial" w:cs="Arial" w:eastAsia="Arial" w:hAnsi="Arial"/>
          <w:sz w:val="16"/>
          <w:szCs w:val="16"/>
          <w:color w:val="auto"/>
        </w:rPr>
        <w:t>Matson’s Alaska service provides ocean freight services (lift-on/lift-off and conventional services)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the port of Tacoma, Washington, and the ports of Anchorage, Kodiak and Dutch Harbor in Alaska. Matson also provides a barge service between Dutch Harbor and Akutan in Alaska, and other transportation services to smaller locations in Alaska.</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Northbound cargo to Alaska includes dry containers of mixed commodities, refrigerated commodities, packaged foods and beverages, retail merchandise, household goods and automobiles. Southbound cargo from Alaska primarily consists of seafood, household goods and automobiles.</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China Service: </w:t>
      </w:r>
      <w:r>
        <w:rPr>
          <w:rFonts w:ascii="Arial" w:cs="Arial" w:eastAsia="Arial" w:hAnsi="Arial"/>
          <w:sz w:val="18"/>
          <w:szCs w:val="18"/>
          <w:color w:val="auto"/>
        </w:rPr>
        <w:t>Matson’s expedited China-Long Beach Express (“CLX”) service is part of an integrated service that carries</w:t>
      </w:r>
      <w:r>
        <w:rPr>
          <w:rFonts w:ascii="Arial" w:cs="Arial" w:eastAsia="Arial" w:hAnsi="Arial"/>
          <w:sz w:val="18"/>
          <w:szCs w:val="18"/>
          <w:i w:val="1"/>
          <w:iCs w:val="1"/>
          <w:color w:val="auto"/>
        </w:rPr>
        <w:t xml:space="preserve"> </w:t>
      </w:r>
      <w:r>
        <w:rPr>
          <w:rFonts w:ascii="Arial" w:cs="Arial" w:eastAsia="Arial" w:hAnsi="Arial"/>
          <w:sz w:val="18"/>
          <w:szCs w:val="18"/>
          <w:color w:val="auto"/>
        </w:rPr>
        <w:t>cargo from Long Beach, California to Honolulu, Hawaii, to Guam, and then to Okinawa, Japan. The vessels continue to the ports of Ningbo and Shanghai in China, where they are loaded with cargo to be discharged primarily in Long Beach, California. These vessels also carry cargo destined for Hawaii which originated in Guam, Micronesia, Japan and China. Matson provides container transshipment services between the CLX ports and many locations in Asia including Hong Kong and Xiamen, China.</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Eastbound cargo from China to Long Beach, California consists mainly of garments, footwear and other retail merchandise.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Westbound cargo to China and other destinations in Asia consists mainly of recycled materials.</w:t>
      </w:r>
    </w:p>
    <w:p>
      <w:pPr>
        <w:spacing w:after="0" w:line="21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color w:val="auto"/>
        </w:rPr>
        <w:t xml:space="preserve">Guam Service: </w:t>
      </w:r>
      <w:r>
        <w:rPr>
          <w:rFonts w:ascii="Arial" w:cs="Arial" w:eastAsia="Arial" w:hAnsi="Arial"/>
          <w:sz w:val="17"/>
          <w:szCs w:val="17"/>
          <w:color w:val="auto"/>
        </w:rPr>
        <w:t>Matson’s Guam service provides weekly services between the U.S West Coast and Guam, as part of its</w:t>
      </w:r>
      <w:r>
        <w:rPr>
          <w:rFonts w:ascii="Arial" w:cs="Arial" w:eastAsia="Arial" w:hAnsi="Arial"/>
          <w:sz w:val="17"/>
          <w:szCs w:val="17"/>
          <w:i w:val="1"/>
          <w:iCs w:val="1"/>
          <w:color w:val="auto"/>
        </w:rPr>
        <w:t xml:space="preserve"> </w:t>
      </w:r>
      <w:r>
        <w:rPr>
          <w:rFonts w:ascii="Arial" w:cs="Arial" w:eastAsia="Arial" w:hAnsi="Arial"/>
          <w:sz w:val="17"/>
          <w:szCs w:val="17"/>
          <w:color w:val="auto"/>
        </w:rPr>
        <w:t>expedited CLX service. Matson also provides weekly connecting service from Guam to the Commonwealth of the Northern Mariana Islands. These services carry cargo similar to the Hawaii service described above.</w:t>
      </w:r>
    </w:p>
    <w:p>
      <w:pPr>
        <w:spacing w:after="0" w:line="16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 xml:space="preserve">Japan Service: </w:t>
      </w:r>
      <w:r>
        <w:rPr>
          <w:rFonts w:ascii="Arial" w:cs="Arial" w:eastAsia="Arial" w:hAnsi="Arial"/>
          <w:sz w:val="17"/>
          <w:szCs w:val="17"/>
          <w:color w:val="auto"/>
        </w:rPr>
        <w:t>Matson’s Japan service provides services to the port of Naha in Okinawa, Japan, as part of its expedited CLX</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This service carries mainly general sustenance cargo and household goods supporting the U.S. military.</w:t>
      </w:r>
    </w:p>
    <w:p>
      <w:pPr>
        <w:spacing w:after="0" w:line="14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Micronesia Service: </w:t>
      </w:r>
      <w:r>
        <w:rPr>
          <w:rFonts w:ascii="Arial" w:cs="Arial" w:eastAsia="Arial" w:hAnsi="Arial"/>
          <w:sz w:val="18"/>
          <w:szCs w:val="18"/>
          <w:color w:val="auto"/>
        </w:rPr>
        <w:t>Matson’s Micronesia service provides services between the U.S. West Coast and the islands of Yap,</w:t>
      </w:r>
      <w:r>
        <w:rPr>
          <w:rFonts w:ascii="Arial" w:cs="Arial" w:eastAsia="Arial" w:hAnsi="Arial"/>
          <w:sz w:val="18"/>
          <w:szCs w:val="18"/>
          <w:i w:val="1"/>
          <w:iCs w:val="1"/>
          <w:color w:val="auto"/>
        </w:rPr>
        <w:t xml:space="preserve"> </w:t>
      </w:r>
      <w:r>
        <w:rPr>
          <w:rFonts w:ascii="Arial" w:cs="Arial" w:eastAsia="Arial" w:hAnsi="Arial"/>
          <w:sz w:val="18"/>
          <w:szCs w:val="18"/>
          <w:color w:val="auto"/>
        </w:rPr>
        <w:t>Pohnpei, Chuuk and Kosrae in the Federated States of Micronesia, and the Republic of Palau. Cargo destined for these locations is transshipped through Guam and consists of mainly general sustenance cargo. Matson also operates a direct service between Honolulu, Hawaii and the islands of Kwajalein, Ebeye and Majuro in the Republic of the Marshall Islands with a U.S. flagged vessel. This service carries mainly general sustenance cargo, construction materials, and household goods supporting the U.S. military.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South Pacific Service: </w:t>
      </w:r>
      <w:r>
        <w:rPr>
          <w:rFonts w:ascii="Arial" w:cs="Arial" w:eastAsia="Arial" w:hAnsi="Arial"/>
          <w:sz w:val="16"/>
          <w:szCs w:val="16"/>
          <w:color w:val="auto"/>
        </w:rPr>
        <w:t>Matson’s New Zealand Express (“NZX”) service provides services carrying general sustenance cargo</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Auckland, New Zealand and the South Pacific islands, including Fiji (Suva and Lautoka), Samoa (Apia), American Samoa (Pago Pago), the Cook Islands (Rarotonga and Aitutaki), Tonga (Nukualofa and Vava’u), and Niue. Matson’s NZX service also provides transshipment services to the islands of Tahiti, Vanuatu, Nauru and the Solomon Islands</w:t>
      </w:r>
    </w:p>
    <w:p>
      <w:pPr>
        <w:spacing w:after="0" w:line="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(Honiara). Additionally, Matson also provides slotting arrangements for the transportation of cargo from major ports on the east coast of Australia to ports in the South Pacific islands. The NZX service also distributes and sells domestic bulk fuel to a variety of these islands.</w:t>
      </w:r>
    </w:p>
    <w:p>
      <w:pPr>
        <w:spacing w:after="0" w:line="19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Matson also provides a bi-weekly South Pacific Express (“SPX”) service that connects the U.S. West Coast to ports in the South Pacific islands. Cargo destined for these ports is transshipped from the U.S. West Coast on Matson’s Hawaii and CLX services to a Matson SPX vessel in Honolulu, Hawaii. The SPX vessel then transports the cargo to ports in the South Pacific islands including Tahiti (Papeete), American Samoa (Pago Pago), Samoa (Apia) and Tonga (Nukualofa). Commencing September 2018, the SPX service also provides a bi-monthly service to Christmas Island (Kiritimati) in the Republic of Kiribati. Cargo destined for other ports is transshipped to Matson’s South Pacific service at the port of Apia, Samoa. SPX cargo originating in the South Pacific destined for Hawaii or other locations on the U.S. West Coast is shipped to Honolulu, Hawaii, and then transshipped on Matson vessels to the U.S. West Coast.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Terminal and Other Related Services: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Matson provides container stevedoring, refrigerated cargo services, inland transportation, container equipment maintenance and other terminal services (collectively “terminal services”) for MatNav at terminals located on the Hawaiian islands of Oahu, Hawaii, Maui and Kauai; and in the Alaska terminal locations of Anchorage, Kodiak and Dutch Harbor. Matson also provides terminal services for other ocean carriers at the Alaska terminal locations of Kodiak and Dutch Harbor.</w:t>
      </w:r>
    </w:p>
    <w:p>
      <w:pPr>
        <w:spacing w:after="0" w:line="15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Matson’s Terminal Joint Venture SSAT provides terminal and stevedoring services to various carriers at seven terminal facilities on the U.S. West Coast and to MatNav at four of those facilities, which are Long Beach and Oakland, California; and Seattle and Tacoma, Washington.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Matson utilizes the services of other third-party terminal operators at all of the other ports at which its vessels 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Management Services:</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Matson contracts with the U.S. Department of Transportation to provide vessel management services to manage and maintain three Ready Reserve Force vessels on behalf of the U.S. Department of Transportation Maritime Administration.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Ocean Transportation Acquisition:</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May 29, 2015, Matson completed its acquisition of Horizon Lines, Inc. (“Horizon”). As a result, Matson acquired Horizon’s Alaska operations and assumed all of Horizon’s non-Hawaii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Matson’s Vessel and Equipment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Matson’s fleet includes both owned and chartered vessels. Matson’s owned vessels represent an investment of approximately $1.5 billion. The majority of Matson’s owned vessels are U.S. flagged and Jones Act qualified vessels, and operate in the Hawaii, Guam, Japan, China and Alaska services. During the fourth quarter of 2018, Matson launched </w:t>
      </w:r>
      <w:r>
        <w:rPr>
          <w:rFonts w:ascii="Arial" w:cs="Arial" w:eastAsia="Arial" w:hAnsi="Arial"/>
          <w:sz w:val="18"/>
          <w:szCs w:val="18"/>
          <w:i w:val="1"/>
          <w:iCs w:val="1"/>
          <w:color w:val="auto"/>
        </w:rPr>
        <w:t>MV Daniel K. Inouye</w:t>
      </w:r>
      <w:r>
        <w:rPr>
          <w:rFonts w:ascii="Arial" w:cs="Arial" w:eastAsia="Arial" w:hAnsi="Arial"/>
          <w:sz w:val="18"/>
          <w:szCs w:val="18"/>
          <w:color w:val="auto"/>
        </w:rPr>
        <w:t>, the largest Jones Act container vessel ever built in the U.S. Matson’s non-U.S. flagged vessels operate in the Micronesia and South Pacific services.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Active and reserve vessels both owned and chartered by Matson as of December 31, 2018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940" w:type="dxa"/>
            <w:vAlign w:val="bottom"/>
            <w:gridSpan w:val="4"/>
          </w:tcPr>
          <w:p>
            <w:pPr>
              <w:ind w:left="180"/>
              <w:spacing w:after="0"/>
              <w:rPr>
                <w:sz w:val="20"/>
                <w:szCs w:val="20"/>
                <w:color w:val="auto"/>
              </w:rPr>
            </w:pPr>
            <w:r>
              <w:rPr>
                <w:rFonts w:ascii="Arial" w:cs="Arial" w:eastAsia="Arial" w:hAnsi="Arial"/>
                <w:sz w:val="14"/>
                <w:szCs w:val="14"/>
                <w:b w:val="1"/>
                <w:bCs w:val="1"/>
                <w:color w:val="auto"/>
              </w:rPr>
              <w:t>Usable Cargo Capacity</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820" w:type="dxa"/>
            <w:vAlign w:val="bottom"/>
            <w:vMerge w:val="restart"/>
          </w:tcPr>
          <w:p>
            <w:pPr>
              <w:jc w:val="center"/>
              <w:ind w:left="3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2"/>
        </w:trPr>
        <w:tc>
          <w:tcPr>
            <w:tcW w:w="2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Containers</w:t>
            </w:r>
          </w:p>
        </w:tc>
        <w:tc>
          <w:tcPr>
            <w:tcW w:w="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0"/>
              </w:rPr>
              <w:t>Vehicles</w:t>
            </w:r>
          </w:p>
        </w:tc>
        <w:tc>
          <w:tcPr>
            <w:tcW w:w="1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100" w:type="dxa"/>
            <w:vAlign w:val="bottom"/>
            <w:vMerge w:val="restart"/>
          </w:tcPr>
          <w:p>
            <w:pPr>
              <w:spacing w:after="0"/>
              <w:rPr>
                <w:sz w:val="20"/>
                <w:szCs w:val="20"/>
                <w:color w:val="auto"/>
              </w:rPr>
            </w:pPr>
            <w:r>
              <w:rPr>
                <w:rFonts w:ascii="Arial" w:cs="Arial" w:eastAsia="Arial" w:hAnsi="Arial"/>
                <w:sz w:val="14"/>
                <w:szCs w:val="14"/>
                <w:b w:val="1"/>
                <w:bCs w:val="1"/>
                <w:color w:val="auto"/>
              </w:rPr>
              <w:t>Name of Vessels (1)</w:t>
            </w:r>
          </w:p>
        </w:tc>
        <w:tc>
          <w:tcPr>
            <w:tcW w:w="1640" w:type="dxa"/>
            <w:vAlign w:val="bottom"/>
          </w:tcPr>
          <w:p>
            <w:pPr>
              <w:jc w:val="center"/>
              <w:ind w:left="771"/>
              <w:spacing w:after="0" w:line="119" w:lineRule="exact"/>
              <w:rPr>
                <w:sz w:val="20"/>
                <w:szCs w:val="20"/>
                <w:color w:val="auto"/>
              </w:rPr>
            </w:pPr>
            <w:r>
              <w:rPr>
                <w:rFonts w:ascii="Arial" w:cs="Arial" w:eastAsia="Arial" w:hAnsi="Arial"/>
                <w:sz w:val="13"/>
                <w:szCs w:val="13"/>
                <w:b w:val="1"/>
                <w:bCs w:val="1"/>
                <w:color w:val="auto"/>
              </w:rPr>
              <w:t>Owned/</w:t>
            </w:r>
          </w:p>
        </w:tc>
        <w:tc>
          <w:tcPr>
            <w:tcW w:w="780" w:type="dxa"/>
            <w:vAlign w:val="bottom"/>
          </w:tcPr>
          <w:p>
            <w:pPr>
              <w:jc w:val="center"/>
              <w:ind w:right="11"/>
              <w:spacing w:after="0" w:line="119" w:lineRule="exact"/>
              <w:rPr>
                <w:sz w:val="20"/>
                <w:szCs w:val="20"/>
                <w:color w:val="auto"/>
              </w:rPr>
            </w:pPr>
            <w:r>
              <w:rPr>
                <w:rFonts w:ascii="Arial" w:cs="Arial" w:eastAsia="Arial" w:hAnsi="Arial"/>
                <w:sz w:val="13"/>
                <w:szCs w:val="13"/>
                <w:b w:val="1"/>
                <w:bCs w:val="1"/>
                <w:color w:val="auto"/>
              </w:rPr>
              <w:t>Official</w:t>
            </w:r>
          </w:p>
        </w:tc>
        <w:tc>
          <w:tcPr>
            <w:tcW w:w="1140" w:type="dxa"/>
            <w:vAlign w:val="bottom"/>
            <w:tcBorders>
              <w:top w:val="single" w:sz="8" w:color="auto"/>
            </w:tcBorders>
          </w:tcPr>
          <w:p>
            <w:pPr>
              <w:ind w:left="720"/>
              <w:spacing w:after="0" w:line="119" w:lineRule="exact"/>
              <w:rPr>
                <w:sz w:val="20"/>
                <w:szCs w:val="20"/>
                <w:color w:val="auto"/>
              </w:rPr>
            </w:pPr>
            <w:r>
              <w:rPr>
                <w:rFonts w:ascii="Arial" w:cs="Arial" w:eastAsia="Arial" w:hAnsi="Arial"/>
                <w:sz w:val="13"/>
                <w:szCs w:val="13"/>
                <w:b w:val="1"/>
                <w:bCs w:val="1"/>
                <w:color w:val="auto"/>
                <w:w w:val="98"/>
              </w:rPr>
              <w:t>Reefer</w:t>
            </w:r>
          </w:p>
        </w:tc>
        <w:tc>
          <w:tcPr>
            <w:tcW w:w="1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160" w:type="dxa"/>
            <w:vAlign w:val="bottom"/>
          </w:tcPr>
          <w:p>
            <w:pPr>
              <w:jc w:val="center"/>
              <w:ind w:right="453"/>
              <w:spacing w:after="0" w:line="119" w:lineRule="exact"/>
              <w:rPr>
                <w:sz w:val="20"/>
                <w:szCs w:val="20"/>
                <w:color w:val="auto"/>
              </w:rPr>
            </w:pPr>
            <w:r>
              <w:rPr>
                <w:rFonts w:ascii="Arial" w:cs="Arial" w:eastAsia="Arial" w:hAnsi="Arial"/>
                <w:sz w:val="13"/>
                <w:szCs w:val="13"/>
                <w:b w:val="1"/>
                <w:bCs w:val="1"/>
                <w:color w:val="auto"/>
                <w:w w:val="99"/>
              </w:rPr>
              <w:t>Year</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Speed</w:t>
            </w:r>
          </w:p>
        </w:tc>
        <w:tc>
          <w:tcPr>
            <w:tcW w:w="820" w:type="dxa"/>
            <w:vAlign w:val="bottom"/>
          </w:tcPr>
          <w:p>
            <w:pPr>
              <w:jc w:val="center"/>
              <w:ind w:left="10"/>
              <w:spacing w:after="0" w:line="119" w:lineRule="exact"/>
              <w:rPr>
                <w:sz w:val="20"/>
                <w:szCs w:val="20"/>
                <w:color w:val="auto"/>
              </w:rPr>
            </w:pPr>
            <w:r>
              <w:rPr>
                <w:rFonts w:ascii="Arial" w:cs="Arial" w:eastAsia="Arial" w:hAnsi="Arial"/>
                <w:sz w:val="13"/>
                <w:szCs w:val="13"/>
                <w:b w:val="1"/>
                <w:bCs w:val="1"/>
                <w:color w:val="auto"/>
              </w:rPr>
              <w:t>Deadweight</w:t>
            </w:r>
          </w:p>
        </w:tc>
        <w:tc>
          <w:tcPr>
            <w:tcW w:w="0" w:type="dxa"/>
            <w:vAlign w:val="bottom"/>
          </w:tcPr>
          <w:p>
            <w:pPr>
              <w:spacing w:after="0"/>
              <w:rPr>
                <w:sz w:val="1"/>
                <w:szCs w:val="1"/>
                <w:color w:val="auto"/>
              </w:rPr>
            </w:pPr>
          </w:p>
        </w:tc>
      </w:tr>
      <w:tr>
        <w:trPr>
          <w:trHeight w:val="186"/>
        </w:trPr>
        <w:tc>
          <w:tcPr>
            <w:tcW w:w="2100" w:type="dxa"/>
            <w:vAlign w:val="bottom"/>
            <w:vMerge w:val="continue"/>
          </w:tcPr>
          <w:p>
            <w:pPr>
              <w:spacing w:after="0"/>
              <w:rPr>
                <w:sz w:val="16"/>
                <w:szCs w:val="16"/>
                <w:color w:val="auto"/>
              </w:rPr>
            </w:pPr>
          </w:p>
        </w:tc>
        <w:tc>
          <w:tcPr>
            <w:tcW w:w="1640" w:type="dxa"/>
            <w:vAlign w:val="bottom"/>
          </w:tcPr>
          <w:p>
            <w:pPr>
              <w:jc w:val="center"/>
              <w:ind w:left="771"/>
              <w:spacing w:after="0"/>
              <w:rPr>
                <w:sz w:val="20"/>
                <w:szCs w:val="20"/>
                <w:color w:val="auto"/>
              </w:rPr>
            </w:pPr>
            <w:r>
              <w:rPr>
                <w:rFonts w:ascii="Arial" w:cs="Arial" w:eastAsia="Arial" w:hAnsi="Arial"/>
                <w:sz w:val="14"/>
                <w:szCs w:val="14"/>
                <w:b w:val="1"/>
                <w:bCs w:val="1"/>
                <w:u w:val="single" w:color="auto"/>
                <w:color w:val="auto"/>
                <w:w w:val="96"/>
              </w:rPr>
              <w:t>Chartered</w:t>
            </w:r>
          </w:p>
        </w:tc>
        <w:tc>
          <w:tcPr>
            <w:tcW w:w="78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98"/>
              </w:rPr>
              <w:t>Number</w:t>
            </w: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u w:val="single" w:color="auto"/>
                <w:color w:val="auto"/>
              </w:rPr>
              <w:t>TEUs (2)</w:t>
            </w:r>
            <w:r>
              <w:rPr>
                <w:rFonts w:ascii="Arial" w:cs="Arial" w:eastAsia="Arial" w:hAnsi="Arial"/>
                <w:sz w:val="14"/>
                <w:szCs w:val="14"/>
                <w:b w:val="1"/>
                <w:bCs w:val="1"/>
                <w:color w:val="auto"/>
              </w:rPr>
              <w:t xml:space="preserve">   Slots</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 xml:space="preserve">Autos   </w:t>
            </w:r>
            <w:r>
              <w:rPr>
                <w:rFonts w:ascii="Arial" w:cs="Arial" w:eastAsia="Arial" w:hAnsi="Arial"/>
                <w:sz w:val="14"/>
                <w:szCs w:val="14"/>
                <w:b w:val="1"/>
                <w:bCs w:val="1"/>
                <w:u w:val="single" w:color="auto"/>
                <w:color w:val="auto"/>
              </w:rPr>
              <w:t>Built  Length</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(Knots)</w:t>
            </w:r>
          </w:p>
        </w:tc>
        <w:tc>
          <w:tcPr>
            <w:tcW w:w="820" w:type="dxa"/>
            <w:vAlign w:val="bottom"/>
          </w:tcPr>
          <w:p>
            <w:pPr>
              <w:jc w:val="center"/>
              <w:ind w:left="10"/>
              <w:spacing w:after="0"/>
              <w:rPr>
                <w:sz w:val="20"/>
                <w:szCs w:val="20"/>
                <w:color w:val="auto"/>
              </w:rPr>
            </w:pPr>
            <w:r>
              <w:rPr>
                <w:rFonts w:ascii="Arial" w:cs="Arial" w:eastAsia="Arial" w:hAnsi="Arial"/>
                <w:sz w:val="14"/>
                <w:szCs w:val="14"/>
                <w:b w:val="1"/>
                <w:bCs w:val="1"/>
                <w:u w:val="single" w:color="auto"/>
                <w:color w:val="auto"/>
                <w:w w:val="91"/>
              </w:rPr>
              <w:t>(Long Tons)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575437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ectPr>
          <w:pgSz w:w="11900" w:h="16838" w:orient="portrait"/>
          <w:cols w:equalWidth="0" w:num="1">
            <w:col w:w="9060"/>
          </w:cols>
          <w:pgMar w:left="1420" w:top="125" w:right="1419" w:bottom="0" w:gutter="0" w:footer="0" w:header="0"/>
        </w:sectPr>
      </w:pPr>
    </w:p>
    <w:p>
      <w:pPr>
        <w:spacing w:after="0"/>
        <w:rPr>
          <w:sz w:val="20"/>
          <w:szCs w:val="20"/>
          <w:color w:val="auto"/>
        </w:rPr>
      </w:pPr>
      <w:r>
        <w:rPr>
          <w:rFonts w:ascii="Arial" w:cs="Arial" w:eastAsia="Arial" w:hAnsi="Arial"/>
          <w:sz w:val="16"/>
          <w:szCs w:val="16"/>
          <w:b w:val="1"/>
          <w:bCs w:val="1"/>
          <w:i w:val="1"/>
          <w:iCs w:val="1"/>
          <w:color w:val="auto"/>
        </w:rPr>
        <w:t>Diesel-Powered</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DANIEL K. INOUYE (3)</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MANOA (3)</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MAHIMAHI (3)</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MANULANI (3)</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MAUNAWILI (3)</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MANUKAI (3)</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R.J. PFEIFFER (3)</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MOKIHANA (3)</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MAUNALEI (3)</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MATSON KODIAK (3)</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MATSON ANCHORAGE (3)</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MATSON TACOMA (3)</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KAMOKUIKI (4)</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OLOMANA (5)</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IMUA II (5)</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LILOA II (5)</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PAPA MAU (5)</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SAMOANA (5)</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MANA (5)</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Steam-Powered</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LIHUE (3)</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KAUAI (3)</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MATSONIA (3)</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Barges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MAUNA LOA (3)</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HALEAKALA (3)(6)</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ILIULIUK BAY (3)(6)</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WAIALEALE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14408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72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1274136</w:t>
            </w: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3,220</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408</w:t>
            </w:r>
          </w:p>
        </w:tc>
        <w:tc>
          <w:tcPr>
            <w:tcW w:w="620" w:type="dxa"/>
            <w:vAlign w:val="bottom"/>
          </w:tcPr>
          <w:p>
            <w:pPr>
              <w:spacing w:after="0"/>
              <w:rPr>
                <w:sz w:val="17"/>
                <w:szCs w:val="17"/>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2018</w:t>
            </w: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854’</w:t>
            </w:r>
          </w:p>
        </w:tc>
        <w:tc>
          <w:tcPr>
            <w:tcW w:w="0" w:type="dxa"/>
            <w:vAlign w:val="bottom"/>
          </w:tcPr>
          <w:p>
            <w:pPr>
              <w:spacing w:after="0"/>
              <w:rPr>
                <w:sz w:val="1"/>
                <w:szCs w:val="1"/>
                <w:color w:val="auto"/>
              </w:rPr>
            </w:pPr>
          </w:p>
        </w:tc>
      </w:tr>
      <w:tr>
        <w:trPr>
          <w:trHeight w:val="98"/>
        </w:trPr>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4"/>
              </w:rPr>
              <w:t>Owned</w:t>
            </w:r>
          </w:p>
        </w:tc>
        <w:tc>
          <w:tcPr>
            <w:tcW w:w="7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continue"/>
          </w:tcPr>
          <w:p>
            <w:pPr>
              <w:spacing w:after="0"/>
              <w:rPr>
                <w:sz w:val="8"/>
                <w:szCs w:val="8"/>
                <w:color w:val="auto"/>
              </w:rPr>
            </w:pPr>
          </w:p>
        </w:tc>
        <w:tc>
          <w:tcPr>
            <w:tcW w:w="400" w:type="dxa"/>
            <w:vAlign w:val="bottom"/>
            <w:vMerge w:val="restart"/>
          </w:tcPr>
          <w:p>
            <w:pPr>
              <w:jc w:val="center"/>
              <w:ind w:left="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4"/>
        </w:trPr>
        <w:tc>
          <w:tcPr>
            <w:tcW w:w="7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651627</w:t>
            </w: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2,824</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408</w:t>
            </w:r>
          </w:p>
        </w:tc>
        <w:tc>
          <w:tcPr>
            <w:tcW w:w="620" w:type="dxa"/>
            <w:vAlign w:val="bottom"/>
          </w:tcPr>
          <w:p>
            <w:pPr>
              <w:spacing w:after="0"/>
              <w:rPr>
                <w:sz w:val="17"/>
                <w:szCs w:val="17"/>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1982</w:t>
            </w: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860’</w:t>
            </w:r>
          </w:p>
        </w:tc>
        <w:tc>
          <w:tcPr>
            <w:tcW w:w="0" w:type="dxa"/>
            <w:vAlign w:val="bottom"/>
          </w:tcPr>
          <w:p>
            <w:pPr>
              <w:spacing w:after="0"/>
              <w:rPr>
                <w:sz w:val="1"/>
                <w:szCs w:val="1"/>
                <w:color w:val="auto"/>
              </w:rPr>
            </w:pPr>
          </w:p>
        </w:tc>
      </w:tr>
      <w:tr>
        <w:trPr>
          <w:trHeight w:val="98"/>
        </w:trPr>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4"/>
              </w:rPr>
              <w:t>Owned</w:t>
            </w:r>
          </w:p>
        </w:tc>
        <w:tc>
          <w:tcPr>
            <w:tcW w:w="7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continue"/>
          </w:tcPr>
          <w:p>
            <w:pPr>
              <w:spacing w:after="0"/>
              <w:rPr>
                <w:sz w:val="8"/>
                <w:szCs w:val="8"/>
                <w:color w:val="auto"/>
              </w:rPr>
            </w:pPr>
          </w:p>
        </w:tc>
        <w:tc>
          <w:tcPr>
            <w:tcW w:w="400" w:type="dxa"/>
            <w:vAlign w:val="bottom"/>
            <w:vMerge w:val="restart"/>
          </w:tcPr>
          <w:p>
            <w:pPr>
              <w:jc w:val="center"/>
              <w:ind w:lef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04"/>
        </w:trPr>
        <w:tc>
          <w:tcPr>
            <w:tcW w:w="7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653424</w:t>
            </w: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2,824</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408</w:t>
            </w:r>
          </w:p>
        </w:tc>
        <w:tc>
          <w:tcPr>
            <w:tcW w:w="620" w:type="dxa"/>
            <w:vAlign w:val="bottom"/>
          </w:tcPr>
          <w:p>
            <w:pPr>
              <w:spacing w:after="0"/>
              <w:rPr>
                <w:sz w:val="17"/>
                <w:szCs w:val="17"/>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1982</w:t>
            </w: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860’</w:t>
            </w:r>
          </w:p>
        </w:tc>
        <w:tc>
          <w:tcPr>
            <w:tcW w:w="0" w:type="dxa"/>
            <w:vAlign w:val="bottom"/>
          </w:tcPr>
          <w:p>
            <w:pPr>
              <w:spacing w:after="0"/>
              <w:rPr>
                <w:sz w:val="1"/>
                <w:szCs w:val="1"/>
                <w:color w:val="auto"/>
              </w:rPr>
            </w:pPr>
          </w:p>
        </w:tc>
      </w:tr>
      <w:tr>
        <w:trPr>
          <w:trHeight w:val="98"/>
        </w:trPr>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4"/>
              </w:rPr>
              <w:t>Owned</w:t>
            </w:r>
          </w:p>
        </w:tc>
        <w:tc>
          <w:tcPr>
            <w:tcW w:w="7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continue"/>
          </w:tcPr>
          <w:p>
            <w:pPr>
              <w:spacing w:after="0"/>
              <w:rPr>
                <w:sz w:val="8"/>
                <w:szCs w:val="8"/>
                <w:color w:val="auto"/>
              </w:rPr>
            </w:pPr>
          </w:p>
        </w:tc>
        <w:tc>
          <w:tcPr>
            <w:tcW w:w="400" w:type="dxa"/>
            <w:vAlign w:val="bottom"/>
            <w:vMerge w:val="restart"/>
          </w:tcPr>
          <w:p>
            <w:pPr>
              <w:jc w:val="center"/>
              <w:ind w:lef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04"/>
        </w:trPr>
        <w:tc>
          <w:tcPr>
            <w:tcW w:w="7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1168529</w:t>
            </w: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2,378</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284</w:t>
            </w:r>
          </w:p>
        </w:tc>
        <w:tc>
          <w:tcPr>
            <w:tcW w:w="620" w:type="dxa"/>
            <w:vAlign w:val="bottom"/>
          </w:tcPr>
          <w:p>
            <w:pPr>
              <w:spacing w:after="0"/>
              <w:rPr>
                <w:sz w:val="17"/>
                <w:szCs w:val="17"/>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2005</w:t>
            </w: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712’</w:t>
            </w:r>
          </w:p>
        </w:tc>
        <w:tc>
          <w:tcPr>
            <w:tcW w:w="0" w:type="dxa"/>
            <w:vAlign w:val="bottom"/>
          </w:tcPr>
          <w:p>
            <w:pPr>
              <w:spacing w:after="0"/>
              <w:rPr>
                <w:sz w:val="1"/>
                <w:szCs w:val="1"/>
                <w:color w:val="auto"/>
              </w:rPr>
            </w:pPr>
          </w:p>
        </w:tc>
      </w:tr>
      <w:tr>
        <w:trPr>
          <w:trHeight w:val="98"/>
        </w:trPr>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4"/>
              </w:rPr>
              <w:t>Owned</w:t>
            </w:r>
          </w:p>
        </w:tc>
        <w:tc>
          <w:tcPr>
            <w:tcW w:w="7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continue"/>
          </w:tcPr>
          <w:p>
            <w:pPr>
              <w:spacing w:after="0"/>
              <w:rPr>
                <w:sz w:val="8"/>
                <w:szCs w:val="8"/>
                <w:color w:val="auto"/>
              </w:rPr>
            </w:pPr>
          </w:p>
        </w:tc>
        <w:tc>
          <w:tcPr>
            <w:tcW w:w="400" w:type="dxa"/>
            <w:vAlign w:val="bottom"/>
            <w:vMerge w:val="restart"/>
          </w:tcPr>
          <w:p>
            <w:pPr>
              <w:jc w:val="center"/>
              <w:ind w:left="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4"/>
        </w:trPr>
        <w:tc>
          <w:tcPr>
            <w:tcW w:w="7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1153166</w:t>
            </w: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2,378</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326</w:t>
            </w:r>
          </w:p>
        </w:tc>
        <w:tc>
          <w:tcPr>
            <w:tcW w:w="620" w:type="dxa"/>
            <w:vAlign w:val="bottom"/>
          </w:tcPr>
          <w:p>
            <w:pPr>
              <w:spacing w:after="0"/>
              <w:rPr>
                <w:sz w:val="17"/>
                <w:szCs w:val="17"/>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2004</w:t>
            </w: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711’</w:t>
            </w:r>
          </w:p>
        </w:tc>
        <w:tc>
          <w:tcPr>
            <w:tcW w:w="0" w:type="dxa"/>
            <w:vAlign w:val="bottom"/>
          </w:tcPr>
          <w:p>
            <w:pPr>
              <w:spacing w:after="0"/>
              <w:rPr>
                <w:sz w:val="1"/>
                <w:szCs w:val="1"/>
                <w:color w:val="auto"/>
              </w:rPr>
            </w:pPr>
          </w:p>
        </w:tc>
      </w:tr>
      <w:tr>
        <w:trPr>
          <w:trHeight w:val="98"/>
        </w:trPr>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4"/>
              </w:rPr>
              <w:t>Owned</w:t>
            </w:r>
          </w:p>
        </w:tc>
        <w:tc>
          <w:tcPr>
            <w:tcW w:w="7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continue"/>
          </w:tcPr>
          <w:p>
            <w:pPr>
              <w:spacing w:after="0"/>
              <w:rPr>
                <w:sz w:val="8"/>
                <w:szCs w:val="8"/>
                <w:color w:val="auto"/>
              </w:rPr>
            </w:pPr>
          </w:p>
        </w:tc>
        <w:tc>
          <w:tcPr>
            <w:tcW w:w="400" w:type="dxa"/>
            <w:vAlign w:val="bottom"/>
            <w:vMerge w:val="restart"/>
          </w:tcPr>
          <w:p>
            <w:pPr>
              <w:jc w:val="center"/>
              <w:ind w:left="3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04"/>
        </w:trPr>
        <w:tc>
          <w:tcPr>
            <w:tcW w:w="7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1141163</w:t>
            </w: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2,378</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326</w:t>
            </w:r>
          </w:p>
        </w:tc>
        <w:tc>
          <w:tcPr>
            <w:tcW w:w="620" w:type="dxa"/>
            <w:vAlign w:val="bottom"/>
          </w:tcPr>
          <w:p>
            <w:pPr>
              <w:spacing w:after="0"/>
              <w:rPr>
                <w:sz w:val="17"/>
                <w:szCs w:val="17"/>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2003</w:t>
            </w: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711’</w:t>
            </w:r>
          </w:p>
        </w:tc>
        <w:tc>
          <w:tcPr>
            <w:tcW w:w="0" w:type="dxa"/>
            <w:vAlign w:val="bottom"/>
          </w:tcPr>
          <w:p>
            <w:pPr>
              <w:spacing w:after="0"/>
              <w:rPr>
                <w:sz w:val="1"/>
                <w:szCs w:val="1"/>
                <w:color w:val="auto"/>
              </w:rPr>
            </w:pPr>
          </w:p>
        </w:tc>
      </w:tr>
      <w:tr>
        <w:trPr>
          <w:trHeight w:val="98"/>
        </w:trPr>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4"/>
              </w:rPr>
              <w:t>Owned</w:t>
            </w:r>
          </w:p>
        </w:tc>
        <w:tc>
          <w:tcPr>
            <w:tcW w:w="7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continue"/>
          </w:tcPr>
          <w:p>
            <w:pPr>
              <w:spacing w:after="0"/>
              <w:rPr>
                <w:sz w:val="8"/>
                <w:szCs w:val="8"/>
                <w:color w:val="auto"/>
              </w:rPr>
            </w:pPr>
          </w:p>
        </w:tc>
        <w:tc>
          <w:tcPr>
            <w:tcW w:w="400" w:type="dxa"/>
            <w:vAlign w:val="bottom"/>
            <w:vMerge w:val="restart"/>
          </w:tcPr>
          <w:p>
            <w:pPr>
              <w:jc w:val="center"/>
              <w:ind w:left="3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04"/>
        </w:trPr>
        <w:tc>
          <w:tcPr>
            <w:tcW w:w="7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979814</w:t>
            </w: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2,245</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300</w:t>
            </w:r>
          </w:p>
        </w:tc>
        <w:tc>
          <w:tcPr>
            <w:tcW w:w="620" w:type="dxa"/>
            <w:vAlign w:val="bottom"/>
          </w:tcPr>
          <w:p>
            <w:pPr>
              <w:spacing w:after="0"/>
              <w:rPr>
                <w:sz w:val="17"/>
                <w:szCs w:val="17"/>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1992</w:t>
            </w: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713’</w:t>
            </w:r>
          </w:p>
        </w:tc>
        <w:tc>
          <w:tcPr>
            <w:tcW w:w="0" w:type="dxa"/>
            <w:vAlign w:val="bottom"/>
          </w:tcPr>
          <w:p>
            <w:pPr>
              <w:spacing w:after="0"/>
              <w:rPr>
                <w:sz w:val="1"/>
                <w:szCs w:val="1"/>
                <w:color w:val="auto"/>
              </w:rPr>
            </w:pPr>
          </w:p>
        </w:tc>
      </w:tr>
      <w:tr>
        <w:trPr>
          <w:trHeight w:val="98"/>
        </w:trPr>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4"/>
              </w:rPr>
              <w:t>Owned</w:t>
            </w:r>
          </w:p>
        </w:tc>
        <w:tc>
          <w:tcPr>
            <w:tcW w:w="7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continue"/>
          </w:tcPr>
          <w:p>
            <w:pPr>
              <w:spacing w:after="0"/>
              <w:rPr>
                <w:sz w:val="8"/>
                <w:szCs w:val="8"/>
                <w:color w:val="auto"/>
              </w:rPr>
            </w:pPr>
          </w:p>
        </w:tc>
        <w:tc>
          <w:tcPr>
            <w:tcW w:w="400" w:type="dxa"/>
            <w:vAlign w:val="bottom"/>
            <w:vMerge w:val="restart"/>
          </w:tcPr>
          <w:p>
            <w:pPr>
              <w:jc w:val="center"/>
              <w:ind w:lef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04"/>
        </w:trPr>
        <w:tc>
          <w:tcPr>
            <w:tcW w:w="7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655397</w:t>
            </w: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1,994</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354</w:t>
            </w:r>
          </w:p>
        </w:tc>
        <w:tc>
          <w:tcPr>
            <w:tcW w:w="620" w:type="dxa"/>
            <w:vAlign w:val="bottom"/>
          </w:tcPr>
          <w:p>
            <w:pPr>
              <w:spacing w:after="0"/>
              <w:rPr>
                <w:sz w:val="17"/>
                <w:szCs w:val="17"/>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1983</w:t>
            </w: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860’</w:t>
            </w:r>
          </w:p>
        </w:tc>
        <w:tc>
          <w:tcPr>
            <w:tcW w:w="0" w:type="dxa"/>
            <w:vAlign w:val="bottom"/>
          </w:tcPr>
          <w:p>
            <w:pPr>
              <w:spacing w:after="0"/>
              <w:rPr>
                <w:sz w:val="1"/>
                <w:szCs w:val="1"/>
                <w:color w:val="auto"/>
              </w:rPr>
            </w:pPr>
          </w:p>
        </w:tc>
      </w:tr>
      <w:tr>
        <w:trPr>
          <w:trHeight w:val="98"/>
        </w:trPr>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4"/>
              </w:rPr>
              <w:t>Owned</w:t>
            </w:r>
          </w:p>
        </w:tc>
        <w:tc>
          <w:tcPr>
            <w:tcW w:w="7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1,323</w:t>
            </w:r>
          </w:p>
        </w:tc>
        <w:tc>
          <w:tcPr>
            <w:tcW w:w="540" w:type="dxa"/>
            <w:vAlign w:val="bottom"/>
            <w:vMerge w:val="continue"/>
          </w:tcPr>
          <w:p>
            <w:pPr>
              <w:spacing w:after="0"/>
              <w:rPr>
                <w:sz w:val="8"/>
                <w:szCs w:val="8"/>
                <w:color w:val="auto"/>
              </w:rPr>
            </w:pPr>
          </w:p>
        </w:tc>
        <w:tc>
          <w:tcPr>
            <w:tcW w:w="400" w:type="dxa"/>
            <w:vAlign w:val="bottom"/>
            <w:vMerge w:val="restart"/>
          </w:tcPr>
          <w:p>
            <w:pPr>
              <w:jc w:val="center"/>
              <w:ind w:lef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04"/>
        </w:trPr>
        <w:tc>
          <w:tcPr>
            <w:tcW w:w="7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1181627</w:t>
            </w: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1,992</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328</w:t>
            </w:r>
          </w:p>
        </w:tc>
        <w:tc>
          <w:tcPr>
            <w:tcW w:w="620" w:type="dxa"/>
            <w:vAlign w:val="bottom"/>
          </w:tcPr>
          <w:p>
            <w:pPr>
              <w:spacing w:after="0"/>
              <w:rPr>
                <w:sz w:val="17"/>
                <w:szCs w:val="17"/>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2006</w:t>
            </w: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681’</w:t>
            </w:r>
          </w:p>
        </w:tc>
        <w:tc>
          <w:tcPr>
            <w:tcW w:w="0" w:type="dxa"/>
            <w:vAlign w:val="bottom"/>
          </w:tcPr>
          <w:p>
            <w:pPr>
              <w:spacing w:after="0"/>
              <w:rPr>
                <w:sz w:val="1"/>
                <w:szCs w:val="1"/>
                <w:color w:val="auto"/>
              </w:rPr>
            </w:pPr>
          </w:p>
        </w:tc>
      </w:tr>
      <w:tr>
        <w:trPr>
          <w:trHeight w:val="203"/>
        </w:trPr>
        <w:tc>
          <w:tcPr>
            <w:tcW w:w="720" w:type="dxa"/>
            <w:vAlign w:val="bottom"/>
          </w:tcPr>
          <w:p>
            <w:pPr>
              <w:jc w:val="center"/>
              <w:spacing w:after="0"/>
              <w:rPr>
                <w:sz w:val="20"/>
                <w:szCs w:val="20"/>
                <w:color w:val="auto"/>
              </w:rPr>
            </w:pPr>
            <w:r>
              <w:rPr>
                <w:rFonts w:ascii="Arial" w:cs="Arial" w:eastAsia="Arial" w:hAnsi="Arial"/>
                <w:sz w:val="16"/>
                <w:szCs w:val="16"/>
                <w:color w:val="auto"/>
                <w:w w:val="89"/>
              </w:rPr>
              <w:t>Chartered</w:t>
            </w:r>
          </w:p>
        </w:tc>
        <w:tc>
          <w:tcPr>
            <w:tcW w:w="7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continue"/>
          </w:tcPr>
          <w:p>
            <w:pPr>
              <w:spacing w:after="0"/>
              <w:rPr>
                <w:sz w:val="17"/>
                <w:szCs w:val="17"/>
                <w:color w:val="auto"/>
              </w:rPr>
            </w:pPr>
          </w:p>
        </w:tc>
        <w:tc>
          <w:tcPr>
            <w:tcW w:w="400" w:type="dxa"/>
            <w:vAlign w:val="bottom"/>
          </w:tcPr>
          <w:p>
            <w:pPr>
              <w:jc w:val="center"/>
              <w:ind w:lef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910308</w:t>
            </w: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1,668</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280</w:t>
            </w:r>
          </w:p>
        </w:tc>
        <w:tc>
          <w:tcPr>
            <w:tcW w:w="620" w:type="dxa"/>
            <w:vAlign w:val="bottom"/>
          </w:tcPr>
          <w:p>
            <w:pPr>
              <w:spacing w:after="0"/>
              <w:rPr>
                <w:sz w:val="17"/>
                <w:szCs w:val="17"/>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1987</w:t>
            </w: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710’</w:t>
            </w:r>
          </w:p>
        </w:tc>
        <w:tc>
          <w:tcPr>
            <w:tcW w:w="0" w:type="dxa"/>
            <w:vAlign w:val="bottom"/>
          </w:tcPr>
          <w:p>
            <w:pPr>
              <w:spacing w:after="0"/>
              <w:rPr>
                <w:sz w:val="1"/>
                <w:szCs w:val="1"/>
                <w:color w:val="auto"/>
              </w:rPr>
            </w:pPr>
          </w:p>
        </w:tc>
      </w:tr>
      <w:tr>
        <w:trPr>
          <w:trHeight w:val="98"/>
        </w:trPr>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4"/>
              </w:rPr>
              <w:t>Owned</w:t>
            </w:r>
          </w:p>
        </w:tc>
        <w:tc>
          <w:tcPr>
            <w:tcW w:w="7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continue"/>
          </w:tcPr>
          <w:p>
            <w:pPr>
              <w:spacing w:after="0"/>
              <w:rPr>
                <w:sz w:val="8"/>
                <w:szCs w:val="8"/>
                <w:color w:val="auto"/>
              </w:rPr>
            </w:pPr>
          </w:p>
        </w:tc>
        <w:tc>
          <w:tcPr>
            <w:tcW w:w="400" w:type="dxa"/>
            <w:vAlign w:val="bottom"/>
            <w:vMerge w:val="restart"/>
          </w:tcPr>
          <w:p>
            <w:pPr>
              <w:jc w:val="center"/>
              <w:ind w:left="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4"/>
        </w:trPr>
        <w:tc>
          <w:tcPr>
            <w:tcW w:w="7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910306</w:t>
            </w: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1,668</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280</w:t>
            </w:r>
          </w:p>
        </w:tc>
        <w:tc>
          <w:tcPr>
            <w:tcW w:w="620" w:type="dxa"/>
            <w:vAlign w:val="bottom"/>
          </w:tcPr>
          <w:p>
            <w:pPr>
              <w:spacing w:after="0"/>
              <w:rPr>
                <w:sz w:val="17"/>
                <w:szCs w:val="17"/>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1987</w:t>
            </w: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710’</w:t>
            </w:r>
          </w:p>
        </w:tc>
        <w:tc>
          <w:tcPr>
            <w:tcW w:w="0" w:type="dxa"/>
            <w:vAlign w:val="bottom"/>
          </w:tcPr>
          <w:p>
            <w:pPr>
              <w:spacing w:after="0"/>
              <w:rPr>
                <w:sz w:val="1"/>
                <w:szCs w:val="1"/>
                <w:color w:val="auto"/>
              </w:rPr>
            </w:pPr>
          </w:p>
        </w:tc>
      </w:tr>
      <w:tr>
        <w:trPr>
          <w:trHeight w:val="98"/>
        </w:trPr>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4"/>
              </w:rPr>
              <w:t>Owned</w:t>
            </w:r>
          </w:p>
        </w:tc>
        <w:tc>
          <w:tcPr>
            <w:tcW w:w="7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continue"/>
          </w:tcPr>
          <w:p>
            <w:pPr>
              <w:spacing w:after="0"/>
              <w:rPr>
                <w:sz w:val="8"/>
                <w:szCs w:val="8"/>
                <w:color w:val="auto"/>
              </w:rPr>
            </w:pPr>
          </w:p>
        </w:tc>
        <w:tc>
          <w:tcPr>
            <w:tcW w:w="400" w:type="dxa"/>
            <w:vAlign w:val="bottom"/>
            <w:vMerge w:val="restart"/>
          </w:tcPr>
          <w:p>
            <w:pPr>
              <w:jc w:val="center"/>
              <w:ind w:left="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4"/>
        </w:trPr>
        <w:tc>
          <w:tcPr>
            <w:tcW w:w="7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910307</w:t>
            </w: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1,668</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280</w:t>
            </w:r>
          </w:p>
        </w:tc>
        <w:tc>
          <w:tcPr>
            <w:tcW w:w="620" w:type="dxa"/>
            <w:vAlign w:val="bottom"/>
          </w:tcPr>
          <w:p>
            <w:pPr>
              <w:spacing w:after="0"/>
              <w:rPr>
                <w:sz w:val="17"/>
                <w:szCs w:val="17"/>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1987</w:t>
            </w: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710’</w:t>
            </w:r>
          </w:p>
        </w:tc>
        <w:tc>
          <w:tcPr>
            <w:tcW w:w="0" w:type="dxa"/>
            <w:vAlign w:val="bottom"/>
          </w:tcPr>
          <w:p>
            <w:pPr>
              <w:spacing w:after="0"/>
              <w:rPr>
                <w:sz w:val="1"/>
                <w:szCs w:val="1"/>
                <w:color w:val="auto"/>
              </w:rPr>
            </w:pPr>
          </w:p>
        </w:tc>
      </w:tr>
      <w:tr>
        <w:trPr>
          <w:trHeight w:val="98"/>
        </w:trPr>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4"/>
              </w:rPr>
              <w:t>Owned</w:t>
            </w:r>
          </w:p>
        </w:tc>
        <w:tc>
          <w:tcPr>
            <w:tcW w:w="7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continue"/>
          </w:tcPr>
          <w:p>
            <w:pPr>
              <w:spacing w:after="0"/>
              <w:rPr>
                <w:sz w:val="8"/>
                <w:szCs w:val="8"/>
                <w:color w:val="auto"/>
              </w:rPr>
            </w:pPr>
          </w:p>
        </w:tc>
        <w:tc>
          <w:tcPr>
            <w:tcW w:w="400" w:type="dxa"/>
            <w:vAlign w:val="bottom"/>
            <w:vMerge w:val="restart"/>
          </w:tcPr>
          <w:p>
            <w:pPr>
              <w:jc w:val="center"/>
              <w:ind w:left="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4"/>
        </w:trPr>
        <w:tc>
          <w:tcPr>
            <w:tcW w:w="7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9232979</w:t>
            </w: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707</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100</w:t>
            </w:r>
          </w:p>
        </w:tc>
        <w:tc>
          <w:tcPr>
            <w:tcW w:w="620" w:type="dxa"/>
            <w:vAlign w:val="bottom"/>
          </w:tcPr>
          <w:p>
            <w:pPr>
              <w:spacing w:after="0"/>
              <w:rPr>
                <w:sz w:val="17"/>
                <w:szCs w:val="17"/>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2000</w:t>
            </w: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433’</w:t>
            </w:r>
          </w:p>
        </w:tc>
        <w:tc>
          <w:tcPr>
            <w:tcW w:w="0" w:type="dxa"/>
            <w:vAlign w:val="bottom"/>
          </w:tcPr>
          <w:p>
            <w:pPr>
              <w:spacing w:after="0"/>
              <w:rPr>
                <w:sz w:val="1"/>
                <w:szCs w:val="1"/>
                <w:color w:val="auto"/>
              </w:rPr>
            </w:pPr>
          </w:p>
        </w:tc>
      </w:tr>
      <w:tr>
        <w:trPr>
          <w:trHeight w:val="98"/>
        </w:trPr>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4"/>
              </w:rPr>
              <w:t>Owned</w:t>
            </w:r>
          </w:p>
        </w:tc>
        <w:tc>
          <w:tcPr>
            <w:tcW w:w="7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continue"/>
          </w:tcPr>
          <w:p>
            <w:pPr>
              <w:spacing w:after="0"/>
              <w:rPr>
                <w:sz w:val="8"/>
                <w:szCs w:val="8"/>
                <w:color w:val="auto"/>
              </w:rPr>
            </w:pPr>
          </w:p>
        </w:tc>
        <w:tc>
          <w:tcPr>
            <w:tcW w:w="400" w:type="dxa"/>
            <w:vAlign w:val="bottom"/>
            <w:vMerge w:val="restart"/>
          </w:tcPr>
          <w:p>
            <w:pPr>
              <w:jc w:val="center"/>
              <w:ind w:left="3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04"/>
        </w:trPr>
        <w:tc>
          <w:tcPr>
            <w:tcW w:w="7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9184225</w:t>
            </w: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645</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120</w:t>
            </w:r>
          </w:p>
        </w:tc>
        <w:tc>
          <w:tcPr>
            <w:tcW w:w="620" w:type="dxa"/>
            <w:vAlign w:val="bottom"/>
          </w:tcPr>
          <w:p>
            <w:pPr>
              <w:spacing w:after="0"/>
              <w:rPr>
                <w:sz w:val="17"/>
                <w:szCs w:val="17"/>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2004</w:t>
            </w: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388’</w:t>
            </w:r>
          </w:p>
        </w:tc>
        <w:tc>
          <w:tcPr>
            <w:tcW w:w="0" w:type="dxa"/>
            <w:vAlign w:val="bottom"/>
          </w:tcPr>
          <w:p>
            <w:pPr>
              <w:spacing w:after="0"/>
              <w:rPr>
                <w:sz w:val="1"/>
                <w:szCs w:val="1"/>
                <w:color w:val="auto"/>
              </w:rPr>
            </w:pPr>
          </w:p>
        </w:tc>
      </w:tr>
      <w:tr>
        <w:trPr>
          <w:trHeight w:val="203"/>
        </w:trPr>
        <w:tc>
          <w:tcPr>
            <w:tcW w:w="720" w:type="dxa"/>
            <w:vAlign w:val="bottom"/>
          </w:tcPr>
          <w:p>
            <w:pPr>
              <w:jc w:val="center"/>
              <w:spacing w:after="0"/>
              <w:rPr>
                <w:sz w:val="20"/>
                <w:szCs w:val="20"/>
                <w:color w:val="auto"/>
              </w:rPr>
            </w:pPr>
            <w:r>
              <w:rPr>
                <w:rFonts w:ascii="Arial" w:cs="Arial" w:eastAsia="Arial" w:hAnsi="Arial"/>
                <w:sz w:val="16"/>
                <w:szCs w:val="16"/>
                <w:color w:val="auto"/>
                <w:w w:val="89"/>
              </w:rPr>
              <w:t>Chartered</w:t>
            </w:r>
          </w:p>
        </w:tc>
        <w:tc>
          <w:tcPr>
            <w:tcW w:w="7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continue"/>
          </w:tcPr>
          <w:p>
            <w:pPr>
              <w:spacing w:after="0"/>
              <w:rPr>
                <w:sz w:val="17"/>
                <w:szCs w:val="17"/>
                <w:color w:val="auto"/>
              </w:rPr>
            </w:pPr>
          </w:p>
        </w:tc>
        <w:tc>
          <w:tcPr>
            <w:tcW w:w="400" w:type="dxa"/>
            <w:vAlign w:val="bottom"/>
          </w:tcPr>
          <w:p>
            <w:pPr>
              <w:jc w:val="center"/>
              <w:ind w:left="3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630</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90</w:t>
            </w: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388’</w:t>
            </w:r>
          </w:p>
        </w:tc>
        <w:tc>
          <w:tcPr>
            <w:tcW w:w="0" w:type="dxa"/>
            <w:vAlign w:val="bottom"/>
          </w:tcPr>
          <w:p>
            <w:pPr>
              <w:spacing w:after="0"/>
              <w:rPr>
                <w:sz w:val="1"/>
                <w:szCs w:val="1"/>
                <w:color w:val="auto"/>
              </w:rPr>
            </w:pPr>
          </w:p>
        </w:tc>
      </w:tr>
      <w:tr>
        <w:trPr>
          <w:trHeight w:val="98"/>
        </w:trPr>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89"/>
              </w:rPr>
              <w:t>Chartered</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9184237</w:t>
            </w: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2005</w:t>
            </w:r>
          </w:p>
        </w:tc>
        <w:tc>
          <w:tcPr>
            <w:tcW w:w="400" w:type="dxa"/>
            <w:vAlign w:val="bottom"/>
            <w:vMerge w:val="restart"/>
          </w:tcPr>
          <w:p>
            <w:pPr>
              <w:jc w:val="center"/>
              <w:ind w:lef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04"/>
        </w:trPr>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9184249</w:t>
            </w: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630</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90</w:t>
            </w:r>
          </w:p>
        </w:tc>
        <w:tc>
          <w:tcPr>
            <w:tcW w:w="620" w:type="dxa"/>
            <w:vAlign w:val="bottom"/>
          </w:tcPr>
          <w:p>
            <w:pPr>
              <w:spacing w:after="0"/>
              <w:rPr>
                <w:sz w:val="17"/>
                <w:szCs w:val="17"/>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2004</w:t>
            </w: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388’</w:t>
            </w:r>
          </w:p>
        </w:tc>
        <w:tc>
          <w:tcPr>
            <w:tcW w:w="0" w:type="dxa"/>
            <w:vAlign w:val="bottom"/>
          </w:tcPr>
          <w:p>
            <w:pPr>
              <w:spacing w:after="0"/>
              <w:rPr>
                <w:sz w:val="1"/>
                <w:szCs w:val="1"/>
                <w:color w:val="auto"/>
              </w:rPr>
            </w:pPr>
          </w:p>
        </w:tc>
      </w:tr>
      <w:tr>
        <w:trPr>
          <w:trHeight w:val="203"/>
        </w:trPr>
        <w:tc>
          <w:tcPr>
            <w:tcW w:w="720" w:type="dxa"/>
            <w:vAlign w:val="bottom"/>
          </w:tcPr>
          <w:p>
            <w:pPr>
              <w:jc w:val="center"/>
              <w:spacing w:after="0"/>
              <w:rPr>
                <w:sz w:val="20"/>
                <w:szCs w:val="20"/>
                <w:color w:val="auto"/>
              </w:rPr>
            </w:pPr>
            <w:r>
              <w:rPr>
                <w:rFonts w:ascii="Arial" w:cs="Arial" w:eastAsia="Arial" w:hAnsi="Arial"/>
                <w:sz w:val="16"/>
                <w:szCs w:val="16"/>
                <w:color w:val="auto"/>
                <w:w w:val="89"/>
              </w:rPr>
              <w:t>Chartered</w:t>
            </w:r>
          </w:p>
        </w:tc>
        <w:tc>
          <w:tcPr>
            <w:tcW w:w="7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continue"/>
          </w:tcPr>
          <w:p>
            <w:pPr>
              <w:spacing w:after="0"/>
              <w:rPr>
                <w:sz w:val="17"/>
                <w:szCs w:val="17"/>
                <w:color w:val="auto"/>
              </w:rPr>
            </w:pPr>
          </w:p>
        </w:tc>
        <w:tc>
          <w:tcPr>
            <w:tcW w:w="400" w:type="dxa"/>
            <w:vAlign w:val="bottom"/>
          </w:tcPr>
          <w:p>
            <w:pPr>
              <w:jc w:val="center"/>
              <w:ind w:lef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1559</w:t>
            </w: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521</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68</w:t>
            </w:r>
          </w:p>
        </w:tc>
        <w:tc>
          <w:tcPr>
            <w:tcW w:w="620" w:type="dxa"/>
            <w:vAlign w:val="bottom"/>
          </w:tcPr>
          <w:p>
            <w:pPr>
              <w:spacing w:after="0"/>
              <w:rPr>
                <w:sz w:val="17"/>
                <w:szCs w:val="17"/>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1999</w:t>
            </w: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381’</w:t>
            </w:r>
          </w:p>
        </w:tc>
        <w:tc>
          <w:tcPr>
            <w:tcW w:w="0" w:type="dxa"/>
            <w:vAlign w:val="bottom"/>
          </w:tcPr>
          <w:p>
            <w:pPr>
              <w:spacing w:after="0"/>
              <w:rPr>
                <w:sz w:val="1"/>
                <w:szCs w:val="1"/>
                <w:color w:val="auto"/>
              </w:rPr>
            </w:pPr>
          </w:p>
        </w:tc>
      </w:tr>
      <w:tr>
        <w:trPr>
          <w:trHeight w:val="98"/>
        </w:trPr>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4"/>
              </w:rPr>
              <w:t>Owned</w:t>
            </w:r>
          </w:p>
        </w:tc>
        <w:tc>
          <w:tcPr>
            <w:tcW w:w="7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continue"/>
          </w:tcPr>
          <w:p>
            <w:pPr>
              <w:spacing w:after="0"/>
              <w:rPr>
                <w:sz w:val="8"/>
                <w:szCs w:val="8"/>
                <w:color w:val="auto"/>
              </w:rPr>
            </w:pPr>
          </w:p>
        </w:tc>
        <w:tc>
          <w:tcPr>
            <w:tcW w:w="400" w:type="dxa"/>
            <w:vAlign w:val="bottom"/>
            <w:vMerge w:val="restart"/>
          </w:tcPr>
          <w:p>
            <w:pPr>
              <w:jc w:val="center"/>
              <w:ind w:left="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04"/>
        </w:trPr>
        <w:tc>
          <w:tcPr>
            <w:tcW w:w="7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9164550</w:t>
            </w: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505</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101</w:t>
            </w:r>
          </w:p>
        </w:tc>
        <w:tc>
          <w:tcPr>
            <w:tcW w:w="620" w:type="dxa"/>
            <w:vAlign w:val="bottom"/>
          </w:tcPr>
          <w:p>
            <w:pPr>
              <w:spacing w:after="0"/>
              <w:rPr>
                <w:sz w:val="17"/>
                <w:szCs w:val="17"/>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2000</w:t>
            </w: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330’</w:t>
            </w:r>
          </w:p>
        </w:tc>
        <w:tc>
          <w:tcPr>
            <w:tcW w:w="0" w:type="dxa"/>
            <w:vAlign w:val="bottom"/>
          </w:tcPr>
          <w:p>
            <w:pPr>
              <w:spacing w:after="0"/>
              <w:rPr>
                <w:sz w:val="1"/>
                <w:szCs w:val="1"/>
                <w:color w:val="auto"/>
              </w:rPr>
            </w:pPr>
          </w:p>
        </w:tc>
      </w:tr>
      <w:tr>
        <w:trPr>
          <w:trHeight w:val="203"/>
        </w:trPr>
        <w:tc>
          <w:tcPr>
            <w:tcW w:w="720" w:type="dxa"/>
            <w:vAlign w:val="bottom"/>
          </w:tcPr>
          <w:p>
            <w:pPr>
              <w:jc w:val="center"/>
              <w:spacing w:after="0"/>
              <w:rPr>
                <w:sz w:val="20"/>
                <w:szCs w:val="20"/>
                <w:color w:val="auto"/>
              </w:rPr>
            </w:pPr>
            <w:r>
              <w:rPr>
                <w:rFonts w:ascii="Arial" w:cs="Arial" w:eastAsia="Arial" w:hAnsi="Arial"/>
                <w:sz w:val="16"/>
                <w:szCs w:val="16"/>
                <w:color w:val="auto"/>
                <w:w w:val="89"/>
              </w:rPr>
              <w:t>Chartered</w:t>
            </w:r>
          </w:p>
        </w:tc>
        <w:tc>
          <w:tcPr>
            <w:tcW w:w="7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continue"/>
          </w:tcPr>
          <w:p>
            <w:pPr>
              <w:spacing w:after="0"/>
              <w:rPr>
                <w:sz w:val="17"/>
                <w:szCs w:val="17"/>
                <w:color w:val="auto"/>
              </w:rPr>
            </w:pPr>
          </w:p>
        </w:tc>
        <w:tc>
          <w:tcPr>
            <w:tcW w:w="400" w:type="dxa"/>
            <w:vAlign w:val="bottom"/>
          </w:tcPr>
          <w:p>
            <w:pPr>
              <w:jc w:val="center"/>
              <w:ind w:left="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4958</w:t>
            </w: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384</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60</w:t>
            </w:r>
          </w:p>
        </w:tc>
        <w:tc>
          <w:tcPr>
            <w:tcW w:w="620" w:type="dxa"/>
            <w:vAlign w:val="bottom"/>
          </w:tcPr>
          <w:p>
            <w:pPr>
              <w:spacing w:after="0"/>
              <w:rPr>
                <w:sz w:val="17"/>
                <w:szCs w:val="17"/>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1997</w:t>
            </w: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329’</w:t>
            </w:r>
          </w:p>
        </w:tc>
        <w:tc>
          <w:tcPr>
            <w:tcW w:w="0" w:type="dxa"/>
            <w:vAlign w:val="bottom"/>
          </w:tcPr>
          <w:p>
            <w:pPr>
              <w:spacing w:after="0"/>
              <w:rPr>
                <w:sz w:val="1"/>
                <w:szCs w:val="1"/>
                <w:color w:val="auto"/>
              </w:rPr>
            </w:pPr>
          </w:p>
        </w:tc>
      </w:tr>
      <w:tr>
        <w:trPr>
          <w:trHeight w:val="98"/>
        </w:trPr>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4"/>
              </w:rPr>
              <w:t>Owned</w:t>
            </w:r>
          </w:p>
        </w:tc>
        <w:tc>
          <w:tcPr>
            <w:tcW w:w="7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continue"/>
          </w:tcPr>
          <w:p>
            <w:pPr>
              <w:spacing w:after="0"/>
              <w:rPr>
                <w:sz w:val="8"/>
                <w:szCs w:val="8"/>
                <w:color w:val="auto"/>
              </w:rPr>
            </w:pPr>
          </w:p>
        </w:tc>
        <w:tc>
          <w:tcPr>
            <w:tcW w:w="400" w:type="dxa"/>
            <w:vAlign w:val="bottom"/>
            <w:vMerge w:val="restart"/>
          </w:tcPr>
          <w:p>
            <w:pPr>
              <w:jc w:val="center"/>
              <w:ind w:left="3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08"/>
        </w:trPr>
        <w:tc>
          <w:tcPr>
            <w:tcW w:w="7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2,018</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188</w:t>
            </w:r>
          </w:p>
        </w:tc>
        <w:tc>
          <w:tcPr>
            <w:tcW w:w="620" w:type="dxa"/>
            <w:vAlign w:val="bottom"/>
          </w:tcPr>
          <w:p>
            <w:pPr>
              <w:spacing w:after="0"/>
              <w:rPr>
                <w:sz w:val="24"/>
                <w:szCs w:val="24"/>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1971</w:t>
            </w: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787’</w:t>
            </w:r>
          </w:p>
        </w:tc>
        <w:tc>
          <w:tcPr>
            <w:tcW w:w="0" w:type="dxa"/>
            <w:vAlign w:val="bottom"/>
          </w:tcPr>
          <w:p>
            <w:pPr>
              <w:spacing w:after="0"/>
              <w:rPr>
                <w:sz w:val="1"/>
                <w:szCs w:val="1"/>
                <w:color w:val="auto"/>
              </w:rPr>
            </w:pPr>
          </w:p>
        </w:tc>
      </w:tr>
      <w:tr>
        <w:trPr>
          <w:trHeight w:val="98"/>
        </w:trPr>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4"/>
              </w:rPr>
              <w:t>Owned</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530137</w:t>
            </w: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continue"/>
          </w:tcPr>
          <w:p>
            <w:pPr>
              <w:spacing w:after="0"/>
              <w:rPr>
                <w:sz w:val="8"/>
                <w:szCs w:val="8"/>
                <w:color w:val="auto"/>
              </w:rPr>
            </w:pPr>
          </w:p>
        </w:tc>
        <w:tc>
          <w:tcPr>
            <w:tcW w:w="400" w:type="dxa"/>
            <w:vAlign w:val="bottom"/>
            <w:vMerge w:val="restart"/>
          </w:tcPr>
          <w:p>
            <w:pPr>
              <w:jc w:val="center"/>
              <w:ind w:left="3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04"/>
        </w:trPr>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1,644</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276</w:t>
            </w:r>
          </w:p>
        </w:tc>
        <w:tc>
          <w:tcPr>
            <w:tcW w:w="620" w:type="dxa"/>
            <w:vAlign w:val="bottom"/>
          </w:tcPr>
          <w:p>
            <w:pPr>
              <w:spacing w:after="0"/>
              <w:rPr>
                <w:sz w:val="17"/>
                <w:szCs w:val="17"/>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1980</w:t>
            </w: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720’</w:t>
            </w:r>
          </w:p>
        </w:tc>
        <w:tc>
          <w:tcPr>
            <w:tcW w:w="0" w:type="dxa"/>
            <w:vAlign w:val="bottom"/>
          </w:tcPr>
          <w:p>
            <w:pPr>
              <w:spacing w:after="0"/>
              <w:rPr>
                <w:sz w:val="1"/>
                <w:szCs w:val="1"/>
                <w:color w:val="auto"/>
              </w:rPr>
            </w:pPr>
          </w:p>
        </w:tc>
      </w:tr>
      <w:tr>
        <w:trPr>
          <w:trHeight w:val="98"/>
        </w:trPr>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4"/>
              </w:rPr>
              <w:t>Owned</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621042</w:t>
            </w: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44</w:t>
            </w:r>
          </w:p>
        </w:tc>
        <w:tc>
          <w:tcPr>
            <w:tcW w:w="540" w:type="dxa"/>
            <w:vAlign w:val="bottom"/>
            <w:vMerge w:val="continue"/>
          </w:tcPr>
          <w:p>
            <w:pPr>
              <w:spacing w:after="0"/>
              <w:rPr>
                <w:sz w:val="8"/>
                <w:szCs w:val="8"/>
                <w:color w:val="auto"/>
              </w:rPr>
            </w:pPr>
          </w:p>
        </w:tc>
        <w:tc>
          <w:tcPr>
            <w:tcW w:w="400" w:type="dxa"/>
            <w:vAlign w:val="bottom"/>
            <w:vMerge w:val="restart"/>
          </w:tcPr>
          <w:p>
            <w:pPr>
              <w:jc w:val="center"/>
              <w:ind w:left="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04"/>
        </w:trPr>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1,727</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258</w:t>
            </w:r>
          </w:p>
        </w:tc>
        <w:tc>
          <w:tcPr>
            <w:tcW w:w="620" w:type="dxa"/>
            <w:vAlign w:val="bottom"/>
          </w:tcPr>
          <w:p>
            <w:pPr>
              <w:spacing w:after="0"/>
              <w:rPr>
                <w:sz w:val="17"/>
                <w:szCs w:val="17"/>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1973</w:t>
            </w: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760’</w:t>
            </w:r>
          </w:p>
        </w:tc>
        <w:tc>
          <w:tcPr>
            <w:tcW w:w="0" w:type="dxa"/>
            <w:vAlign w:val="bottom"/>
          </w:tcPr>
          <w:p>
            <w:pPr>
              <w:spacing w:after="0"/>
              <w:rPr>
                <w:sz w:val="1"/>
                <w:szCs w:val="1"/>
                <w:color w:val="auto"/>
              </w:rPr>
            </w:pPr>
          </w:p>
        </w:tc>
      </w:tr>
      <w:tr>
        <w:trPr>
          <w:trHeight w:val="98"/>
        </w:trPr>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4"/>
              </w:rPr>
              <w:t>Owned</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553090</w:t>
            </w: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450</w:t>
            </w:r>
          </w:p>
        </w:tc>
        <w:tc>
          <w:tcPr>
            <w:tcW w:w="540" w:type="dxa"/>
            <w:vAlign w:val="bottom"/>
            <w:vMerge w:val="continue"/>
          </w:tcPr>
          <w:p>
            <w:pPr>
              <w:spacing w:after="0"/>
              <w:rPr>
                <w:sz w:val="8"/>
                <w:szCs w:val="8"/>
                <w:color w:val="auto"/>
              </w:rPr>
            </w:pPr>
          </w:p>
        </w:tc>
        <w:tc>
          <w:tcPr>
            <w:tcW w:w="400" w:type="dxa"/>
            <w:vAlign w:val="bottom"/>
            <w:vMerge w:val="restart"/>
          </w:tcPr>
          <w:p>
            <w:pPr>
              <w:jc w:val="center"/>
              <w:ind w:left="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8"/>
        </w:trPr>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500</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78</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362’</w:t>
            </w:r>
          </w:p>
        </w:tc>
        <w:tc>
          <w:tcPr>
            <w:tcW w:w="0" w:type="dxa"/>
            <w:vAlign w:val="bottom"/>
          </w:tcPr>
          <w:p>
            <w:pPr>
              <w:spacing w:after="0"/>
              <w:rPr>
                <w:sz w:val="1"/>
                <w:szCs w:val="1"/>
                <w:color w:val="auto"/>
              </w:rPr>
            </w:pPr>
          </w:p>
        </w:tc>
      </w:tr>
      <w:tr>
        <w:trPr>
          <w:trHeight w:val="98"/>
        </w:trPr>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89"/>
              </w:rPr>
              <w:t>Chartered</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1247426</w:t>
            </w: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2013</w:t>
            </w:r>
          </w:p>
        </w:tc>
        <w:tc>
          <w:tcPr>
            <w:tcW w:w="400" w:type="dxa"/>
            <w:vAlign w:val="bottom"/>
            <w:vMerge w:val="restart"/>
          </w:tcPr>
          <w:p>
            <w:pPr>
              <w:jc w:val="center"/>
              <w:ind w:lef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04"/>
        </w:trPr>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335</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78</w:t>
            </w: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350’</w:t>
            </w:r>
          </w:p>
        </w:tc>
        <w:tc>
          <w:tcPr>
            <w:tcW w:w="0" w:type="dxa"/>
            <w:vAlign w:val="bottom"/>
          </w:tcPr>
          <w:p>
            <w:pPr>
              <w:spacing w:after="0"/>
              <w:rPr>
                <w:sz w:val="1"/>
                <w:szCs w:val="1"/>
                <w:color w:val="auto"/>
              </w:rPr>
            </w:pPr>
          </w:p>
        </w:tc>
      </w:tr>
      <w:tr>
        <w:trPr>
          <w:trHeight w:val="98"/>
        </w:trPr>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4"/>
              </w:rPr>
              <w:t>Owned</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676972</w:t>
            </w: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1984</w:t>
            </w:r>
          </w:p>
        </w:tc>
        <w:tc>
          <w:tcPr>
            <w:tcW w:w="400" w:type="dxa"/>
            <w:vAlign w:val="bottom"/>
            <w:vMerge w:val="restart"/>
          </w:tcPr>
          <w:p>
            <w:pPr>
              <w:jc w:val="center"/>
              <w:ind w:left="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4"/>
        </w:trPr>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178</w:t>
            </w: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250’</w:t>
            </w:r>
          </w:p>
        </w:tc>
        <w:tc>
          <w:tcPr>
            <w:tcW w:w="0" w:type="dxa"/>
            <w:vAlign w:val="bottom"/>
          </w:tcPr>
          <w:p>
            <w:pPr>
              <w:spacing w:after="0"/>
              <w:rPr>
                <w:sz w:val="1"/>
                <w:szCs w:val="1"/>
                <w:color w:val="auto"/>
              </w:rPr>
            </w:pPr>
          </w:p>
        </w:tc>
      </w:tr>
      <w:tr>
        <w:trPr>
          <w:trHeight w:val="98"/>
        </w:trPr>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89"/>
              </w:rPr>
              <w:t>Chartered</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1249384</w:t>
            </w:r>
          </w:p>
        </w:tc>
        <w:tc>
          <w:tcPr>
            <w:tcW w:w="660" w:type="dxa"/>
            <w:vAlign w:val="bottom"/>
            <w:vMerge w:val="continue"/>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2013</w:t>
            </w:r>
          </w:p>
        </w:tc>
        <w:tc>
          <w:tcPr>
            <w:tcW w:w="400" w:type="dxa"/>
            <w:vAlign w:val="bottom"/>
            <w:vMerge w:val="restart"/>
          </w:tcPr>
          <w:p>
            <w:pPr>
              <w:jc w:val="center"/>
              <w:ind w:left="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4"/>
        </w:trPr>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89"/>
              </w:rPr>
              <w:t>36</w:t>
            </w: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jc w:val="center"/>
              <w:ind w:left="19"/>
              <w:spacing w:after="0"/>
              <w:rPr>
                <w:sz w:val="20"/>
                <w:szCs w:val="20"/>
                <w:color w:val="auto"/>
              </w:rPr>
            </w:pPr>
            <w:r>
              <w:rPr>
                <w:rFonts w:ascii="Arial" w:cs="Arial" w:eastAsia="Arial" w:hAnsi="Arial"/>
                <w:sz w:val="16"/>
                <w:szCs w:val="16"/>
                <w:color w:val="auto"/>
                <w:w w:val="99"/>
              </w:rPr>
              <w:t>345’</w:t>
            </w:r>
          </w:p>
        </w:tc>
        <w:tc>
          <w:tcPr>
            <w:tcW w:w="0" w:type="dxa"/>
            <w:vAlign w:val="bottom"/>
          </w:tcPr>
          <w:p>
            <w:pPr>
              <w:spacing w:after="0"/>
              <w:rPr>
                <w:sz w:val="1"/>
                <w:szCs w:val="1"/>
                <w:color w:val="auto"/>
              </w:rPr>
            </w:pPr>
          </w:p>
        </w:tc>
      </w:tr>
      <w:tr>
        <w:trPr>
          <w:trHeight w:val="98"/>
        </w:trPr>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4"/>
              </w:rPr>
              <w:t>Owned</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978516</w:t>
            </w: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560" w:type="dxa"/>
            <w:vAlign w:val="bottom"/>
            <w:vMerge w:val="continue"/>
          </w:tcPr>
          <w:p>
            <w:pPr>
              <w:spacing w:after="0"/>
              <w:rPr>
                <w:sz w:val="8"/>
                <w:szCs w:val="8"/>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230</w:t>
            </w: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1991</w:t>
            </w:r>
          </w:p>
        </w:tc>
        <w:tc>
          <w:tcPr>
            <w:tcW w:w="400" w:type="dxa"/>
            <w:vAlign w:val="bottom"/>
            <w:vMerge w:val="restart"/>
          </w:tcPr>
          <w:p>
            <w:pPr>
              <w:jc w:val="center"/>
              <w:ind w:left="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8"/>
        </w:trPr>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-6941820</wp:posOffset>
            </wp:positionV>
            <wp:extent cx="575437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5717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-6427470</wp:posOffset>
            </wp:positionV>
            <wp:extent cx="5754370"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5717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-5913120</wp:posOffset>
            </wp:positionV>
            <wp:extent cx="575437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5717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-5398135</wp:posOffset>
            </wp:positionV>
            <wp:extent cx="5754370"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5717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-4883785</wp:posOffset>
            </wp:positionV>
            <wp:extent cx="5754370"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5717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-4369435</wp:posOffset>
            </wp:positionV>
            <wp:extent cx="575437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5717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-3854450</wp:posOffset>
            </wp:positionV>
            <wp:extent cx="575437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5717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-3340100</wp:posOffset>
            </wp:positionV>
            <wp:extent cx="5754370"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5717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-2825750</wp:posOffset>
            </wp:positionV>
            <wp:extent cx="5754370"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5717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-2310765</wp:posOffset>
            </wp:positionV>
            <wp:extent cx="575437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2890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-2053590</wp:posOffset>
            </wp:positionV>
            <wp:extent cx="5754370" cy="25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5717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-1539240</wp:posOffset>
            </wp:positionV>
            <wp:extent cx="5754370" cy="257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5717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-1153160</wp:posOffset>
            </wp:positionV>
            <wp:extent cx="575437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12890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-767080</wp:posOffset>
            </wp:positionV>
            <wp:extent cx="5754370" cy="257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5717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-252730</wp:posOffset>
            </wp:positionV>
            <wp:extent cx="5754370" cy="257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auto"/>
        </w:rPr>
        <w:t>23.5</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23.0</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23.0</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23.0</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23.0</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23.0</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23.0</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23.0</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22.1</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20.0</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20.0</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20.0</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17.5</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14.0</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15.0</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15.0</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14.0</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14.5</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13.0</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21.0</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22.0</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21.0</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auto"/>
        </w:rPr>
        <w:t>50,794</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30,187</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30,167</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29,517</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29,517</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29,517</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27,100</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29,484</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33,771</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37,473</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37,473</w:t>
      </w:r>
    </w:p>
    <w:p>
      <w:pPr>
        <w:spacing w:after="0" w:line="233"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37,473</w:t>
      </w:r>
    </w:p>
    <w:p>
      <w:pPr>
        <w:spacing w:after="0" w:line="23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8,509</w:t>
      </w:r>
    </w:p>
    <w:p>
      <w:pPr>
        <w:spacing w:after="0" w:line="221"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8,200</w:t>
      </w:r>
    </w:p>
    <w:p>
      <w:pPr>
        <w:spacing w:after="0" w:line="221"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8,071</w:t>
      </w:r>
    </w:p>
    <w:p>
      <w:pPr>
        <w:spacing w:after="0" w:line="221"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8,071</w:t>
      </w:r>
    </w:p>
    <w:p>
      <w:pPr>
        <w:spacing w:after="0" w:line="221"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5,364</w:t>
      </w:r>
    </w:p>
    <w:p>
      <w:pPr>
        <w:spacing w:after="0" w:line="221"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5,550</w:t>
      </w:r>
    </w:p>
    <w:p>
      <w:pPr>
        <w:spacing w:after="0" w:line="221"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4,508</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38,656</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26,308</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22,501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12,678</w:t>
      </w:r>
    </w:p>
    <w:p>
      <w:pPr>
        <w:spacing w:after="0" w:line="23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4,658</w:t>
      </w:r>
    </w:p>
    <w:p>
      <w:pPr>
        <w:spacing w:after="0" w:line="221"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4,138</w:t>
      </w:r>
    </w:p>
    <w:p>
      <w:pPr>
        <w:spacing w:after="0" w:line="221"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5,621</w:t>
      </w:r>
    </w:p>
    <w:p>
      <w:pPr>
        <w:spacing w:after="0" w:line="222" w:lineRule="exact"/>
        <w:rPr>
          <w:sz w:val="20"/>
          <w:szCs w:val="20"/>
          <w:color w:val="auto"/>
        </w:rPr>
      </w:pPr>
    </w:p>
    <w:p>
      <w:pPr>
        <w:sectPr>
          <w:pgSz w:w="11900" w:h="16838" w:orient="portrait"/>
          <w:cols w:equalWidth="0" w:num="4">
            <w:col w:w="2300" w:space="720"/>
            <w:col w:w="4280" w:space="400"/>
            <w:col w:w="300" w:space="560"/>
            <w:col w:w="500"/>
          </w:cols>
          <w:pgMar w:left="1420" w:top="125" w:right="1419" w:bottom="0" w:gutter="0" w:footer="0" w:header="0"/>
          <w:type w:val="continuous"/>
        </w:sectPr>
      </w:pPr>
    </w:p>
    <w:p>
      <w:pPr>
        <w:spacing w:after="0" w:line="16" w:lineRule="exact"/>
        <w:rPr>
          <w:sz w:val="20"/>
          <w:szCs w:val="20"/>
          <w:color w:val="auto"/>
        </w:rPr>
      </w:pPr>
    </w:p>
    <w:p>
      <w:pPr>
        <w:ind w:left="320" w:hanging="317"/>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inactive vessels.</w:t>
      </w:r>
    </w:p>
    <w:p>
      <w:pPr>
        <w:ind w:left="320" w:hanging="317"/>
        <w:spacing w:after="0" w:line="221" w:lineRule="auto"/>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Twenty-foot Equivalent Units (“TEU”) is a standard measure of cargo volume correlated to a standard 20-foot dry cargo container.</w:t>
      </w:r>
    </w:p>
    <w:p>
      <w:pPr>
        <w:ind w:left="320" w:hanging="317"/>
        <w:spacing w:after="0" w:line="221" w:lineRule="auto"/>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U.S. flagged and Jones Act qualified vessel or barge.</w:t>
      </w:r>
    </w:p>
    <w:p>
      <w:pPr>
        <w:ind w:left="320" w:hanging="317"/>
        <w:spacing w:after="0" w:line="221" w:lineRule="auto"/>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U.S. flagged vessel.</w:t>
      </w:r>
    </w:p>
    <w:p>
      <w:pPr>
        <w:ind w:left="320" w:hanging="317"/>
        <w:spacing w:after="0" w:line="221" w:lineRule="auto"/>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Foreign flagged vessel.</w:t>
      </w:r>
    </w:p>
    <w:p>
      <w:pPr>
        <w:ind w:left="320" w:hanging="317"/>
        <w:spacing w:after="0" w:line="221" w:lineRule="auto"/>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Lift-on/lift-off barge equipped with cranes.</w:t>
      </w:r>
    </w:p>
    <w:p>
      <w:pPr>
        <w:ind w:left="320" w:hanging="317"/>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Roll-on/roll-off barge.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Hawaii Fleet Renewal Program:</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Matson is investing approximately $0.9 billion in the construction of four new vessels to renew its Hawaii fleet and phase-out the use of older steamships that are near the end of their useful life. The first Aloha Class containership, </w:t>
      </w:r>
      <w:r>
        <w:rPr>
          <w:rFonts w:ascii="Arial" w:cs="Arial" w:eastAsia="Arial" w:hAnsi="Arial"/>
          <w:sz w:val="17"/>
          <w:szCs w:val="17"/>
          <w:i w:val="1"/>
          <w:iCs w:val="1"/>
          <w:color w:val="auto"/>
        </w:rPr>
        <w:t>MV Daniel 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Inouye, </w:t>
      </w:r>
      <w:r>
        <w:rPr>
          <w:rFonts w:ascii="Arial" w:cs="Arial" w:eastAsia="Arial" w:hAnsi="Arial"/>
          <w:sz w:val="17"/>
          <w:szCs w:val="17"/>
          <w:color w:val="auto"/>
        </w:rPr>
        <w:t>was delivered on October 31, 2018 and commenced active service in November 2018. Expected delivery dates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specifications of the remaining three vessels currently under construction are as follows:</w:t>
      </w:r>
    </w:p>
    <w:p>
      <w:pPr>
        <w:sectPr>
          <w:pgSz w:w="11900" w:h="16838" w:orient="portrait"/>
          <w:cols w:equalWidth="0" w:num="1">
            <w:col w:w="9060"/>
          </w:cols>
          <w:pgMar w:left="1420" w:top="125" w:right="1419" w:bottom="0" w:gutter="0" w:footer="0" w:header="0"/>
          <w:type w:val="continuous"/>
        </w:sectPr>
      </w:pPr>
    </w:p>
    <w:p>
      <w:pPr>
        <w:spacing w:after="0" w:line="55" w:lineRule="exact"/>
        <w:rPr>
          <w:sz w:val="20"/>
          <w:szCs w:val="20"/>
          <w:color w:val="auto"/>
        </w:rPr>
      </w:pPr>
    </w:p>
    <w:p>
      <w:pPr>
        <w:spacing w:after="0"/>
        <w:tabs>
          <w:tab w:leader="none" w:pos="51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auto"/>
        </w:rPr>
        <w:t>Usable Cargo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13970</wp:posOffset>
            </wp:positionV>
            <wp:extent cx="10547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ectPr>
          <w:pgSz w:w="11900" w:h="16838" w:orient="portrait"/>
          <w:cols w:equalWidth="0" w:num="1">
            <w:col w:w="9060"/>
          </w:cols>
          <w:pgMar w:left="1420" w:top="125" w:right="141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Vehicles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Maximum</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19"/>
        </w:trPr>
        <w:tc>
          <w:tcPr>
            <w:tcW w:w="2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Vessels</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Expected</w:t>
            </w:r>
          </w:p>
        </w:tc>
        <w:tc>
          <w:tcPr>
            <w:tcW w:w="11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Type of</w:t>
            </w:r>
          </w:p>
        </w:tc>
        <w:tc>
          <w:tcPr>
            <w:tcW w:w="7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Official</w:t>
            </w: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TEUs</w:t>
            </w:r>
          </w:p>
        </w:tc>
        <w:tc>
          <w:tcPr>
            <w:tcW w:w="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Reefer</w:t>
            </w:r>
          </w:p>
        </w:tc>
        <w:tc>
          <w:tcPr>
            <w:tcW w:w="140" w:type="dxa"/>
            <w:vAlign w:val="bottom"/>
          </w:tcPr>
          <w:p>
            <w:pPr>
              <w:spacing w:after="0"/>
              <w:rPr>
                <w:sz w:val="10"/>
                <w:szCs w:val="10"/>
                <w:color w:val="auto"/>
              </w:rPr>
            </w:pP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Autos</w:t>
            </w: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Length</w:t>
            </w:r>
          </w:p>
        </w:tc>
        <w:tc>
          <w:tcPr>
            <w:tcW w:w="8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2"/>
              </w:rPr>
              <w:t>Speed</w:t>
            </w: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Deadweight</w:t>
            </w:r>
          </w:p>
        </w:tc>
        <w:tc>
          <w:tcPr>
            <w:tcW w:w="0" w:type="dxa"/>
            <w:vAlign w:val="bottom"/>
          </w:tcPr>
          <w:p>
            <w:pPr>
              <w:spacing w:after="0"/>
              <w:rPr>
                <w:sz w:val="1"/>
                <w:szCs w:val="1"/>
                <w:color w:val="auto"/>
              </w:rPr>
            </w:pPr>
          </w:p>
        </w:tc>
      </w:tr>
      <w:tr>
        <w:trPr>
          <w:trHeight w:val="171"/>
        </w:trPr>
        <w:tc>
          <w:tcPr>
            <w:tcW w:w="2200" w:type="dxa"/>
            <w:vAlign w:val="bottom"/>
            <w:gridSpan w:val="2"/>
            <w:vMerge w:val="continue"/>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Delivery Date</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1"/>
              </w:rPr>
              <w:t>Vessel</w:t>
            </w: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580" w:type="dxa"/>
            <w:vAlign w:val="bottom"/>
            <w:gridSpan w:val="2"/>
            <w:vMerge w:val="continue"/>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Slots</w:t>
            </w:r>
          </w:p>
        </w:tc>
        <w:tc>
          <w:tcPr>
            <w:tcW w:w="6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(Knots)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(Long Tons)</w:t>
            </w:r>
          </w:p>
        </w:tc>
        <w:tc>
          <w:tcPr>
            <w:tcW w:w="0" w:type="dxa"/>
            <w:vAlign w:val="bottom"/>
          </w:tcPr>
          <w:p>
            <w:pPr>
              <w:spacing w:after="0"/>
              <w:rPr>
                <w:sz w:val="1"/>
                <w:szCs w:val="1"/>
                <w:color w:val="auto"/>
              </w:rPr>
            </w:pPr>
          </w:p>
        </w:tc>
      </w:tr>
      <w:tr>
        <w:trPr>
          <w:trHeight w:val="196"/>
        </w:trPr>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i w:val="1"/>
                <w:iCs w:val="1"/>
                <w:color w:val="auto"/>
              </w:rPr>
              <w:t>Dual-fuel Capable</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gridSpan w:val="2"/>
          </w:tcPr>
          <w:p>
            <w:pPr>
              <w:ind w:left="120"/>
              <w:spacing w:after="0"/>
              <w:rPr>
                <w:sz w:val="20"/>
                <w:szCs w:val="20"/>
                <w:color w:val="auto"/>
              </w:rPr>
            </w:pPr>
            <w:r>
              <w:rPr>
                <w:rFonts w:ascii="Arial" w:cs="Arial" w:eastAsia="Arial" w:hAnsi="Arial"/>
                <w:sz w:val="16"/>
                <w:szCs w:val="16"/>
                <w:color w:val="auto"/>
              </w:rPr>
              <w:t>Kaimana Hila (1)</w:t>
            </w:r>
          </w:p>
        </w:tc>
        <w:tc>
          <w:tcPr>
            <w:tcW w:w="8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Q1 2019</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Containership</w:t>
            </w: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1274135</w:t>
            </w:r>
          </w:p>
        </w:tc>
        <w:tc>
          <w:tcPr>
            <w:tcW w:w="140" w:type="dxa"/>
            <w:vAlign w:val="bottom"/>
          </w:tcPr>
          <w:p>
            <w:pPr>
              <w:spacing w:after="0"/>
              <w:rPr>
                <w:sz w:val="17"/>
                <w:szCs w:val="17"/>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w w:val="94"/>
              </w:rPr>
              <w:t>3,220</w:t>
            </w:r>
          </w:p>
        </w:tc>
        <w:tc>
          <w:tcPr>
            <w:tcW w:w="14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408</w:t>
            </w:r>
          </w:p>
        </w:tc>
        <w:tc>
          <w:tcPr>
            <w:tcW w:w="140" w:type="dxa"/>
            <w:vAlign w:val="bottom"/>
          </w:tcPr>
          <w:p>
            <w:pPr>
              <w:spacing w:after="0"/>
              <w:rPr>
                <w:sz w:val="17"/>
                <w:szCs w:val="17"/>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72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854’ 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23.5</w:t>
            </w:r>
          </w:p>
        </w:tc>
        <w:tc>
          <w:tcPr>
            <w:tcW w:w="1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53,747</w:t>
            </w:r>
          </w:p>
        </w:tc>
        <w:tc>
          <w:tcPr>
            <w:tcW w:w="0" w:type="dxa"/>
            <w:vAlign w:val="bottom"/>
          </w:tcPr>
          <w:p>
            <w:pPr>
              <w:spacing w:after="0"/>
              <w:rPr>
                <w:sz w:val="1"/>
                <w:szCs w:val="1"/>
                <w:color w:val="auto"/>
              </w:rPr>
            </w:pPr>
          </w:p>
        </w:tc>
      </w:tr>
      <w:tr>
        <w:trPr>
          <w:trHeight w:val="203"/>
        </w:trPr>
        <w:tc>
          <w:tcPr>
            <w:tcW w:w="2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Lurline (2)</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1"/>
              </w:rPr>
              <w:t>Q4 2019</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Con-Ro</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1274143</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2,750</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432</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500</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869’ 5”</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23.0</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50,981</w:t>
            </w:r>
          </w:p>
        </w:tc>
        <w:tc>
          <w:tcPr>
            <w:tcW w:w="0" w:type="dxa"/>
            <w:vAlign w:val="bottom"/>
          </w:tcPr>
          <w:p>
            <w:pPr>
              <w:spacing w:after="0"/>
              <w:rPr>
                <w:sz w:val="1"/>
                <w:szCs w:val="1"/>
                <w:color w:val="auto"/>
              </w:rPr>
            </w:pPr>
          </w:p>
        </w:tc>
      </w:tr>
      <w:tr>
        <w:trPr>
          <w:trHeight w:val="206"/>
        </w:trPr>
        <w:tc>
          <w:tcPr>
            <w:tcW w:w="2200" w:type="dxa"/>
            <w:vAlign w:val="bottom"/>
            <w:gridSpan w:val="2"/>
          </w:tcPr>
          <w:p>
            <w:pPr>
              <w:ind w:left="120"/>
              <w:spacing w:after="0"/>
              <w:rPr>
                <w:sz w:val="20"/>
                <w:szCs w:val="20"/>
                <w:color w:val="auto"/>
              </w:rPr>
            </w:pPr>
            <w:r>
              <w:rPr>
                <w:rFonts w:ascii="Arial" w:cs="Arial" w:eastAsia="Arial" w:hAnsi="Arial"/>
                <w:sz w:val="16"/>
                <w:szCs w:val="16"/>
                <w:color w:val="auto"/>
              </w:rPr>
              <w:t>Matsonia (2)</w:t>
            </w:r>
          </w:p>
        </w:tc>
        <w:tc>
          <w:tcPr>
            <w:tcW w:w="8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Q3 2020</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Con-Ro</w:t>
            </w: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1274123</w:t>
            </w:r>
          </w:p>
        </w:tc>
        <w:tc>
          <w:tcPr>
            <w:tcW w:w="140" w:type="dxa"/>
            <w:vAlign w:val="bottom"/>
          </w:tcPr>
          <w:p>
            <w:pPr>
              <w:spacing w:after="0"/>
              <w:rPr>
                <w:sz w:val="17"/>
                <w:szCs w:val="17"/>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w w:val="94"/>
              </w:rPr>
              <w:t>2,750</w:t>
            </w:r>
          </w:p>
        </w:tc>
        <w:tc>
          <w:tcPr>
            <w:tcW w:w="14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432</w:t>
            </w:r>
          </w:p>
        </w:tc>
        <w:tc>
          <w:tcPr>
            <w:tcW w:w="14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w w:val="89"/>
              </w:rPr>
              <w:t>500</w:t>
            </w:r>
          </w:p>
        </w:tc>
        <w:tc>
          <w:tcPr>
            <w:tcW w:w="120" w:type="dxa"/>
            <w:vAlign w:val="bottom"/>
          </w:tcPr>
          <w:p>
            <w:pPr>
              <w:spacing w:after="0"/>
              <w:rPr>
                <w:sz w:val="17"/>
                <w:szCs w:val="17"/>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869’ 5”</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23.0</w:t>
            </w:r>
          </w:p>
        </w:tc>
        <w:tc>
          <w:tcPr>
            <w:tcW w:w="1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50,981</w:t>
            </w:r>
          </w:p>
        </w:tc>
        <w:tc>
          <w:tcPr>
            <w:tcW w:w="0" w:type="dxa"/>
            <w:vAlign w:val="bottom"/>
          </w:tcPr>
          <w:p>
            <w:pPr>
              <w:spacing w:after="0"/>
              <w:rPr>
                <w:sz w:val="1"/>
                <w:szCs w:val="1"/>
                <w:color w:val="auto"/>
              </w:rPr>
            </w:pPr>
          </w:p>
        </w:tc>
      </w:tr>
      <w:tr>
        <w:trPr>
          <w:trHeight w:val="111"/>
        </w:trPr>
        <w:tc>
          <w:tcPr>
            <w:tcW w:w="20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right="360" w:hanging="317"/>
        <w:spacing w:after="0" w:line="230" w:lineRule="auto"/>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Aloha Class container vessel is being constructed by Philly Shipyard, Inc. (“Philly Shipyard”), with a dual-fuel, liquefied natural gas capable engine.</w:t>
      </w:r>
    </w:p>
    <w:p>
      <w:pPr>
        <w:ind w:left="320" w:right="340" w:hanging="317"/>
        <w:spacing w:after="0" w:line="237" w:lineRule="auto"/>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two new Kanaloa Class combination container and roll-on/roll-off (“Con-Ro”) vessels are being constructed by General Dynamics NASSCO (“NASSCO”), with dual-fuel, liquefied natural gas capable engines.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new vessels are expected to have among the lowest operating cost per TEU capacity of any vessel in the U.S. domestic trades. The cost efficiencies are expected to be driven by increased vessel utilization and by significantly lower fuel consumption, maintenance and repair, and dry-docking costs. Matson also expects to return to an optimal nine vessel Hawaii fleet deployment once </w:t>
      </w:r>
      <w:r>
        <w:rPr>
          <w:rFonts w:ascii="Arial" w:cs="Arial" w:eastAsia="Arial" w:hAnsi="Arial"/>
          <w:sz w:val="18"/>
          <w:szCs w:val="18"/>
          <w:i w:val="1"/>
          <w:iCs w:val="1"/>
          <w:color w:val="auto"/>
        </w:rPr>
        <w:t>MV Lurline</w:t>
      </w:r>
      <w:r>
        <w:rPr>
          <w:rFonts w:ascii="Arial" w:cs="Arial" w:eastAsia="Arial" w:hAnsi="Arial"/>
          <w:sz w:val="18"/>
          <w:szCs w:val="18"/>
          <w:color w:val="auto"/>
        </w:rPr>
        <w:t xml:space="preserve"> is in service. In addition, the new vessels will provide increased capacity over the older vessels that are being replaced.</w:t>
      </w:r>
    </w:p>
    <w:p>
      <w:pPr>
        <w:spacing w:after="0" w:line="18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Actual paid and expected remaining vessel construction obligations based on signed agreements and change orders, excluding owners’ items and capitalized interest,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Paid</w:t>
            </w:r>
          </w:p>
        </w:tc>
        <w:tc>
          <w:tcPr>
            <w:tcW w:w="140" w:type="dxa"/>
            <w:vAlign w:val="bottom"/>
          </w:tcPr>
          <w:p>
            <w:pPr>
              <w:spacing w:after="0"/>
              <w:rPr>
                <w:sz w:val="14"/>
                <w:szCs w:val="14"/>
                <w:color w:val="auto"/>
              </w:rPr>
            </w:pPr>
          </w:p>
        </w:tc>
        <w:tc>
          <w:tcPr>
            <w:tcW w:w="15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Obligations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 Construction Obligations (in millions)</w:t>
            </w: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40"/>
              <w:spacing w:after="0" w:line="119" w:lineRule="exact"/>
              <w:rPr>
                <w:sz w:val="20"/>
                <w:szCs w:val="20"/>
                <w:color w:val="auto"/>
              </w:rPr>
            </w:pPr>
            <w:r>
              <w:rPr>
                <w:rFonts w:ascii="Arial" w:cs="Arial" w:eastAsia="Arial" w:hAnsi="Arial"/>
                <w:sz w:val="13"/>
                <w:szCs w:val="13"/>
                <w:b w:val="1"/>
                <w:bCs w:val="1"/>
                <w:color w:val="auto"/>
              </w:rPr>
              <w:t>2018 and</w:t>
            </w: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Prior</w:t>
            </w: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Two Aloha Class Container Vessels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16"/>
        </w:trPr>
        <w:tc>
          <w:tcPr>
            <w:tcW w:w="5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Two Kanaloa Class Con-Ro Vessels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168.2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17"/>
        </w:trPr>
        <w:tc>
          <w:tcPr>
            <w:tcW w:w="5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188.9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Hawaii Terminal Expansion and Modernization Program:</w:t>
      </w:r>
    </w:p>
    <w:p>
      <w:pPr>
        <w:spacing w:after="0" w:line="225"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Matson is in the process of renovating its terminal facility at Sand Island, Honolulu, Hawaii. The first phase involves the investment of approximately $60 million and includes the installation of three new 65 long-ton capacity gantry cranes and modifications to upgrade three existing cranes. The first phase also includes upgrades in electrical infrastructure and other modifications to the Sand Island terminal. The first phase is expected to be completed during 2020.</w:t>
      </w:r>
    </w:p>
    <w:p>
      <w:pPr>
        <w:spacing w:after="0" w:line="15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Additional phases will be completed in the 2021 to 2024 timeframe and will be part of a broader terminal expansion and modernization program that Matson is undertaking at its Sand Island terminal.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a complement to its fleet of vessels, Matson has a variety of equipment including cranes, containers and chassis which represents an investment of approximately $0.5 billion as of December 31, 2018. Matson also leases containers, chassis and other equipment under various operating lease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about Matson’s fleet equipment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Fleet Equipment</w:t>
            </w: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(1)</w:t>
            </w:r>
          </w:p>
        </w:tc>
        <w:tc>
          <w:tcPr>
            <w:tcW w:w="114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Approx. %</w:t>
            </w:r>
          </w:p>
        </w:tc>
        <w:tc>
          <w:tcPr>
            <w:tcW w:w="11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Approx. %</w:t>
            </w:r>
          </w:p>
        </w:tc>
        <w:tc>
          <w:tcPr>
            <w:tcW w:w="0" w:type="dxa"/>
            <w:vAlign w:val="bottom"/>
          </w:tcPr>
          <w:p>
            <w:pPr>
              <w:spacing w:after="0"/>
              <w:rPr>
                <w:sz w:val="1"/>
                <w:szCs w:val="1"/>
                <w:color w:val="auto"/>
              </w:rPr>
            </w:pPr>
          </w:p>
        </w:tc>
      </w:tr>
      <w:tr>
        <w:trPr>
          <w:trHeight w:val="171"/>
        </w:trPr>
        <w:tc>
          <w:tcPr>
            <w:tcW w:w="5760" w:type="dxa"/>
            <w:vAlign w:val="bottom"/>
            <w:gridSpan w:val="3"/>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Owned (1)</w:t>
            </w:r>
          </w:p>
        </w:tc>
        <w:tc>
          <w:tcPr>
            <w:tcW w:w="11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Leased (1)</w:t>
            </w:r>
          </w:p>
        </w:tc>
        <w:tc>
          <w:tcPr>
            <w:tcW w:w="0" w:type="dxa"/>
            <w:vAlign w:val="bottom"/>
          </w:tcPr>
          <w:p>
            <w:pPr>
              <w:spacing w:after="0"/>
              <w:rPr>
                <w:sz w:val="1"/>
                <w:szCs w:val="1"/>
                <w:color w:val="auto"/>
              </w:rPr>
            </w:pPr>
          </w:p>
        </w:tc>
      </w:tr>
      <w:tr>
        <w:trPr>
          <w:trHeight w:val="210"/>
        </w:trPr>
        <w:tc>
          <w:tcPr>
            <w:tcW w:w="5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Chassis</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rPr>
              <w:t>Dry Containers</w:t>
            </w:r>
          </w:p>
        </w:tc>
        <w:tc>
          <w:tcPr>
            <w:tcW w:w="880" w:type="dxa"/>
            <w:vAlign w:val="bottom"/>
          </w:tcPr>
          <w:p>
            <w:pPr>
              <w:jc w:val="right"/>
              <w:spacing w:after="0"/>
              <w:rPr>
                <w:sz w:val="20"/>
                <w:szCs w:val="20"/>
                <w:color w:val="auto"/>
              </w:rPr>
            </w:pPr>
            <w:r>
              <w:rPr>
                <w:rFonts w:ascii="Arial" w:cs="Arial" w:eastAsia="Arial" w:hAnsi="Arial"/>
                <w:sz w:val="18"/>
                <w:szCs w:val="18"/>
                <w:color w:val="auto"/>
              </w:rPr>
              <w:t>36,500</w:t>
            </w:r>
          </w:p>
        </w:tc>
        <w:tc>
          <w:tcPr>
            <w:tcW w:w="18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60 %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6"/>
        </w:trPr>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Refrigerated Containers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43 %</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color w:val="auto"/>
              </w:rPr>
              <w:t>Specialty Equipment (2)</w:t>
            </w:r>
          </w:p>
        </w:tc>
        <w:tc>
          <w:tcPr>
            <w:tcW w:w="880" w:type="dxa"/>
            <w:vAlign w:val="bottom"/>
          </w:tcPr>
          <w:p>
            <w:pPr>
              <w:jc w:val="right"/>
              <w:spacing w:after="0"/>
              <w:rPr>
                <w:sz w:val="20"/>
                <w:szCs w:val="20"/>
                <w:color w:val="auto"/>
              </w:rPr>
            </w:pPr>
            <w:r>
              <w:rPr>
                <w:rFonts w:ascii="Arial" w:cs="Arial" w:eastAsia="Arial" w:hAnsi="Arial"/>
                <w:sz w:val="18"/>
                <w:szCs w:val="18"/>
                <w:color w:val="auto"/>
              </w:rPr>
              <w:t>5,700</w:t>
            </w:r>
          </w:p>
        </w:tc>
        <w:tc>
          <w:tcPr>
            <w:tcW w:w="18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82 %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Motor Generators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90 %</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7"/>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represent approximations of equipment totals and percentage allocations.</w:t>
      </w:r>
    </w:p>
    <w:p>
      <w:pPr>
        <w:ind w:left="320" w:hanging="317"/>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Specialty equipment includes auto frames, flat racks, insulated containers, open top containers, platforms, flat bed trailers and tanks.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Major components of Ocean Transportation operating costs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Direct Cargo Expense </w:t>
      </w:r>
      <w:r>
        <w:rPr>
          <w:rFonts w:ascii="Arial" w:cs="Arial" w:eastAsia="Arial" w:hAnsi="Arial"/>
          <w:sz w:val="18"/>
          <w:szCs w:val="18"/>
          <w:color w:val="auto"/>
        </w:rPr>
        <w:t>includes terminal handling costs, purchased outside transportation and other related costs.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Vessel Operating Expense </w:t>
      </w:r>
      <w:r>
        <w:rPr>
          <w:rFonts w:ascii="Arial" w:cs="Arial" w:eastAsia="Arial" w:hAnsi="Arial"/>
          <w:sz w:val="18"/>
          <w:szCs w:val="18"/>
          <w:color w:val="auto"/>
        </w:rPr>
        <w:t>includes crew wages and related costs; fuel consumption, pilot, tugs and line related costs; vessel</w:t>
      </w:r>
      <w:r>
        <w:rPr>
          <w:rFonts w:ascii="Arial" w:cs="Arial" w:eastAsia="Arial" w:hAnsi="Arial"/>
          <w:sz w:val="18"/>
          <w:szCs w:val="18"/>
          <w:i w:val="1"/>
          <w:iCs w:val="1"/>
          <w:color w:val="auto"/>
        </w:rPr>
        <w:t xml:space="preserve"> </w:t>
      </w:r>
      <w:r>
        <w:rPr>
          <w:rFonts w:ascii="Arial" w:cs="Arial" w:eastAsia="Arial" w:hAnsi="Arial"/>
          <w:sz w:val="18"/>
          <w:szCs w:val="18"/>
          <w:color w:val="auto"/>
        </w:rPr>
        <w:t>charter expenses; and other vessel related expenses. Matson purchases fuel oil, lubricants and gasoline for its operations and also pays fuel surcharges to other third party transportation providers.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i w:val="1"/>
          <w:iCs w:val="1"/>
          <w:color w:val="auto"/>
        </w:rPr>
        <w:t xml:space="preserve">Operating Overhead </w:t>
      </w:r>
      <w:r>
        <w:rPr>
          <w:rFonts w:ascii="Arial" w:cs="Arial" w:eastAsia="Arial" w:hAnsi="Arial"/>
          <w:sz w:val="18"/>
          <w:szCs w:val="18"/>
          <w:color w:val="auto"/>
        </w:rPr>
        <w:t>includes equipment repair costs, equipment operating lease and repositioning expenses, vessel repair</w:t>
      </w:r>
      <w:r>
        <w:rPr>
          <w:rFonts w:ascii="Arial" w:cs="Arial" w:eastAsia="Arial" w:hAnsi="Arial"/>
          <w:sz w:val="18"/>
          <w:szCs w:val="18"/>
          <w:i w:val="1"/>
          <w:iCs w:val="1"/>
          <w:color w:val="auto"/>
        </w:rPr>
        <w:t xml:space="preserve"> </w:t>
      </w:r>
      <w:r>
        <w:rPr>
          <w:rFonts w:ascii="Arial" w:cs="Arial" w:eastAsia="Arial" w:hAnsi="Arial"/>
          <w:sz w:val="18"/>
          <w:szCs w:val="18"/>
          <w:color w:val="auto"/>
        </w:rPr>
        <w:t>and maintenance costs, dry-docking amortization, insurance, port engineers and other maintenance costs, and other vessel and shoreside related overhead.</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Matson’s U.S. flagged vessels must meet specified seaworthiness standards established by U.S. Coast Guard rules and classification society requirements. These standards require vessels to undergo two dry-docking inspections within a five-year period. The majority of Matson’s U.S. flagged vessels used in the Hawaii service are enrolled in the U.S. Coast Guard’s Underwater Survey in Lieu of Dry-docking (“UWILD”) program. The UWILD program allows eligible vessels to meet their intermediate dry-docking requirement with a less costly underwater inspection.</w:t>
      </w:r>
    </w:p>
    <w:p>
      <w:pPr>
        <w:spacing w:after="0" w:line="17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Matson is responsible for ensuring that its non-U.S flagged owned and bareboat chartered vessels meet international standards for seaworthiness, which among other requirements generally mandate that Matson perform two dry-docking inspections every five years. The dry-dockings of Matson’s time chartered vessels are the responsibility of the vessel owners.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major competitors in Matson’s Ocean Transportation segment: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Hawaii Service: </w:t>
      </w:r>
      <w:r>
        <w:rPr>
          <w:rFonts w:ascii="Arial" w:cs="Arial" w:eastAsia="Arial" w:hAnsi="Arial"/>
          <w:sz w:val="18"/>
          <w:szCs w:val="18"/>
          <w:color w:val="auto"/>
        </w:rPr>
        <w:t>Matson’s Hawaii service has one major U.S. flag Jones Act ocean carrier competitor, Pasha Hawaii</w:t>
      </w:r>
      <w:r>
        <w:rPr>
          <w:rFonts w:ascii="Arial" w:cs="Arial" w:eastAsia="Arial" w:hAnsi="Arial"/>
          <w:sz w:val="18"/>
          <w:szCs w:val="18"/>
          <w:i w:val="1"/>
          <w:iCs w:val="1"/>
          <w:color w:val="auto"/>
        </w:rPr>
        <w:t xml:space="preserve"> </w:t>
      </w:r>
      <w:r>
        <w:rPr>
          <w:rFonts w:ascii="Arial" w:cs="Arial" w:eastAsia="Arial" w:hAnsi="Arial"/>
          <w:sz w:val="18"/>
          <w:szCs w:val="18"/>
          <w:color w:val="auto"/>
        </w:rPr>
        <w:t>(“Pasha”), which operates container and roll-on/roll-off services between the ports of Long Beach, Oakland and San Diego, California to Hawaii. There also are two U.S. flag Jones Act barge operators, Aloha Marine Lines and Sause Brothers, which offer barge service between the Pacific Northwest and Hawaii.</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Foreign-flag vessels carrying cargo to Hawaii from non-U.S. locations also provide alternatives for companies shipping to Hawaii. Other competitors in the Hawaii service include proprietary operators and contract carriers of bulk cargo. Air freight competition for time-sensitive and perishable cargo exists; however, inroads by such competition in terms of cargo volume are limited by the amount of cargo space available in passenger aircrafts and by the cost of air freight transportation.</w:t>
      </w:r>
    </w:p>
    <w:p>
      <w:pPr>
        <w:spacing w:after="0" w:line="15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Matson vessels are operated on schedules that provide customers, shippers and consignees fixed day-of-the-week sailings from the U.S. West Coast as well as fixed day-of-the-week arrivals in Hawaii. Matson offers four westbound sailings per week, though this amount may be adjusted according to seasonal demand and market conditions. One of Matson’s westbound sailings each week continues on to Guam, Japan and China, so the number of eastbound sailings direct from Hawaii to the U.S. Mainland is three per week. This service is attractive to customers because more frequent sailings permit customers to reduce inventory carrying costs. Matson also competes by offering a more comprehensive service to customers, including: service to and from the three largest U.S. West Coast ports; the most efficient terminal network on the U.S. West Coast provided by Matson’s Terminal Joint Venture partner SSAT; a dedicated inter-island barge network; an award winning customer service team; and its efficiency and experience in handling cargo of all types.</w:t>
      </w:r>
    </w:p>
    <w:p>
      <w:pPr>
        <w:spacing w:after="0" w:line="16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Alaska Service: </w:t>
      </w:r>
      <w:r>
        <w:rPr>
          <w:rFonts w:ascii="Arial" w:cs="Arial" w:eastAsia="Arial" w:hAnsi="Arial"/>
          <w:sz w:val="18"/>
          <w:szCs w:val="18"/>
          <w:color w:val="auto"/>
        </w:rPr>
        <w:t>Matson’s Alaska service has one major U.S. flag Jones Act competitor, Totem Ocean Trailer Express, Inc.,</w:t>
      </w:r>
      <w:r>
        <w:rPr>
          <w:rFonts w:ascii="Arial" w:cs="Arial" w:eastAsia="Arial" w:hAnsi="Arial"/>
          <w:sz w:val="18"/>
          <w:szCs w:val="18"/>
          <w:i w:val="1"/>
          <w:iCs w:val="1"/>
          <w:color w:val="auto"/>
        </w:rPr>
        <w:t xml:space="preserve"> </w:t>
      </w:r>
      <w:r>
        <w:rPr>
          <w:rFonts w:ascii="Arial" w:cs="Arial" w:eastAsia="Arial" w:hAnsi="Arial"/>
          <w:sz w:val="18"/>
          <w:szCs w:val="18"/>
          <w:color w:val="auto"/>
        </w:rPr>
        <w:t>which operates a roll-on/roll off service between Tacoma, Washington and Anchorage, Alaska. There are also two U.S. flag Jones Act barge operators, Alaska Marine Lines, which mainly provides services from Seattle, Washington to the main ports of Anchorage and Dutch Harbor, and other locations in Alaska, and Samson Tug &amp; Barge, which mainly serves Western Alaska and other locations. The barge operators have historically shipped lower value commodities that can accommodate a longer transit time, as well as construction materials and other cargo that are not conducive to movement in containers. Foreign-flag vessels provide alternatives for companies shipping cargo (mainly seafood) from the Alaska ports of Kodiak and Dutch Harbor.</w:t>
      </w:r>
    </w:p>
    <w:p>
      <w:pPr>
        <w:spacing w:after="0" w:line="19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Matson offers customers twice weekly scheduled services from Tacoma, Washington to Anchorage and Kodiak, Alaska and weekly service to Dutch Harbor, Alaska. The Company also provides a weekly barge service between Dutch Harbor and Akutan in Alaska. Matson is the only Jones Act containership operator providing service to Kodiak and Dutch Harbor in Alaska, which are the primary loading ports for southbound seafood. Matson offers dedicated terminal services at the Alaska ports of Anchorage, Kodiak and Dutch Harbor performed by MatNav, and at the port of Tacoma, Washington performed by Matson’s Terminal Joint Venture partner SSAT.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China Service: </w:t>
      </w:r>
      <w:r>
        <w:rPr>
          <w:rFonts w:ascii="Arial" w:cs="Arial" w:eastAsia="Arial" w:hAnsi="Arial"/>
          <w:sz w:val="18"/>
          <w:szCs w:val="18"/>
          <w:color w:val="auto"/>
        </w:rPr>
        <w:t>Major competitors to Matson’s China service include large international carriers such as Maersk, MSC, CMA</w:t>
      </w:r>
      <w:r>
        <w:rPr>
          <w:rFonts w:ascii="Arial" w:cs="Arial" w:eastAsia="Arial" w:hAnsi="Arial"/>
          <w:sz w:val="18"/>
          <w:szCs w:val="18"/>
          <w:i w:val="1"/>
          <w:iCs w:val="1"/>
          <w:color w:val="auto"/>
        </w:rPr>
        <w:t xml:space="preserve"> </w:t>
      </w:r>
      <w:r>
        <w:rPr>
          <w:rFonts w:ascii="Arial" w:cs="Arial" w:eastAsia="Arial" w:hAnsi="Arial"/>
          <w:sz w:val="18"/>
          <w:szCs w:val="18"/>
          <w:color w:val="auto"/>
        </w:rPr>
        <w:t>CGM and its subsidiary APL, Evergreen, China COSCO, ONE (including “K” Line, NYK Line and MOL), OOCL, Hyundai and SM Line.</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Matson competes by offering a fast and reliable service from the ports of Ningbo and Shanghai in China to Long Beach, California, providing fixed day arrivals and next-day cargo availability. Matson’s service is further differentiated by offering a dedicated marine terminal in Long Beach, California provided by Matson’s Terminal Joint Venture partner SSAT, an off-dock container yard providing fast truck turn times, and one-stop intermodal connections, and providing state-of-the-art technology and world-class customer service. Matson has offices in Hong Kong, Shenzhen, Xiamen, Ningbo and Shanghai, and has contracted with terminal operators in Ningbo and Shanghai.</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Guam Service: </w:t>
      </w:r>
      <w:r>
        <w:rPr>
          <w:rFonts w:ascii="Arial" w:cs="Arial" w:eastAsia="Arial" w:hAnsi="Arial"/>
          <w:sz w:val="18"/>
          <w:szCs w:val="18"/>
          <w:color w:val="auto"/>
        </w:rPr>
        <w:t>Matson’s Guam service has one major competitor, APL, which operates a weekly U.S. flagged container</w:t>
      </w:r>
      <w:r>
        <w:rPr>
          <w:rFonts w:ascii="Arial" w:cs="Arial" w:eastAsia="Arial" w:hAnsi="Arial"/>
          <w:sz w:val="18"/>
          <w:szCs w:val="18"/>
          <w:i w:val="1"/>
          <w:iCs w:val="1"/>
          <w:color w:val="auto"/>
        </w:rPr>
        <w:t xml:space="preserve"> </w:t>
      </w:r>
      <w:r>
        <w:rPr>
          <w:rFonts w:ascii="Arial" w:cs="Arial" w:eastAsia="Arial" w:hAnsi="Arial"/>
          <w:sz w:val="18"/>
          <w:szCs w:val="18"/>
          <w:color w:val="auto"/>
        </w:rPr>
        <w:t>feeder service connecting the U.S. West Coast to Guam and Saipan, via transshipments over Yokohama, Japan and Busan, South Korea. Waterman operates a roll-on/roll-off service which periodically calls at Guam. There are also several foreign carriers that call at Guam from foreign origin ports.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Japan Service: </w:t>
      </w:r>
      <w:r>
        <w:rPr>
          <w:rFonts w:ascii="Arial" w:cs="Arial" w:eastAsia="Arial" w:hAnsi="Arial"/>
          <w:sz w:val="18"/>
          <w:szCs w:val="18"/>
          <w:color w:val="auto"/>
        </w:rPr>
        <w:t>Matson’s Japan service competes primarily with APL, which operates a weekly U.S. flagged containership</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from the U.S. West Coast to the Port of Naha, Okinawa, Japan.</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Micronesia and the South Pacific Services: </w:t>
      </w:r>
      <w:r>
        <w:rPr>
          <w:rFonts w:ascii="Arial" w:cs="Arial" w:eastAsia="Arial" w:hAnsi="Arial"/>
          <w:sz w:val="18"/>
          <w:szCs w:val="18"/>
          <w:color w:val="auto"/>
        </w:rPr>
        <w:t>Matson’s Micronesia and South Pacific services have competition from a variety</w:t>
      </w:r>
      <w:r>
        <w:rPr>
          <w:rFonts w:ascii="Arial" w:cs="Arial" w:eastAsia="Arial" w:hAnsi="Arial"/>
          <w:sz w:val="18"/>
          <w:szCs w:val="18"/>
          <w:i w:val="1"/>
          <w:iCs w:val="1"/>
          <w:color w:val="auto"/>
        </w:rPr>
        <w:t xml:space="preserve"> </w:t>
      </w:r>
      <w:r>
        <w:rPr>
          <w:rFonts w:ascii="Arial" w:cs="Arial" w:eastAsia="Arial" w:hAnsi="Arial"/>
          <w:sz w:val="18"/>
          <w:szCs w:val="18"/>
          <w:color w:val="auto"/>
        </w:rPr>
        <w:t>of local and international carriers that provide freight services to the area.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Matson serves customers in numerous industries and carries a wide variety of cargo, mitigating its dependence upon any single customer or single type of cargo. In 2018, 2017 and 2016, the Company’s 10 largest Ocean Transportation customers accounted for approximately 24 percent, 23 percent and 24 percent of the Company’s Ocean Transportation revenue, respectively. None of these customers individually account for more than 10 percent of Matson’s Ocean Transportation operating revenues. For additional information on Ocean Transportation revenues for the years ended December 31, 2018, 2017 and 2016, see Note 2 to the Consolidated Financial Statements in Item 8 of Part II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Matson’s Ocean Transportation services typically experience seasonality in volume, generally following a pattern of increasing volumes starting in the second quarter of each year, culminating in a peak season throughout the third quarter, with subsequent decline in demand during the fourth and first quarters. This seasonality trend is amplified in the Alaska service primarily due to winter weather and the timing of southbound seafood trade. As a result, earnings tend to follow a similar pattern, offset by periodic vessel dry-docking and other episodic cost factors, which can lead to earnings variability. In addition, in the China trade, volume is driven primarily by U.S. consumer demand for goods during key retail selling seasons while freight rates are impacted mainly by macro supply and demand variables.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Laws and the Jones Act: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Maritime Laws: </w:t>
      </w:r>
      <w:r>
        <w:rPr>
          <w:rFonts w:ascii="Arial" w:cs="Arial" w:eastAsia="Arial" w:hAnsi="Arial"/>
          <w:sz w:val="18"/>
          <w:szCs w:val="18"/>
          <w:color w:val="auto"/>
        </w:rPr>
        <w:t>All interstate and intrastate marine commerce within the U.S. falls under the Merchant Marine Act of 1920</w:t>
      </w:r>
      <w:r>
        <w:rPr>
          <w:rFonts w:ascii="Arial" w:cs="Arial" w:eastAsia="Arial" w:hAnsi="Arial"/>
          <w:sz w:val="18"/>
          <w:szCs w:val="18"/>
          <w:i w:val="1"/>
          <w:iCs w:val="1"/>
          <w:color w:val="auto"/>
        </w:rPr>
        <w:t xml:space="preserve"> </w:t>
      </w:r>
      <w:r>
        <w:rPr>
          <w:rFonts w:ascii="Arial" w:cs="Arial" w:eastAsia="Arial" w:hAnsi="Arial"/>
          <w:sz w:val="18"/>
          <w:szCs w:val="18"/>
          <w:color w:val="auto"/>
        </w:rPr>
        <w:t>(commonly referred to as the Jones Act).</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Jones Act is a long-standing cornerstone of U.S. maritime policy. Under the Jones Act, all vessels transporting cargo between covered U.S. ports must, subject to limited exceptions, be built in the U.S., registered under the U.S. flag, be manned predominantly by U.S. crews, and owned and operated by U.S.-organized companies that are controlled and 75 percent owned by U.S. citizens. U.S. flagged vessels are generally required to be maintained at higher standards than foreign flagged vessels and are subject to rigorous supervision and inspections by, or on behalf of, the U.S. Coast Guard, which requires appropriate certifications and background checks of the crew members. Under Section 27 of the Jones Act, the carriage of cargo between the U.S. West Coast, Hawaii and Alaska on foreign-built or foreign-documented vessels is prohibited.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During the years ended December 31, 2018 and 2017, approximately 72 percent of Matson’s Ocean Transportation revenues came from the Hawaii and Alaska trades that were subject to the Jones Act. Matson’s Hawaii and Alaska trade routes are included within the non-contiguous Jones Act market. Hawaii, as an island economy, and Alaska due to its geographical location, are both dependent on ocean transportation. The Jones Act ensures frequent, reliable, roundtrip service to these locations. Matson’s vessels operating in these trade routes are Jones Act qualified.</w:t>
      </w:r>
    </w:p>
    <w:p>
      <w:pPr>
        <w:spacing w:after="0" w:line="17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Matson is a member of the American Maritime Partnership (“AMP”) which supports the retention of the Jones Act and similar cabotage laws. The Jones Act has broad support from both houses of Congress. Matson believes that the ongoing war on terrorism has further solidified political support for U.S. flagged vessels because a vital and dedicated U.S. merchant marine is a cornerstone for a strong homeland defense, as well as a critical source of trained U.S. mariners for wartime support. AMP seeks to inform elected officials and the public about the economic, national security, commercial, safety and environmental benefits of the Jones Act and similar cabotage laws. Repeal of the Jones Act would allow foreign-flag vessel operators that do not have to abide by all U.S. laws and regulations to sail between U.S. ports in direct competition with Matson and other U.S. domestic operators that must comply with all such laws and regulations.</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Other U.S. maritime laws require vessels operating between Guam, a U.S. territory, and U.S. ports to be U.S. flagged and predominantly U.S. crewed, but not U.S. built.</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Cabotage laws are not unique to the United States, and similar laws exist around the world in over 90 countries, including regions in which Matson provides ocean transportation services. Any changes in such laws may have an impact on the services provided by Matson in those regions.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Rate Regulations and Fuel Surcharge: </w:t>
      </w:r>
      <w:r>
        <w:rPr>
          <w:rFonts w:ascii="Arial" w:cs="Arial" w:eastAsia="Arial" w:hAnsi="Arial"/>
          <w:sz w:val="16"/>
          <w:szCs w:val="16"/>
          <w:color w:val="auto"/>
        </w:rPr>
        <w:t>Matson is subject to the jurisdiction of the Surface Transportation Board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to its domestic ocean rates. A rate in the non-contiguous domestic trade is presumed reasonable and will not be subject to investigation if the aggregate of increases and decreases is not more than 7.5 percent above, or more than 10 percent below, the rate in effect one year before the effective date of the proposed rate, subject to increase or decrease by the percentage change in the U.S. Producer Price Index. Matson generally provides a 30-day notice to customers of any increases in general rates and terminal handling charges, and passes along decreases as soon as possible.</w:t>
      </w:r>
    </w:p>
    <w:p>
      <w:pPr>
        <w:spacing w:after="0" w:line="165" w:lineRule="exact"/>
        <w:rPr>
          <w:sz w:val="20"/>
          <w:szCs w:val="20"/>
          <w:color w:val="auto"/>
        </w:rPr>
      </w:pPr>
    </w:p>
    <w:p>
      <w:pPr>
        <w:jc w:val="both"/>
        <w:ind w:right="680"/>
        <w:spacing w:after="0" w:line="342" w:lineRule="auto"/>
        <w:rPr>
          <w:sz w:val="20"/>
          <w:szCs w:val="20"/>
          <w:color w:val="auto"/>
        </w:rPr>
      </w:pPr>
      <w:r>
        <w:rPr>
          <w:rFonts w:ascii="Arial" w:cs="Arial" w:eastAsia="Arial" w:hAnsi="Arial"/>
          <w:sz w:val="16"/>
          <w:szCs w:val="16"/>
          <w:color w:val="auto"/>
        </w:rPr>
        <w:t>Matson applies a fuel surcharge rate to its Ocean Transportation customers. Changes in the fuel surcharge levels are correlated to prevailing market rates for bunker fuel prices along with other factors related to fuel expense recovery.</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Other Regulations: </w:t>
      </w:r>
      <w:r>
        <w:rPr>
          <w:rFonts w:ascii="Arial" w:cs="Arial" w:eastAsia="Arial" w:hAnsi="Arial"/>
          <w:sz w:val="18"/>
          <w:szCs w:val="18"/>
          <w:color w:val="auto"/>
        </w:rPr>
        <w:t>Matson’s Ocean Transportation services engaged in U.S. foreign commerce are subject to the jurisdiction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Federal Maritime Commission (“FMC”). The FMC is an independent regulatory agency that is responsible for the regulation of ocean-borne international transportation of the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w:t>
      </w:r>
    </w:p>
    <w:p>
      <w:pPr>
        <w:spacing w:after="0" w:line="225"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Being a leader in environmental stewardship and contributing positively to the communities in which we live and work are core values at Matson. Matson’s vessels transit through some of the most environmentally sensitive areas in the United States including the Hawaiian islands and the coasts of California, Oregon, Washington and Alaska. Matson is focused in particular on reducing transportation emissions, including carbon dioxide, nitrous oxide, particulate matter and sulfur dioxide, through improvements in vessel fuel consumption and truck efficiency, and the development of more fuel-efficient transportation solutions. Matson further contributes positively to the environment by testing and deploying cutting edge technologies which are applied to our modernized fleet.</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Vessel Emissions Regulations</w:t>
      </w:r>
      <w:r>
        <w:rPr>
          <w:rFonts w:ascii="Arial" w:cs="Arial" w:eastAsia="Arial" w:hAnsi="Arial"/>
          <w:sz w:val="17"/>
          <w:szCs w:val="17"/>
          <w:color w:val="auto"/>
        </w:rPr>
        <w:t>: The International Maritime Organization (“IMO”) is a specialized agency of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Nations responsible for regulating shipping. Effective January 1, 2020, the IMO has imposed a worldwide regulation that requires all vessels to burn compliant fuel oil with a maximum sulfur content of 0.5 percent. With respect to North America, the U.S. Environmental Protection Agency (“EPA”) received approval from the IMO, in coordination with Environment Canada, to designate all waters, with certain limited exceptions, within 200 nautical miles of U.S. and Canadian coast lines as designated emission control areas (“ECAs”). Beginning January 1, 2015, EPA regulations reduced the maximum sulfur emissions permitted in designated ECAs from 1.0 percent to 0.1 percent.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Matson’s three diesel-powered vessels in its Alaska service operate a substantial portion of their voyages in ECAs. Matson successfully installed exhaust gas cleaning systems (commonly referred to as “scrubbers”) on these vessels to be in compliance with the IMO and EPA ECA regulations.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Matson’s Hawaii and CLX vessels operate a portion of their voyages in ECAs. Matson’s four new Hawaii vessels can burn low sulfur fuels enabling the vessels to be compliant with the new IMO and EPA ECA regulations. Following the delivery of </w:t>
      </w:r>
      <w:r>
        <w:rPr>
          <w:rFonts w:ascii="Arial" w:cs="Arial" w:eastAsia="Arial" w:hAnsi="Arial"/>
          <w:sz w:val="18"/>
          <w:szCs w:val="18"/>
          <w:i w:val="1"/>
          <w:iCs w:val="1"/>
          <w:color w:val="auto"/>
        </w:rPr>
        <w:t xml:space="preserve">MV Lurline </w:t>
      </w:r>
      <w:r>
        <w:rPr>
          <w:rFonts w:ascii="Arial" w:cs="Arial" w:eastAsia="Arial" w:hAnsi="Arial"/>
          <w:sz w:val="18"/>
          <w:szCs w:val="18"/>
          <w:color w:val="auto"/>
        </w:rPr>
        <w:t>in the fourth quarter of 2019, Matson expects to phase out the use of all three remaining steamships by the end of</w:t>
      </w:r>
      <w:r>
        <w:rPr>
          <w:rFonts w:ascii="Arial" w:cs="Arial" w:eastAsia="Arial" w:hAnsi="Arial"/>
          <w:sz w:val="18"/>
          <w:szCs w:val="18"/>
          <w:i w:val="1"/>
          <w:iCs w:val="1"/>
          <w:color w:val="auto"/>
        </w:rPr>
        <w:t xml:space="preserve"> </w:t>
      </w:r>
      <w:r>
        <w:rPr>
          <w:rFonts w:ascii="Arial" w:cs="Arial" w:eastAsia="Arial" w:hAnsi="Arial"/>
          <w:sz w:val="18"/>
          <w:szCs w:val="18"/>
          <w:color w:val="auto"/>
        </w:rPr>
        <w:t>2019. In addition, Matson has announced plans to install scrubbers on three additional diesel-powered vessels used in the Hawaii and CLX services to be completed during 2019 and early 2020. Matson continues to develop solutions and apply other operating strategies to comply with emissions regulations on its other vessels in use in the Hawaii and CLX services, and other services.</w:t>
      </w:r>
    </w:p>
    <w:p>
      <w:pPr>
        <w:spacing w:after="0" w:line="18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 xml:space="preserve">Other Environmental Regulations: </w:t>
      </w:r>
      <w:r>
        <w:rPr>
          <w:rFonts w:ascii="Arial" w:cs="Arial" w:eastAsia="Arial" w:hAnsi="Arial"/>
          <w:sz w:val="17"/>
          <w:szCs w:val="17"/>
          <w:color w:val="auto"/>
        </w:rPr>
        <w:t>Matson’s operations are required to comply with other environmental regulations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including the Oil Pollution Act of 1990, the Comprehensive Environmental Response Compensation &amp; Liability Act of 1980, the Rivers and Harbors Act of 1899, the Clean Water Act, the Invasive Species Act and the Clean Air Act. The Company actively monitors its operations to ensure compliance with these and other regulations.</w:t>
      </w:r>
    </w:p>
    <w:p>
      <w:pPr>
        <w:spacing w:after="0" w:line="17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For more information on Matson’s environmental stewardship initiatives, including its environmental goals, see https://www.matson.com/corporate/about_us/environmental.html. The contents of our website are not incorporated by reference into this Form 10-K.</w:t>
      </w:r>
    </w:p>
    <w:p>
      <w:pPr>
        <w:spacing w:after="0" w:line="177" w:lineRule="exact"/>
        <w:rPr>
          <w:sz w:val="20"/>
          <w:szCs w:val="20"/>
          <w:color w:val="auto"/>
        </w:rPr>
      </w:pPr>
    </w:p>
    <w:p>
      <w:pPr>
        <w:ind w:left="1340" w:hanging="689"/>
        <w:spacing w:after="0"/>
        <w:tabs>
          <w:tab w:leader="none" w:pos="1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LOGISTICS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Matson’s Logistics segment provides the following services:</w:t>
      </w:r>
    </w:p>
    <w:p>
      <w:pPr>
        <w:spacing w:after="0" w:line="225" w:lineRule="exact"/>
        <w:rPr>
          <w:sz w:val="20"/>
          <w:szCs w:val="20"/>
          <w:color w:val="auto"/>
        </w:rPr>
      </w:pPr>
    </w:p>
    <w:p>
      <w:pPr>
        <w:jc w:val="both"/>
        <w:ind w:right="200"/>
        <w:spacing w:after="0" w:line="297" w:lineRule="auto"/>
        <w:rPr>
          <w:sz w:val="20"/>
          <w:szCs w:val="20"/>
          <w:color w:val="auto"/>
        </w:rPr>
      </w:pPr>
      <w:r>
        <w:rPr>
          <w:rFonts w:ascii="Arial" w:cs="Arial" w:eastAsia="Arial" w:hAnsi="Arial"/>
          <w:sz w:val="16"/>
          <w:szCs w:val="16"/>
          <w:i w:val="1"/>
          <w:iCs w:val="1"/>
          <w:color w:val="auto"/>
        </w:rPr>
        <w:t xml:space="preserve">Transportation Brokerage Services: </w:t>
      </w:r>
      <w:r>
        <w:rPr>
          <w:rFonts w:ascii="Arial" w:cs="Arial" w:eastAsia="Arial" w:hAnsi="Arial"/>
          <w:sz w:val="16"/>
          <w:szCs w:val="16"/>
          <w:color w:val="auto"/>
        </w:rPr>
        <w:t>Matson Logistics’ transportation brokerage services provide intermodal rail, highway,</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third-party logistics services for North American customers and international ocean carrier customers, including MatNav. Matson Logistics is able to reduce transportation costs for its customers through volume purchases of rail, motor carrier and ocean transportation services, augmented by services such as shipment tracking and tracing, and single-vendor invoicing. Matson Logistics operates customer service centers and has sales offices throughout North America.</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i w:val="1"/>
          <w:iCs w:val="1"/>
          <w:color w:val="auto"/>
        </w:rPr>
        <w:t xml:space="preserve">Freight Forwarding Services: </w:t>
      </w:r>
      <w:r>
        <w:rPr>
          <w:rFonts w:ascii="Arial" w:cs="Arial" w:eastAsia="Arial" w:hAnsi="Arial"/>
          <w:sz w:val="17"/>
          <w:szCs w:val="17"/>
          <w:color w:val="auto"/>
        </w:rPr>
        <w:t>Matson Logistics provides LCL consolidation and freight forwarding services primarily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Alaska market through its wholly owned subsidiary, Span Alaska. Span Alaska’s business aggregates LCL freight at its main cross-dock facility in Auburn, Washington for consolidation and shipment to a network of cross-dock facilities in</w:t>
      </w:r>
    </w:p>
    <w:p>
      <w:pPr>
        <w:ind w:right="140"/>
        <w:spacing w:after="0" w:line="261" w:lineRule="auto"/>
        <w:rPr>
          <w:sz w:val="20"/>
          <w:szCs w:val="20"/>
          <w:color w:val="auto"/>
        </w:rPr>
      </w:pPr>
      <w:r>
        <w:rPr>
          <w:rFonts w:ascii="Arial" w:cs="Arial" w:eastAsia="Arial" w:hAnsi="Arial"/>
          <w:sz w:val="18"/>
          <w:szCs w:val="18"/>
          <w:color w:val="auto"/>
        </w:rPr>
        <w:t>Alaska. Span Alaska also provides trucking services to its Auburn cross-dock facility and from its Alaska based cross-dock facilities to final customer destinations in Alaska.</w:t>
      </w:r>
    </w:p>
    <w:p>
      <w:pPr>
        <w:spacing w:after="0" w:line="18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i w:val="1"/>
          <w:iCs w:val="1"/>
          <w:color w:val="auto"/>
        </w:rPr>
        <w:t xml:space="preserve">Warehousing and Distribution Services: </w:t>
      </w:r>
      <w:r>
        <w:rPr>
          <w:rFonts w:ascii="Arial" w:cs="Arial" w:eastAsia="Arial" w:hAnsi="Arial"/>
          <w:sz w:val="17"/>
          <w:szCs w:val="17"/>
          <w:color w:val="auto"/>
        </w:rPr>
        <w:t>Matson Logistics operates two warehouses in Georgia and two warehouses in</w:t>
      </w:r>
      <w:r>
        <w:rPr>
          <w:rFonts w:ascii="Arial" w:cs="Arial" w:eastAsia="Arial" w:hAnsi="Arial"/>
          <w:sz w:val="17"/>
          <w:szCs w:val="17"/>
          <w:i w:val="1"/>
          <w:iCs w:val="1"/>
          <w:color w:val="auto"/>
        </w:rPr>
        <w:t xml:space="preserve"> </w:t>
      </w:r>
      <w:r>
        <w:rPr>
          <w:rFonts w:ascii="Arial" w:cs="Arial" w:eastAsia="Arial" w:hAnsi="Arial"/>
          <w:sz w:val="17"/>
          <w:szCs w:val="17"/>
          <w:color w:val="auto"/>
        </w:rPr>
        <w:t>Northern California providing warehousing, value-added packaging and distribution services.</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Supply Chain Management and Other Services: </w:t>
      </w:r>
      <w:r>
        <w:rPr>
          <w:rFonts w:ascii="Arial" w:cs="Arial" w:eastAsia="Arial" w:hAnsi="Arial"/>
          <w:sz w:val="18"/>
          <w:szCs w:val="18"/>
          <w:color w:val="auto"/>
        </w:rPr>
        <w:t>Matson Logistics’ supply chain management provides customers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logistics services including purchase order management, customs brokerage, LCL and full container load NVOCC freight forwarding services.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Investment in Anchorage Cross-dock Facility: </w:t>
      </w:r>
      <w:r>
        <w:rPr>
          <w:rFonts w:ascii="Arial" w:cs="Arial" w:eastAsia="Arial" w:hAnsi="Arial"/>
          <w:sz w:val="18"/>
          <w:szCs w:val="18"/>
          <w:color w:val="auto"/>
        </w:rPr>
        <w:t>Span Alaska is in the process of constructing a new 54,000 square foot cross-dock facility to consolidate its Anchorage operations that currently operate from two smaller leased facilities. The new cross-dock facility is expected to be completed by the end of 2019 and is expected to improve Span Alaska’s operating efficiency while providing additional capacity for long-term growth.</w:t>
      </w:r>
    </w:p>
    <w:p>
      <w:pPr>
        <w:spacing w:after="0" w:line="18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 xml:space="preserve">Recent Logistics Acquisition: </w:t>
      </w:r>
      <w:r>
        <w:rPr>
          <w:rFonts w:ascii="Arial" w:cs="Arial" w:eastAsia="Arial" w:hAnsi="Arial"/>
          <w:sz w:val="16"/>
          <w:szCs w:val="16"/>
          <w:color w:val="auto"/>
        </w:rPr>
        <w:t>On August 4, 2016, Matson Logistics completed its acquisition of Span Alaska. For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about this acquisition, see Note 18 to the Consolidated Financial Statements in Item 8 of Part II below.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Matson Logistics’ operating costs primarily consist of the costs of purchased transportation, leases of warehouses and other facility operating costs, salaries and benefits, and other operating overhead.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Matson Logistics competes with hundreds of local, regional, national and international companies that provide transportation and third-party logistics services. The industry is highly fragmented and, therefore, competition varies by geography and areas of service.</w:t>
      </w:r>
    </w:p>
    <w:p>
      <w:pPr>
        <w:spacing w:after="0" w:line="18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Matson Logistics’ transportation brokerage services competes most directly with C.H. Robinson Worldwide, the Hub Group, and other freight brokers and intermodal marketing companies, and asset-invested market leaders such as J.B.</w:t>
      </w:r>
    </w:p>
    <w:p>
      <w:pPr>
        <w:ind w:right="120"/>
        <w:spacing w:after="0" w:line="254" w:lineRule="auto"/>
        <w:rPr>
          <w:sz w:val="20"/>
          <w:szCs w:val="20"/>
          <w:color w:val="auto"/>
        </w:rPr>
      </w:pPr>
      <w:r>
        <w:rPr>
          <w:rFonts w:ascii="Arial" w:cs="Arial" w:eastAsia="Arial" w:hAnsi="Arial"/>
          <w:sz w:val="18"/>
          <w:szCs w:val="18"/>
          <w:color w:val="auto"/>
        </w:rPr>
        <w:t>Hunt. Competition is differentiated by the depth, scale and scope of customer relationships; vendor relationships and rates; network capacity; real-time visibility into the movement of customers’ goods; and other technology solutions. Additionally, while Matson Logistics primarily provides surface transportation brokerage, it also competes to a lesser degree with other forms of transportation for the movement of cargo.</w:t>
      </w:r>
    </w:p>
    <w:p>
      <w:pPr>
        <w:spacing w:after="0" w:line="19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Matson Logistics’ freight forwarding services compete most directly with a variety of freight forwarding companies that operate within Alaska including Carlile, Lynden, American Fast Freight and Alaska Traffic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225"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Matson Logistics serves customers in numerous industries and geographical locations. In 2018, 2017 and 2016, the Company’s 10 largest logistics customers accounted for approximately 23 percent, 19 percent and 22 percent of Matson Logistics’ revenue, respectively. None of these customers individually account for more than 10 percent of Matson Logistics’ operating revenues. For additional information on Logistics revenues for the years ended December 31, 2018, 2017 and 2016, see Note 2 to the Consolidated Financial Statements in Item 8 of Part II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Matson’s Logistics services are generally not significantly impacted by seasonality factors, except for its freight forwarding service to Alaska which is affected by the winter weather, the cyclical nature of the oil and construction industries, and the seasonal nature of the tourism industry.</w:t>
      </w:r>
    </w:p>
    <w:p>
      <w:pPr>
        <w:spacing w:after="0" w:line="177" w:lineRule="exact"/>
        <w:rPr>
          <w:sz w:val="20"/>
          <w:szCs w:val="20"/>
          <w:color w:val="auto"/>
        </w:rPr>
      </w:pPr>
    </w:p>
    <w:p>
      <w:pPr>
        <w:ind w:left="660" w:hanging="657"/>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EMPLOYEES AND LABOR RELATIONS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As of December 31, 2018, Matson and its subsidiaries had 2,007 employees, of which 786 employees were covered by collective bargaining agreements with shoreside and offshore unions. These numbers do not include billets on vessels discussed below, employees of SSAT, or other non-employees, such as agents, temporary workers and contractors.</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Matson’s active fleet employed seagoing personnel in 339 billets at December 31, 2018. Each billet corresponds to a position on a vessel that typically is filled by two or more employees because seagoing personnel rotate between active sea-duty and time ashore. These amounts exclude billets related to two reserve vessels as of December 31, 2018 and Matson’s foreign flagged chartered vessels where the vessel owner is responsible for its seagoing personnel. Matson’s vessel management services also employed personnel in 28 billets at December 31,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Bargaining Agreements:</w:t>
      </w:r>
    </w:p>
    <w:p>
      <w:pPr>
        <w:spacing w:after="0" w:line="22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Matson and SSAT are members of the Pacific Maritime Association (“PMA”), which on behalf of its members negotiates collective bargaining agreements with the International Longshore and Warehouse Union (“ILWU”) on the U.S. Pacific Coast. The PMA/ILWU collective bargaining agreements cover substantially all U.S. West Coast longshore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labor. In August 2017, the ILWU agreed to extend its contract with the PMA to July 1, 2022. Matson also has collective bargaining agreements with other unions that expire at various dates in the future.</w:t>
      </w:r>
    </w:p>
    <w:p>
      <w:pPr>
        <w:spacing w:after="0" w:line="170" w:lineRule="exact"/>
        <w:rPr>
          <w:sz w:val="20"/>
          <w:szCs w:val="20"/>
          <w:color w:val="auto"/>
        </w:rPr>
      </w:pPr>
    </w:p>
    <w:p>
      <w:pPr>
        <w:ind w:right="219"/>
        <w:spacing w:after="0" w:line="277" w:lineRule="auto"/>
        <w:rPr>
          <w:sz w:val="20"/>
          <w:szCs w:val="20"/>
          <w:color w:val="auto"/>
        </w:rPr>
      </w:pPr>
      <w:r>
        <w:rPr>
          <w:rFonts w:ascii="Arial" w:cs="Arial" w:eastAsia="Arial" w:hAnsi="Arial"/>
          <w:sz w:val="18"/>
          <w:szCs w:val="18"/>
          <w:color w:val="auto"/>
        </w:rPr>
        <w:t>Matson’s seagoing employees are represented by unions for both unlicensed and licensed crew members. Matson also has collective bargaining agreements with these unions that expire at various dates in the future.</w:t>
      </w:r>
    </w:p>
    <w:p>
      <w:pPr>
        <w:spacing w:after="0" w:line="170" w:lineRule="exact"/>
        <w:rPr>
          <w:sz w:val="20"/>
          <w:szCs w:val="20"/>
          <w:color w:val="auto"/>
        </w:rPr>
      </w:pPr>
    </w:p>
    <w:p>
      <w:pPr>
        <w:ind w:right="79"/>
        <w:spacing w:after="0" w:line="259" w:lineRule="auto"/>
        <w:rPr>
          <w:sz w:val="20"/>
          <w:szCs w:val="20"/>
          <w:color w:val="auto"/>
        </w:rPr>
      </w:pPr>
      <w:r>
        <w:rPr>
          <w:rFonts w:ascii="Arial" w:cs="Arial" w:eastAsia="Arial" w:hAnsi="Arial"/>
          <w:sz w:val="18"/>
          <w:szCs w:val="18"/>
          <w:color w:val="auto"/>
        </w:rPr>
        <w:t>Certain collective bargaining agreements expire during 2019. While Matson believes that it will be able to renegotiate these collective bargaining agreements with its various unions as they expire without any significant impact on its operations, no assurance can be given that such agreements will be reached without slow-downs, strikes, lock-out or other disruptions that may adversely impact Matson’s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and Post-retirement Plans:</w:t>
      </w:r>
    </w:p>
    <w:p>
      <w:pPr>
        <w:spacing w:after="0" w:line="225" w:lineRule="exact"/>
        <w:rPr>
          <w:sz w:val="20"/>
          <w:szCs w:val="20"/>
          <w:color w:val="auto"/>
        </w:rPr>
      </w:pPr>
    </w:p>
    <w:p>
      <w:pPr>
        <w:ind w:right="199"/>
        <w:spacing w:after="0" w:line="259" w:lineRule="auto"/>
        <w:rPr>
          <w:sz w:val="20"/>
          <w:szCs w:val="20"/>
          <w:color w:val="auto"/>
        </w:rPr>
      </w:pPr>
      <w:r>
        <w:rPr>
          <w:rFonts w:ascii="Arial" w:cs="Arial" w:eastAsia="Arial" w:hAnsi="Arial"/>
          <w:sz w:val="18"/>
          <w:szCs w:val="18"/>
          <w:color w:val="auto"/>
        </w:rPr>
        <w:t>Matson contributes to a number of multi-employer pension and post-retirement plans. Matson has no present intention of withdrawing from, and does not anticipate the termination of any of the multi-employer pension plans that it contributes to (see Notes 11 and 12 to the Consolidated Financial Statements in Item 8 of Part II below for a discussion of withdrawal liabilities under certain multi-employer pension plans).</w:t>
      </w:r>
    </w:p>
    <w:p>
      <w:pPr>
        <w:spacing w:after="0" w:line="183" w:lineRule="exact"/>
        <w:rPr>
          <w:sz w:val="20"/>
          <w:szCs w:val="20"/>
          <w:color w:val="auto"/>
        </w:rPr>
      </w:pPr>
    </w:p>
    <w:p>
      <w:pPr>
        <w:ind w:left="660" w:hanging="657"/>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39"/>
        <w:spacing w:after="0" w:line="297" w:lineRule="auto"/>
        <w:rPr>
          <w:sz w:val="20"/>
          <w:szCs w:val="20"/>
          <w:color w:val="auto"/>
        </w:rPr>
      </w:pPr>
      <w:r>
        <w:rPr>
          <w:rFonts w:ascii="Arial" w:cs="Arial" w:eastAsia="Arial" w:hAnsi="Arial"/>
          <w:sz w:val="16"/>
          <w:szCs w:val="16"/>
          <w:color w:val="auto"/>
        </w:rPr>
        <w:t>Matson makes available, free of charge on or through its Internet website, Matson’s annual reports on Form 10-K, quarterly reports on Form 10-Q, current reports on Form 8-K and amendments to those reports filed or furnished pursuant to Section 13(a) or 15(d) of the Securities Exchange Act of 1934 as soon as reasonably practicable after it electronically files such material with, or furnishes it to, the U.S. Securities and Exchange Commission (“SEC”). The address of Matson’s Internet website is www.matson.com. The contents of our website are not incorporated by reference into this Form 10-K.</w:t>
      </w:r>
    </w:p>
    <w:p>
      <w:pPr>
        <w:spacing w:after="0" w:line="158" w:lineRule="exact"/>
        <w:rPr>
          <w:sz w:val="20"/>
          <w:szCs w:val="20"/>
          <w:color w:val="auto"/>
        </w:rPr>
      </w:pPr>
    </w:p>
    <w:p>
      <w:pPr>
        <w:jc w:val="both"/>
        <w:ind w:right="539"/>
        <w:spacing w:after="0" w:line="264" w:lineRule="auto"/>
        <w:rPr>
          <w:sz w:val="20"/>
          <w:szCs w:val="20"/>
          <w:color w:val="auto"/>
        </w:rPr>
      </w:pPr>
      <w:r>
        <w:rPr>
          <w:rFonts w:ascii="Arial" w:cs="Arial" w:eastAsia="Arial" w:hAnsi="Arial"/>
          <w:sz w:val="18"/>
          <w:szCs w:val="18"/>
          <w:color w:val="auto"/>
        </w:rPr>
        <w:t>The SEC maintains an Internet website that contains reports, proxy and information statements, and other information regarding Matson and other issuers that file electronically with the SEC. The address of the SEC’s Internet website is www.sec.gov.</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99"/>
        <w:spacing w:after="0" w:line="264" w:lineRule="auto"/>
        <w:rPr>
          <w:sz w:val="20"/>
          <w:szCs w:val="20"/>
          <w:color w:val="auto"/>
        </w:rPr>
      </w:pPr>
      <w:r>
        <w:rPr>
          <w:rFonts w:ascii="Arial" w:cs="Arial" w:eastAsia="Arial" w:hAnsi="Arial"/>
          <w:sz w:val="18"/>
          <w:szCs w:val="18"/>
          <w:color w:val="auto"/>
        </w:rPr>
        <w:t>The Company’s business faces the risks set forth below, which may adversely affect our business, financial condition and operating results. All forward-looking statements made by the Company or on the Company’s behalf are qualified by the risks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Operations</w:t>
      </w:r>
    </w:p>
    <w:p>
      <w:pPr>
        <w:spacing w:after="0" w:line="221" w:lineRule="exact"/>
        <w:rPr>
          <w:sz w:val="20"/>
          <w:szCs w:val="20"/>
          <w:color w:val="auto"/>
        </w:rPr>
      </w:pPr>
    </w:p>
    <w:p>
      <w:pPr>
        <w:ind w:right="139"/>
        <w:spacing w:after="0" w:line="261" w:lineRule="auto"/>
        <w:rPr>
          <w:sz w:val="20"/>
          <w:szCs w:val="20"/>
          <w:color w:val="auto"/>
        </w:rPr>
      </w:pPr>
      <w:r>
        <w:rPr>
          <w:rFonts w:ascii="Arial" w:cs="Arial" w:eastAsia="Arial" w:hAnsi="Arial"/>
          <w:sz w:val="18"/>
          <w:szCs w:val="18"/>
          <w:b w:val="1"/>
          <w:bCs w:val="1"/>
          <w:color w:val="auto"/>
        </w:rPr>
        <w:t>Changes in U.S., global, regional economic conditions or governmental policies that result in a decrease in consumer confidence or market demand for the Company’s services and products in Hawaii and Alaska, the U.S. Mainland, Guam, Asia or the South Pacific may adversely affect the Company’s financial position, results of operations, liquidity, or cash flows.</w:t>
      </w:r>
    </w:p>
    <w:p>
      <w:pPr>
        <w:spacing w:after="0" w:line="184" w:lineRule="exact"/>
        <w:rPr>
          <w:sz w:val="20"/>
          <w:szCs w:val="20"/>
          <w:color w:val="auto"/>
        </w:rPr>
      </w:pPr>
    </w:p>
    <w:p>
      <w:pPr>
        <w:ind w:right="59"/>
        <w:spacing w:after="0" w:line="271" w:lineRule="auto"/>
        <w:rPr>
          <w:sz w:val="20"/>
          <w:szCs w:val="20"/>
          <w:color w:val="auto"/>
        </w:rPr>
      </w:pPr>
      <w:r>
        <w:rPr>
          <w:rFonts w:ascii="Arial" w:cs="Arial" w:eastAsia="Arial" w:hAnsi="Arial"/>
          <w:sz w:val="17"/>
          <w:szCs w:val="17"/>
          <w:color w:val="auto"/>
        </w:rPr>
        <w:t>A weakening of domestic or global economies may adversely impact the level of freight volumes and freight rates. Within the U.S., a weakening of economic drivers in Hawaii and Alaska, which include tourism, military spending, construction starts, personal income growth and employment, or the weakening of consumer confidence, market demand, the economy in the U.S. Mainland, or the effect of a change in the strength of the U.S. dollar against other foreign currencies, may further reduce the demand for goods to and from Asia, Hawaii and Alaska, adversely affecting inland and ocean transportation volumes or rates. In addition, overcapacity in the global or transpacific ocean transportation markets, a change in the cost of goods or currency exchange rates, imposition of tariffs, or a change in international trade policies may adversely affect freight volumes and rates in the Company’s China service.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may face new or increased competition.</w:t>
      </w:r>
    </w:p>
    <w:p>
      <w:pPr>
        <w:spacing w:after="0" w:line="216" w:lineRule="exact"/>
        <w:rPr>
          <w:sz w:val="20"/>
          <w:szCs w:val="20"/>
          <w:color w:val="auto"/>
        </w:rPr>
      </w:pPr>
    </w:p>
    <w:p>
      <w:pPr>
        <w:ind w:right="379"/>
        <w:spacing w:after="0" w:line="342" w:lineRule="auto"/>
        <w:rPr>
          <w:sz w:val="20"/>
          <w:szCs w:val="20"/>
          <w:color w:val="auto"/>
        </w:rPr>
      </w:pPr>
      <w:r>
        <w:rPr>
          <w:rFonts w:ascii="Arial" w:cs="Arial" w:eastAsia="Arial" w:hAnsi="Arial"/>
          <w:sz w:val="16"/>
          <w:szCs w:val="16"/>
          <w:color w:val="auto"/>
        </w:rPr>
        <w:t>The Company may face new competition by established or start-up shipping operators that enter the Company’s markets. The entry of a new competitor or the addition of new vessels or capacity by existing competition on any of the</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19" w:lineRule="exact"/>
        <w:rPr>
          <w:sz w:val="20"/>
          <w:szCs w:val="20"/>
          <w:color w:val="auto"/>
        </w:rPr>
      </w:pPr>
      <w:r>
        <w:rPr>
          <w:rFonts w:ascii="Arial" w:cs="Arial" w:eastAsia="Arial" w:hAnsi="Arial"/>
          <w:sz w:val="17"/>
          <w:szCs w:val="17"/>
          <w:color w:val="auto"/>
        </w:rPr>
        <w:t>Company’s routes could result in a significant increase in available shipping capacity that could have an adverse effect on volumes and rates. For example, in December 2016, the Company’s major competitor in the Guam service upgraded its U.S. flagged feeder containership from a bi</w:t>
      </w:r>
      <w:r>
        <w:rPr>
          <w:rFonts w:ascii="MS PGothic" w:cs="MS PGothic" w:eastAsia="MS PGothic" w:hAnsi="MS PGothic"/>
          <w:sz w:val="17"/>
          <w:szCs w:val="17"/>
          <w:color w:val="auto"/>
        </w:rPr>
        <w:t>‑</w:t>
      </w:r>
      <w:r>
        <w:rPr>
          <w:rFonts w:ascii="Arial" w:cs="Arial" w:eastAsia="Arial" w:hAnsi="Arial"/>
          <w:sz w:val="17"/>
          <w:szCs w:val="17"/>
          <w:color w:val="auto"/>
        </w:rPr>
        <w:t>weekly service to a weekly service connecting the U.S. West Coast to Guam and Saipan via transshipments over Yokohama, Japan and Busan, South Korea. As a result of this and other potential competitor actions, the Company could experience a reduction in profitability.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loss of or damage to key agent or customer relationships may adversely affect the Company’s business.</w:t>
      </w:r>
    </w:p>
    <w:p>
      <w:pPr>
        <w:spacing w:after="0" w:line="2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businesses are dependent on their relationships with agents and customers, and derive a significant portion of their revenues from the Company’s largest customers. The Company could be adversely affected by any changes in the services provided, or changes to the costs of services provided by agents. Relationships with railroads and shipping companies and agents are important in the Company’s intermodal business as well as in the Guam, Micronesia, Japan and South Pacific services.</w:t>
      </w:r>
    </w:p>
    <w:p>
      <w:pPr>
        <w:spacing w:after="0" w:line="188"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The Company’s business also relies on its relationships with the military, freight forwarders, large retailers and consumer goods and automobile manufacturers, as well as other larger customers. In 2018, the Company’s Ocean Transportation segment’s 10 largest customers accounted for approximately 24 percent of the business’ revenue. In 2018, the Company’s Logistics segment’s 10 largest customers accounted for approximately 23 percent of the business’ revenue. The loss of or damage to any of these key relationships may adversely affect the Company’s business and revenue.</w:t>
      </w:r>
    </w:p>
    <w:p>
      <w:pPr>
        <w:spacing w:after="0" w:line="154"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The Company is dependent upon key vendors and third-parties for equipment, capacity and services essential to operate its business, and if the Company fails to secure sufficient third-party services, its business could be adversely affected.</w:t>
      </w:r>
    </w:p>
    <w:p>
      <w:pPr>
        <w:spacing w:after="0" w:line="18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Company’s businesses are dependent upon key vendors who provide rail, truck and ocean transportation services. If the Company cannot secure sufficient transportation equipment, capacity or services from these third-parties at reasonable prices or rates to meet its or its customers’ needs and schedules, customers may seek to have their transportation and logistics needs met by others on a temporary or permanent basis. If this were to occur, the Company’s business, consolidated results of operations and financial condition could be adversely affected.</w:t>
      </w:r>
    </w:p>
    <w:p>
      <w:pPr>
        <w:spacing w:after="0" w:line="169" w:lineRule="exact"/>
        <w:rPr>
          <w:sz w:val="20"/>
          <w:szCs w:val="20"/>
          <w:color w:val="auto"/>
        </w:rPr>
      </w:pPr>
    </w:p>
    <w:p>
      <w:pPr>
        <w:ind w:right="520"/>
        <w:spacing w:after="0" w:line="313" w:lineRule="auto"/>
        <w:rPr>
          <w:sz w:val="20"/>
          <w:szCs w:val="20"/>
          <w:color w:val="auto"/>
        </w:rPr>
      </w:pPr>
      <w:r>
        <w:rPr>
          <w:rFonts w:ascii="Arial" w:cs="Arial" w:eastAsia="Arial" w:hAnsi="Arial"/>
          <w:sz w:val="17"/>
          <w:szCs w:val="17"/>
          <w:b w:val="1"/>
          <w:bCs w:val="1"/>
          <w:color w:val="auto"/>
        </w:rPr>
        <w:t>An increase in fuel prices, changes in the Company’s ability to collect fuel surcharges, and/or the cost or limited availability of required fuels on the U.S. West Coast may adversely affect the Company’s profits.</w:t>
      </w:r>
    </w:p>
    <w:p>
      <w:pPr>
        <w:spacing w:after="0" w:line="14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Fuel is a significant operating expense for the Company’s Ocean Transportation business. The price and supply of fuel are unpredictable and fluctuate based on events beyond the Company’s control. Increases in the price of fuel may adversely affect the Company’s results of operations. Increases in fuel costs also can lead to increases in other expenses such as energy costs and costs to purchase outside transportation services. In the Company’s Ocean Transportation and Logistics services segments, the Company utilizes fuel related surcharges, although increases in the fuel surcharge may adversely affect the Company’s competitive position and may not correspond exactly with the timing of increases in fuel expense. Changes in the Company’s ability to collect fuel surcharges also may adversely affect its results of operations.</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Effective January 1, 2020, the IMO has imposed a world-wide regulation that all ships must burn compliant fuel oil with a maximum sulfur content of ≤0.5 percent. While 0.1 percent low-sulfur distillate fuel is currently available, supplies of low-sulfur residual fuel may be limited. Distillate and residual compliant fuels are more costly compared to scrubber technology and prolonged use on some Matson vessels could degrade engine performance or lead to higher maintenance costs. Matson successfully operates scrubbers in the Alaska service and has announced plans to install scrubbers on three additional vessels that operate in the CLX service. Scrubbers allow vessels to continue to burn high sulfur fuel oil and comply with IMO 2020 regulations. Matson’s new Aloha and Kanaloa class vessel engines can burn fuel compliant with IMO 2020 regulations, including liquefied natural gas (“LNG”) although they are not currently outfitted for LNG. The LNG infrastructure is lacking in major U.S. West Coast ports and it is unclear when this infrastructure may be constructed and operational. The Company’s ability to recover the higher costs of IMO 2020 compliant fuel through fuel surcharges, the availability of compliant low-sulfur residual fuel, and the potential impact on vessel performance and maintenance costs may adversely affect the Company’s operations, business and profit.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Work stoppages or other labor disruptions caused by unionized workers of the Company, other workers or their unions in related industries may adversely affect the Company’s operations.</w:t>
      </w:r>
    </w:p>
    <w:p>
      <w:pPr>
        <w:spacing w:after="0" w:line="16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of December 31, 2018, Matson and its subsidiaries had 2,007 regular employees, of which 786 employees were covered by collective bargaining agreements with unions. In addition, at December 31, 2018, the active Matson fleet employed seagoing personnel in 339 billets, and vessel management services employed personnel in 28 billets. Such employees are also subject to collective bargaining agreements. Furthermore, the Company relies on the services of third-parties including SSAT that employ persons covered by collective bargaining agreements. For additional information on collective bargaining agreements with unions, see Item1. C. Employees and Labor Relations of Part I above.</w:t>
      </w:r>
    </w:p>
    <w:p>
      <w:pPr>
        <w:spacing w:after="0" w:line="165"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The Company could be adversely affected by actions taken by employees of the Company or other companies in related industries against efforts by management to control labor costs, restrain wage or benefit increases or modify work practices. Strikes and disruptions may occur as a result of the failure of Matson or other companies in its industry to negotiate collective bargaining agreements with such unions successfully.</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addition, any slow-downs, strikes, lock-outs or other disruptions, including limits to availability of labor through trade union hiring halts could have an adverse impact on Matson’s or SSAT’s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susceptible to weather, natural disasters and other operating risks.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operations are vulnerable to disruption as a result of weather and natural disasters, such as bad weather at sea, hurricanes, typhoons, tsunamis, floods and earthquakes. Such events will interfere with the Company’s ability to provide on-time scheduled service, resulting in increased expenses and potential loss of business associated with such events. In addition, severe weather and natural disasters can result in interference with the Company’s terminal operations, and may cause serious damage to its vessels and cranes, loss or damage to containers, cargo and other equipment, and loss of life or physical injury to its employees, all of which could have an adverse effect on the Company’s business.</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vessels and their cargoes are also subject to operating risks such as mechanical failure, collisions and human error. The occurrence of any of these events may result in damage to or loss of vessels or other property, or injury or death of people. If any of these events were to occur, the Company could be exposed to reputational harm and liability for resulting damages and possible penalties that, pursuant to typical maritime industry policies, it must pay and then seek reimbursement from its insurer. Affected vessels may also be removed from service and thus would be unavailable for income-generating activity.</w:t>
      </w:r>
    </w:p>
    <w:p>
      <w:pPr>
        <w:spacing w:after="0" w:line="19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 maintains casualty and liability insurance policies, which are generally subject to large retentions and deductibles. Some types of losses, such as losses resulting from a port blockage, generally, are not insured. In some cases the Company retains the entire risk of loss because it is not economically prudent to purchase insurance coverage or because of the perceived remoteness of the risk. Other risks are uninsured because insurance coverage may not be commercially available. Finally, the Company retains all risk of loss that exceeds the limits of its insurance.</w:t>
      </w:r>
    </w:p>
    <w:p>
      <w:pPr>
        <w:spacing w:after="0" w:line="16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The Company’s significant operating agreements and leases could be replaced on less favorable terms or may not be replaced.</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The significant operating agreements and leases of the Company in its various businesses expire at various points in the future and may not be replaced or could be replaced on less favorable terms, thereby adversely affecting the Company’s future financial position, results of operations and cash flows. For example, on November 26, 2018, a wholly-owned subsidiary of the Company entered into agreements whereby </w:t>
      </w:r>
      <w:r>
        <w:rPr>
          <w:rFonts w:ascii="Arial" w:cs="Arial" w:eastAsia="Arial" w:hAnsi="Arial"/>
          <w:sz w:val="17"/>
          <w:szCs w:val="17"/>
          <w:i w:val="1"/>
          <w:iCs w:val="1"/>
          <w:color w:val="auto"/>
        </w:rPr>
        <w:t>MV Maunalei</w:t>
      </w:r>
      <w:r>
        <w:rPr>
          <w:rFonts w:ascii="Arial" w:cs="Arial" w:eastAsia="Arial" w:hAnsi="Arial"/>
          <w:sz w:val="17"/>
          <w:szCs w:val="17"/>
          <w:color w:val="auto"/>
        </w:rPr>
        <w:t xml:space="preserve">, a U.S. flagged and Jones Act qualified vessel, was sold for $106.0 million and leased back from the buyer under an operating lease agreement. While the agreements contain customary representations, warranties and covenants, there remain risks that the lessor could lose its Jones Act status, that the Company could not replace </w:t>
      </w:r>
      <w:r>
        <w:rPr>
          <w:rFonts w:ascii="Arial" w:cs="Arial" w:eastAsia="Arial" w:hAnsi="Arial"/>
          <w:sz w:val="17"/>
          <w:szCs w:val="17"/>
          <w:i w:val="1"/>
          <w:iCs w:val="1"/>
          <w:color w:val="auto"/>
        </w:rPr>
        <w:t>MV Maunalei</w:t>
      </w:r>
      <w:r>
        <w:rPr>
          <w:rFonts w:ascii="Arial" w:cs="Arial" w:eastAsia="Arial" w:hAnsi="Arial"/>
          <w:sz w:val="17"/>
          <w:szCs w:val="17"/>
          <w:color w:val="auto"/>
        </w:rPr>
        <w:t xml:space="preserve"> in the event it is no longer Jones Act eligible, or if elected, that the Company would not be able to repurchase </w:t>
      </w:r>
      <w:r>
        <w:rPr>
          <w:rFonts w:ascii="Arial" w:cs="Arial" w:eastAsia="Arial" w:hAnsi="Arial"/>
          <w:sz w:val="17"/>
          <w:szCs w:val="17"/>
          <w:i w:val="1"/>
          <w:iCs w:val="1"/>
          <w:color w:val="auto"/>
        </w:rPr>
        <w:t>MV Maunalei</w:t>
      </w:r>
      <w:r>
        <w:rPr>
          <w:rFonts w:ascii="Arial" w:cs="Arial" w:eastAsia="Arial" w:hAnsi="Arial"/>
          <w:sz w:val="17"/>
          <w:szCs w:val="17"/>
          <w:color w:val="auto"/>
        </w:rPr>
        <w:t xml:space="preserve"> at the end of the lease term.</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may face unexpected dry-docking or repair costs for its vessels.</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routinely engage shipyards to dry-dock our vessels for regulatory compliance and to provide repair and maintenance. Vessels may also have to be dry-docked or repaired at sea in the event of accidents or other unforeseen damage. The cost of repairs are difficult to predict with certainty and can be substantial. Large dry-docking and other repair expenses could adversely affect the Company’s results of operations and cash flows. In addition, the time when a vessel is out of service for maintenance is determined by a number of factors, including regulatory deadlines, market conditions, shipyard availability and customer requirements, and accordingly, the length of time that a vessel may be out of service may be longer than anticipated, which could adversely affect the Company’s business, financial condition, results of operations and cash flows.</w:t>
      </w:r>
    </w:p>
    <w:p>
      <w:pPr>
        <w:spacing w:after="0" w:line="18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If we are not able to use our information technology and communications systems effectively, our ability to conduct business might be negatively impacted.</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is highly dependent on the proper functioning of our information technology systems to enable operations and compete effectively. Our information technology systems rely on third-party service providers for access to the Internet, satellite-based communications systems, the electric grid, database storage facilities and telecommunications providers. We have no control over the operations of these third-party service providers. If our information technology and communications systems experience reliability issues, integration or compatibility concerns or if our third-party providers are unable to perform effectively or experience disruptions or failures, there could be an adverse impact on the availability and functioning of our information technology and communications systems, which could lead to business disruption or inefficiencies, reputational harm or loss of customers that could have an adverse effect on our business.</w:t>
      </w:r>
    </w:p>
    <w:p>
      <w:pPr>
        <w:spacing w:after="0" w:line="16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information technology systems may be exposed to cybersecurity risks and other disruptions that could impair the Company’s ability to operate and adversely affect its business.</w:t>
      </w:r>
    </w:p>
    <w:p>
      <w:pPr>
        <w:spacing w:after="0" w:line="16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Company relies extensively on its information technology systems and third-party service providers including cloud services for accounting, billing, disbursement, cargo booking and tracking, vessel scheduling and stowage, equipment tracking, customer service, banking, payroll and employee communication systems. The Company also collects, stores and transmits sensitive data, including its proprietary business information and that of its customers, and personally identifiable information of its customers and employees. Despite our continuous efforts to make investments in our information technology systems and system-wide data security program, the implementation of security measures to protect our data and infrastructure against breaches and other cyber threats, and our use of internal processes and controls designed to protect the security and availability of our systems, our information technology and communication systems may be vulnerable to cybersecurity risks such as computer viruses, hacking, malware, denial of service attacks, cyber terrorism, circumvention of security systems, malfeasance, breaches due to employee error, natural disasters, telecommunications failure, or other catastrophic events at the Company’s facilities, aboard its vessels or at third-party locations.</w:t>
      </w:r>
    </w:p>
    <w:p>
      <w:pPr>
        <w:spacing w:after="0" w:line="173"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Any failure, breach or unauthorized access to the Company’s or third-party systems could result in the loss of confidential, sensitive or proprietary information, interruptions in its service or production or otherwise impact our ability to conduct business operations, and could result in potential reductions in revenue and profits, damage to its reputation or liability.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the Company’s key personnel could adversely affect its business.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future success will depend, in significant part, upon the continued services of its key personnel, including its senior management and skilled employees. The loss of the services of key personnel could adversely affect the Company’s future operating results because of such employees’ experience and knowledge of the Company’s business and customer relationships. If key employees depart, the Company may incur significant costs to replace them. Additionally, the Company’s ability to execute its business model could be impaired if it cannot replace them in a timely manner. The Company does not maintain key person insurance on any of its key personnel.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 is involved in a joint venture and is subject to risks associated with joint venture relationships.</w:t>
      </w:r>
    </w:p>
    <w:p>
      <w:pPr>
        <w:spacing w:after="0" w:line="24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Company is involved in a terminal joint venture, SSAT (and through SSAT, other joint ventures at U.S. West Coast terminals), and may initiate future joint venture projects. A joint venture involves certain risks such as:</w:t>
      </w:r>
    </w:p>
    <w:p>
      <w:pPr>
        <w:spacing w:after="0" w:line="147" w:lineRule="exact"/>
        <w:rPr>
          <w:sz w:val="20"/>
          <w:szCs w:val="20"/>
          <w:color w:val="auto"/>
        </w:rPr>
      </w:pPr>
    </w:p>
    <w:p>
      <w:pPr>
        <w:ind w:left="320" w:hanging="317"/>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may not have voting control over the joint venture;</w:t>
      </w:r>
    </w:p>
    <w:p>
      <w:pPr>
        <w:spacing w:after="0" w:line="23" w:lineRule="exact"/>
        <w:rPr>
          <w:rFonts w:ascii="Arial" w:cs="Arial" w:eastAsia="Arial" w:hAnsi="Arial"/>
          <w:sz w:val="18"/>
          <w:szCs w:val="18"/>
          <w:color w:val="auto"/>
        </w:rPr>
      </w:pPr>
    </w:p>
    <w:p>
      <w:pPr>
        <w:ind w:left="320" w:hanging="317"/>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may not be able to maintain good relationships with its joint venture partner;</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joint venture partner at any time may have economic or business interests that are inconsistent with the Company’s;</w:t>
      </w:r>
    </w:p>
    <w:p>
      <w:pPr>
        <w:spacing w:after="0" w:line="32" w:lineRule="exact"/>
        <w:rPr>
          <w:rFonts w:ascii="Arial" w:cs="Arial" w:eastAsia="Arial" w:hAnsi="Arial"/>
          <w:sz w:val="16"/>
          <w:szCs w:val="16"/>
          <w:color w:val="auto"/>
        </w:rPr>
      </w:pPr>
    </w:p>
    <w:p>
      <w:pPr>
        <w:ind w:left="320" w:right="200" w:hanging="317"/>
        <w:spacing w:after="0" w:line="250"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joint venture partner may fail to fund its share of capital for operations or to fulfill its other commitments, including providing accurate and timely accounting and financial information to the Company;</w:t>
      </w:r>
    </w:p>
    <w:p>
      <w:pPr>
        <w:ind w:left="320" w:right="340" w:hanging="317"/>
        <w:spacing w:after="0" w:line="281" w:lineRule="auto"/>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joint venture may experience operating difficulties and financial losses, which may lead to asset write-downs or impairment charges that could negatively impact the operating results of the joint venture and the Company;</w:t>
      </w:r>
    </w:p>
    <w:p>
      <w:pPr>
        <w:spacing w:after="0" w:line="1" w:lineRule="exact"/>
        <w:rPr>
          <w:rFonts w:ascii="Arial" w:cs="Arial" w:eastAsia="Arial" w:hAnsi="Arial"/>
          <w:sz w:val="16"/>
          <w:szCs w:val="16"/>
          <w:color w:val="auto"/>
        </w:rPr>
      </w:pPr>
    </w:p>
    <w:p>
      <w:pPr>
        <w:ind w:left="320" w:hanging="317"/>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joint venture or venture partner could lose key personnel;</w:t>
      </w:r>
    </w:p>
    <w:p>
      <w:pPr>
        <w:spacing w:after="0" w:line="9" w:lineRule="exact"/>
        <w:rPr>
          <w:rFonts w:ascii="Arial" w:cs="Arial" w:eastAsia="Arial" w:hAnsi="Arial"/>
          <w:sz w:val="18"/>
          <w:szCs w:val="18"/>
          <w:color w:val="auto"/>
        </w:rPr>
      </w:pPr>
    </w:p>
    <w:p>
      <w:pPr>
        <w:ind w:left="320" w:right="440" w:hanging="317"/>
        <w:spacing w:after="0" w:line="250"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joint venture partner could become bankrupt requiring the Company to assume all risks and capital requirements related to the joint venture project, and the related bankruptcy proceedings could have an adverse impact on the operation of the partnership or joint venture; and</w:t>
      </w:r>
    </w:p>
    <w:p>
      <w:pPr>
        <w:spacing w:after="0" w:line="1" w:lineRule="exact"/>
        <w:rPr>
          <w:rFonts w:ascii="Arial" w:cs="Arial" w:eastAsia="Arial" w:hAnsi="Arial"/>
          <w:sz w:val="18"/>
          <w:szCs w:val="18"/>
          <w:color w:val="auto"/>
        </w:rPr>
      </w:pPr>
    </w:p>
    <w:p>
      <w:pPr>
        <w:ind w:left="320" w:hanging="317"/>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Actions of the joint venture may result in reputational harm to the Company.</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Company relies on the terminal joint venture, SSAT, and SSA for its stevedoring services at the ports of Long Beach and Oakland, California, and Seattle and Tacoma, Washington on the U.S. West Coast. The Company could be adversely affected by any changes in the services provided, or to the costs of such services provided by the Company’s terminal joint venture, SSAT, and SSA.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subject to risks associated with conducting business in foreign shipping markets.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Matson’s China, Micronesia, Japan and South Pacific services are subject to risks associated with conducting business in a foreign shipping market, which include:</w:t>
      </w:r>
    </w:p>
    <w:p>
      <w:pPr>
        <w:spacing w:after="0" w:line="170" w:lineRule="exact"/>
        <w:rPr>
          <w:sz w:val="20"/>
          <w:szCs w:val="20"/>
          <w:color w:val="auto"/>
        </w:rPr>
      </w:pPr>
    </w:p>
    <w:p>
      <w:pPr>
        <w:ind w:left="320" w:right="120" w:hanging="317"/>
        <w:spacing w:after="0" w:line="258"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associated with operating in foreign countries and doing business and developing relationships with foreign companies;</w:t>
      </w:r>
    </w:p>
    <w:p>
      <w:pPr>
        <w:spacing w:after="0" w:line="1" w:lineRule="exact"/>
        <w:rPr>
          <w:rFonts w:ascii="Arial" w:cs="Arial" w:eastAsia="Arial" w:hAnsi="Arial"/>
          <w:sz w:val="18"/>
          <w:szCs w:val="18"/>
          <w:color w:val="auto"/>
        </w:rPr>
      </w:pPr>
    </w:p>
    <w:p>
      <w:pPr>
        <w:ind w:left="320" w:hanging="317"/>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Challenges in working with and maintaining good relationships with business associates in our foreign operations;</w:t>
      </w:r>
    </w:p>
    <w:p>
      <w:pPr>
        <w:spacing w:after="0" w:line="20" w:lineRule="exact"/>
        <w:rPr>
          <w:rFonts w:ascii="Arial" w:cs="Arial" w:eastAsia="Arial" w:hAnsi="Arial"/>
          <w:sz w:val="17"/>
          <w:szCs w:val="17"/>
          <w:color w:val="auto"/>
        </w:rPr>
      </w:pPr>
    </w:p>
    <w:p>
      <w:pPr>
        <w:ind w:left="320" w:hanging="317"/>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320" w:right="260" w:hanging="317"/>
        <w:spacing w:after="0" w:line="265"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be in compliance with U.S. and foreign legal and regulatory restrictions, including compliance with the Foreign Corrupt Practices Act and foreign laws that prohibit corrupt payments to government officials;</w:t>
      </w:r>
    </w:p>
    <w:p>
      <w:pPr>
        <w:ind w:left="320" w:hanging="317"/>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Global vessel overcapacity that may lead to decreases in volumes and shipping rates;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having continued access to existing port facilities;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with established and new carriers;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vessel deployment by competitors that impact the Company’s services;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Currency exchange rate fluctuations and our ability to manage these fluctuations;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 w:lineRule="exact"/>
        <w:rPr>
          <w:rFonts w:ascii="Arial" w:cs="Arial" w:eastAsia="Arial" w:hAnsi="Arial"/>
          <w:sz w:val="18"/>
          <w:szCs w:val="18"/>
          <w:color w:val="auto"/>
        </w:rPr>
      </w:pPr>
    </w:p>
    <w:p>
      <w:pPr>
        <w:ind w:left="320" w:right="340" w:hanging="317"/>
        <w:spacing w:after="0" w:line="250"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Dynamics involving U.S. trade relations with other countries, including measures such as the imposition of tariffs or other governmental actions, all of which may affect the Company’s operations; and</w:t>
      </w:r>
    </w:p>
    <w:p>
      <w:pPr>
        <w:ind w:left="320" w:hanging="317"/>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caused by cultural differences.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has the potential to adversely affect the Company’s operating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subject to risks related to a marine accident or spill event.</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vessel and terminal operations could be faced with a maritime accident, oil or other spill, or other environmental mishap. Such event may lead to personal injury, loss of life, damage of property, pollution and suspension of operations. As a result, such event could have an adverse effect on the Company’s business.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Shipbuilding Agreements with Philly Shipyard and NASSCO are subject to risks.</w:t>
      </w:r>
    </w:p>
    <w:p>
      <w:pPr>
        <w:spacing w:after="0" w:line="229" w:lineRule="exact"/>
        <w:rPr>
          <w:sz w:val="20"/>
          <w:szCs w:val="20"/>
          <w:color w:val="auto"/>
        </w:rPr>
      </w:pPr>
    </w:p>
    <w:p>
      <w:pPr>
        <w:ind w:right="280"/>
        <w:spacing w:after="0" w:line="288" w:lineRule="auto"/>
        <w:rPr>
          <w:sz w:val="20"/>
          <w:szCs w:val="20"/>
          <w:color w:val="auto"/>
        </w:rPr>
      </w:pPr>
      <w:r>
        <w:rPr>
          <w:rFonts w:ascii="Arial" w:cs="Arial" w:eastAsia="Arial" w:hAnsi="Arial"/>
          <w:sz w:val="16"/>
          <w:szCs w:val="16"/>
          <w:color w:val="auto"/>
        </w:rPr>
        <w:t xml:space="preserve">On November 6, 2013, MatNav and Philly Shipyard entered into definitive agreements pursuant to which Philly Shipyard will construct two new 3,600-TEU sized Aloha Class dual-fuel capable containerships. The first vessel, </w:t>
      </w:r>
      <w:r>
        <w:rPr>
          <w:rFonts w:ascii="Arial" w:cs="Arial" w:eastAsia="Arial" w:hAnsi="Arial"/>
          <w:sz w:val="16"/>
          <w:szCs w:val="16"/>
          <w:i w:val="1"/>
          <w:iCs w:val="1"/>
          <w:color w:val="auto"/>
        </w:rPr>
        <w:t>MV Daniel K.</w:t>
      </w:r>
      <w:r>
        <w:rPr>
          <w:rFonts w:ascii="Arial" w:cs="Arial" w:eastAsia="Arial" w:hAnsi="Arial"/>
          <w:sz w:val="16"/>
          <w:szCs w:val="16"/>
          <w:color w:val="auto"/>
        </w:rPr>
        <w:t xml:space="preserve"> </w:t>
      </w:r>
      <w:r>
        <w:rPr>
          <w:rFonts w:ascii="Arial" w:cs="Arial" w:eastAsia="Arial" w:hAnsi="Arial"/>
          <w:sz w:val="16"/>
          <w:szCs w:val="16"/>
          <w:i w:val="1"/>
          <w:iCs w:val="1"/>
          <w:color w:val="auto"/>
        </w:rPr>
        <w:t>Inouye</w:t>
      </w:r>
      <w:r>
        <w:rPr>
          <w:rFonts w:ascii="Arial" w:cs="Arial" w:eastAsia="Arial" w:hAnsi="Arial"/>
          <w:sz w:val="16"/>
          <w:szCs w:val="16"/>
          <w:color w:val="auto"/>
        </w:rPr>
        <w:t>, was delivered on October 31, 2018. It is expected that the second vessel will be delivered in the first quarter of</w:t>
      </w:r>
    </w:p>
    <w:p>
      <w:pPr>
        <w:ind w:right="20"/>
        <w:spacing w:after="0" w:line="267" w:lineRule="auto"/>
        <w:rPr>
          <w:sz w:val="20"/>
          <w:szCs w:val="20"/>
          <w:color w:val="auto"/>
        </w:rPr>
      </w:pPr>
      <w:r>
        <w:rPr>
          <w:rFonts w:ascii="Arial" w:cs="Arial" w:eastAsia="Arial" w:hAnsi="Arial"/>
          <w:sz w:val="17"/>
          <w:szCs w:val="17"/>
          <w:color w:val="auto"/>
        </w:rPr>
        <w:t>2019. On August 25, 2016, MatNav and NASSCO entered into a definitive agreement pursuant to which NASSCO will construct two new 3,500-TEU sized Kanaloa Class dual-fuel capable container and roll-on/roll-off vessels, with expected delivery dates at the end of 2019 and 2020. Failure of any party to the shipbuilding agreements to fulfill its obligations under the agreements could have an adverse effect on the Company’s financial position and results of operations. Such a failure could happen for a variety of reasons, including but not limited to (i) delivery delays, (ii) delivery of vessels that fail to meet any of the required operating specifications (for example, capacity, fuel efficiency or speed), (iii) events in Korea which prevent one or more significant subcontractors to each of, Philly Shipyard or NASSCO from performing, or (iv) the insolvency of, or the refusal or inability to perform for any reason, by Philly Shipyard, NASSCO, or any of their respective subcontractors. Significant delays in the delivery of the new vessels could limit our ability to replace aging steamships without substantial modifications, which could also have an adverse impact on our business plans,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terminals in Hawaii and Alaska require modernization.</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investing approximately $60 million, including the installation of three new gantry cranes and upgrade of three existing cranes, as part of the first phase of a broader project to expand and improve the Company’s Sand Island terminal in Honolulu Harbor. We have also begun discussions with state and local authorities in Anchorage, Alaska regarding upgrades to those terminal and port facilities. Regulatory, construction or other delays or cost overruns related to the expansion and modernization of the terminals could have an adverse impact on our business plans, financial condition and results of operations.</w:t>
      </w:r>
    </w:p>
    <w:p>
      <w:pPr>
        <w:spacing w:after="0" w:line="18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Heightened security measures, war, actual or threatened terrorist attacks, efforts to combat terrorism and other acts of violence may adversely impact the Company’s operations and profitability.</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War, terrorist attacks and other acts of violence may cause consumer confidence and spending to decrease, or may affect the ability or willingness of tourists to travel to Hawaii, Guam or Alaska, thereby adversely affecting those economies and the Company. Additionally, future terrorist attacks could increase volatility in the U.S. and worldwide financial markets. Acts of war or terrorism may be directed at the Company’s shipping operations, or may cause the U.S. government to take control of Matson’s vessels for military operation. Heightened security measures potentially slow the movement and increase the cost of freight through U.S. or foreign ports, across borders or on U.S. or foreign railroads or highways and could adversely affect the Company’s business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may have an adverse effect on the Company’s business.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growth strategy includes expansion through acquisitions, including, for example, the Company’s acquisitions of Horizon in 2015 and Span Alaska in 2016. Acquisitions may result in difficulties in assimilating acquired assets or companies, and may result in the diversion of the Company’s capital and its management attention from other business issues and opportunities. The Company may not be able to integrate companies that it acquires successfully, including their personnel, financial systems, distribution, operations and general operating procedures. The Company may also encounter challenges in achieving appropriate internal control over financial reporting in connection with the integration of an acquired company. The Company may pay a premium for an acquisition, resulting in goodwill that may later be determined to be impaired, adversely affecting the Company’s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Horizon and Span Alaska acquisitions may expose us to unknown liabilities.</w:t>
      </w:r>
    </w:p>
    <w:p>
      <w:pPr>
        <w:spacing w:after="0" w:line="229"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We acquired Horizon subject to all of the liabilities and obligations of its non-Hawaii business, including any remaining liabilities and obligations associated with its Puerto Rico operations, which Horizon ceased during the first quarter of</w:t>
      </w:r>
    </w:p>
    <w:p>
      <w:pPr>
        <w:jc w:val="both"/>
        <w:ind w:right="100"/>
        <w:spacing w:after="0" w:line="255" w:lineRule="auto"/>
        <w:rPr>
          <w:sz w:val="20"/>
          <w:szCs w:val="20"/>
          <w:color w:val="auto"/>
        </w:rPr>
      </w:pPr>
      <w:r>
        <w:rPr>
          <w:rFonts w:ascii="Arial" w:cs="Arial" w:eastAsia="Arial" w:hAnsi="Arial"/>
          <w:sz w:val="18"/>
          <w:szCs w:val="18"/>
          <w:color w:val="auto"/>
        </w:rPr>
        <w:t>2015. Similarly, in August 2016, we acquired Span Alaska subject to all of its liabilities and obligations. The disposition of these liabilities, and any other obligations that are unknown to the Company, including contingent liabilities, could have an adverse effect on the Company’s financial condition and results of operations.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continue to be exposed to risks and liabilities related to Horizon’s former Hawaii business.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Pasha acquired Horizon’s former Hawaii business immediately before we acquired Horizon, and Pasha assumed substantially all liabilities and obligations related to Horizon’s Hawaii business and agreed to perform various covenants. In some cases however, Horizon, as the original contracting party, may remain primarily responsible for such assumed Hawaii liabilities and obligations. The Company may incur losses related to such assumed Hawaii liabilities and obligations.</w:t>
      </w:r>
    </w:p>
    <w:p>
      <w:pPr>
        <w:spacing w:after="0" w:line="150"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We may be required to record a significant charge to earnings if recorded intangible assets associated with the Horizon and Span Alaska acquisitions became impaired.</w:t>
      </w:r>
    </w:p>
    <w:p>
      <w:pPr>
        <w:spacing w:after="0" w:line="166"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We recorded significant intangible assets related to goodwill and customer relationships arising from the Horizon and Span Alaska acquisitions. We are required to test goodwill for impairment annually, or whenever events or changes in circumstances indicate that it is more likely than not that the fair value of a reporting unit is less than its carrying amount. Factors that could lead to an impairment of goodwill or intangible customer relationships include any significant adverse changes affecting the reporting unit’s financial condition, results of operations, and future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Financial Matters</w:t>
      </w:r>
    </w:p>
    <w:p>
      <w:pPr>
        <w:spacing w:after="0" w:line="221"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A deterioration of the Company’s credit profile, disruptions of the credit markets or higher interest rates could restrict its ability to access the debt capital markets or increase the cost of debt.</w:t>
      </w:r>
    </w:p>
    <w:p>
      <w:pPr>
        <w:spacing w:after="0" w:line="16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Deterioration in the Company’s credit profile may have an adverse effect on the Company’s ability to access the private or public debt markets and also may increase its borrowing costs. If the Company’s credit profile deteriorates significantly, its access to the debt capital markets or its ability to renew its committed lines of credit may become restricted, or the Company may not be able to refinance debt at the same levels or on the same terms. Because the Company relies on its ability to draw on its revolving credit facilities to support its operations, when required, any volatility in the credit and financial markets that prevents the Company from accessing funds (for example, a lender that does not fulfill its lending obligation) could have an adverse effect on the Company’s financial condition and cash flows. Additionally, the Company’s credit agreements generally include an increase in borrowing rates if the Company’s credit profile deteriorates. Furthermore, the Company incurs interest under its revolving credit facilities based on floating rates. Floating rate debt creates higher debt service requirements if market interest rates increase, as was the case in connection with the U.S. Federal Reserve’s interest rate increases in 2018, which would adversely affect the Company’s cash flow and results of operations.</w:t>
      </w:r>
    </w:p>
    <w:p>
      <w:pPr>
        <w:spacing w:after="0" w:line="169"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Failure to comply with certain restrictive financial covenants contained in the Company’s credit facilities could preclude the payment of dividends, impose restrictions on the Company’s business segments, capital resources or other activities or otherwise adversely affect the Company.</w:t>
      </w:r>
    </w:p>
    <w:p>
      <w:pPr>
        <w:spacing w:after="0" w:line="18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credit facilities contain certain restrictive financial covenants, the most restrictive of which include a maximum ratio of debt to earnings before interest, taxes, depreciation and amortization (“EBITDA”), a minimum ratio of EBITDA to interest expense, the maintenance of no more than a maximum amount of priority debt as a percentage of consolidated tangible assets, and the maintenance of minimum shareholders’ equity. If the Company does not maintain these and other required covenants, and a breach of such covenants is not cured timely or waived by the lenders resulting in a default, the Company’s access to credit may be limited or terminated, dividends may be suspended, and the lenders could declare any outstanding amounts due and payable. The Company’s continued ability to borrow under its credit facilities is subject to compliance with these financial and other non-financial covenants.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effective income tax rate may vary.</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Various internal and external factors may have favorable or unfavorable, material or immaterial effects on the Company’s effective income tax rate and, therefore, impact the Company’s net income and earnings per share. These factors include, but are not limited to changes in tax rates; changes in tax laws, regulations, and rulings; changes in interpretations of existing tax laws, regulations and rulings; changes in the evaluation of the Company’s ability to realize deferred tax assets, and changes in uncertain tax positions; changes in accounting principles; changes in current pre-tax</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income as well as changes in forecasted pre-tax income; changes in the level of CCF deductions, non-deductible expenses, and expenses eligible for tax credits; changes in the mix of earnings among countries with varying tax rates; and acquisitions and changes in the Company’s corporate structure. These factors may result in periodic revisions to our effective income tax rate, which could affect the Company’s cash flow and results of operations.</w:t>
      </w:r>
    </w:p>
    <w:p>
      <w:pPr>
        <w:spacing w:after="0" w:line="18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Changes in the value of pension assets, or a change in pension law or key assumptions, may adversely affect the Company’s financial performance.</w:t>
      </w:r>
    </w:p>
    <w:p>
      <w:pPr>
        <w:spacing w:after="0" w:line="16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amount of the Company’s employee pension and post-retirement benefit costs and obligations are calculated on assumptions used in the relevant actuarial calculations. Adverse changes in any of these assumptions due to economic or other factors, changes in discount rates, higher health care costs, or lower actual or expected returns on plan assets, may adversely affect the Company’s operating results, cash flows, and financial condition. In addition, a change in federal law, including changes to the Employee Retirement Income Security Act or Pension Benefit Guaranty Corporation premiums, may adversely affect the Company’s single-employer and multi-employer pension plans and plan funding. These factors, as well as a decline in the fair value of pension plan assets, may put upward pressure on the cost of providing pension and medical benefits and may increase future pension expense and required funding contributions. There can be no assurance that the Company will be successful in limiting future cost and expense increases, and continued upward pressure in costs and expenses could further reduce the profitability of the Company’s businesses.</w:t>
      </w:r>
    </w:p>
    <w:p>
      <w:pPr>
        <w:spacing w:after="0" w:line="16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The Company may have exposure under its multi-employer pension and post-retirement plans in which it participates that extends beyond its funding obligation with respect to the Company’s employees.</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contributes to various multi-employer pension plans. In the event of a partial or complete withdrawal by the Company from any plan that is underfunded, the Company would be liable for a proportionate share of such plan’s unfunded vested benefits (see Note 11 to the Consolidated Financial Statements in Item 8 of Part II below). Based on the limited information available from plan administrators, which the Company cannot independently validate, the Company believes that its portion of the contingent liability in the case of a full withdrawal or termination may be material to its financial position and results of operations. If any other contributing employer withdraws from any plan that is underfunded, and such employer (or any member of its controlled group) cannot satisfy its obligations under the plan at the time of withdrawal, then the Company, along with the other remaining contributing employers, would be liable for its proportionate share of such plan’s unfunded vested benefits. In addition, if a multi-employer plan fails to satisfy the minimum funding requirements, the Internal Revenue Service will impose certain penalties and taxes.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Legal and Legislative Matters</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Compliance with safety and environmental protection and other governmental requirements may adversely affect our operations.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shipping industry in general, our business and the operation of our vessels and terminals in particular are affected by extensive and changing safety, environmental protection and other international, national, State and local governmental laws and regulations, including the following: laws pertaining to air emissions; wastewater discharges; the transportation, handling and disposal of solid and hazardous materials, oil and oil-related products, hazardous substances and wastes; the investigation and remediation of contamination; and health, safety and the protection of the environment and natural resources. For example, our U.S. flagged vessels generally must be maintained “in class” and are subject to periodic inspections by the American Bureau of Shipping or similar classification societies, and must be periodically inspected by, or on behalf of, the United States Coast Guard. Federal environmental laws and certain State laws require us, as a vessel operator, to comply with numerous environmental regulations and to obtain certificates of financial responsibility and to adopt procedures for oil and hazardous substance spill prevention, response and clean up.</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complying with these laws, we have incurred expenses and may incur future expenses for vessel modifications, changes in operating procedures and undergoing additional oversight inspections. Changes in enforcement policies for existing requirements and additional laws and regulations adopted in the future could limit our ability to do business or further increase the cost of our doing business. Our vessels’ operating certificates and licenses are renewed periodically during the required annual surveys of the vessels. However, there can be no assurance that such certificates and licenses will be renewed, even though Matson maintains extensive programs and policies to ensure such renewal. Also, in the future, we may have to alter existing equipment, add new equipment, or change operating procedures for our vessels 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comply with changes in governmental regulations, safety or other equipment standards to meet our customers’ changing needs. If any such costs are material, they could adversely affect our financial condition.</w:t>
      </w:r>
    </w:p>
    <w:p>
      <w:pPr>
        <w:spacing w:after="0" w:line="14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are subject to regulation and liability under environmental laws that could result in substantial fines and penalties that may have a material adverse effect on our results of operations.</w:t>
      </w:r>
    </w:p>
    <w:p>
      <w:pPr>
        <w:spacing w:after="0" w:line="16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U.S. Act to Prevent Pollution from vessels, which implements the International Maritime Pollution (MARPOL) treaty, and the Oil Pollution Act of 1990, among many other laws, treaties and regulations, provides for severe civil and criminal penalties related to vessel-generated pollution for incidents in U.S. waters within three nautical miles and in some cases within the 200-mile exclusive economic zone. The EPA requires vessels to obtain coverage under a general permit and to comply with inspection, monitoring, discharge, recordkeeping and reporting requirements. Matson’s vessels operate within sulfur emission control areas (SECAs) or emission control areas (ECAs). If our vessels are not operated in accordance with these requirements, including waivers, permits or record keeping and other reporting requirements, such violations could result in substantial fines or penalties that could have a material adverse effect on our results of operations and our business.</w:t>
      </w:r>
    </w:p>
    <w:p>
      <w:pPr>
        <w:spacing w:after="0" w:line="16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Company is subject to, and may in the future be subject to disputes, legal or other proceedings, and government inquiries or investigations that could have an adverse effect on the Company.</w:t>
      </w:r>
    </w:p>
    <w:p>
      <w:pPr>
        <w:spacing w:after="0" w:line="1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nature of the Company’s business exposes it to the potential for disputes, legal or other proceedings, and government inquiries or investigations relating to antitrust matters, labor and employment matters, personal injury and property damage, environmental and other matters, as discussed in the other risk factors disclosed in this section or in other Company filings with the SEC. For example, Matson is a common carrier, whose tariffs, rates, rules and practices in dealing with its customers are governed by extensive and complex foreign, federal, state and local regulations, which may be the subject of disputes or administrative or judicial proceedings. If these disputes develop into proceedings, these proceedings, individually or collectively, could involve or result in significant expenditures or losses by the Company, or result in significant changes to Matson’s tariffs, rates, rules and practices in dealing with its customers, all of which could have an adverse effect on the Company’s future operating results, including profitability, cash flows and financial condition.</w:t>
      </w:r>
    </w:p>
    <w:p>
      <w:pPr>
        <w:spacing w:after="0" w:line="122"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Repeal, substantial amendment, or waiver of the Jones Act or its application would have an adverse effect on the Company’s business.</w:t>
      </w:r>
    </w:p>
    <w:p>
      <w:pPr>
        <w:spacing w:after="0" w:line="125"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If the Jones Act was to be repealed, substantially amended, or waived and, as a consequence, competitors were to enter the Hawaii or Alaska markets with lower operating costs by utilizing their ability to acquire and operate foreign-flag and foreign-built vessels, the Company’s business would be adversely affected. In addition, the Company’s advantage as a U.S. citizen operator of Jones Act vessels could be eroded by periodic efforts and attempts by foreign interests to circumvent certain aspects of the Jones Act. If maritime cabotage services were included in the General Agreement on Trade in Services, the North American Free Trade Agreement, the United States-Mexico-Canada Agreement, the U.S.</w:t>
      </w:r>
      <w:r>
        <w:rPr>
          <w:rFonts w:ascii="MS PGothic" w:cs="MS PGothic" w:eastAsia="MS PGothic" w:hAnsi="MS PGothic"/>
          <w:sz w:val="16"/>
          <w:szCs w:val="16"/>
          <w:color w:val="auto"/>
        </w:rPr>
        <w:t>‑</w:t>
      </w:r>
      <w:r>
        <w:rPr>
          <w:rFonts w:ascii="Arial" w:cs="Arial" w:eastAsia="Arial" w:hAnsi="Arial"/>
          <w:sz w:val="16"/>
          <w:szCs w:val="16"/>
          <w:color w:val="auto"/>
        </w:rPr>
        <w:t>EU Trade Agreement or other international trade agreements, or if the restrictions contained in the Jones Act were otherwise altered, the shipping of cargo between covered U.S. ports could be opened to foreign-flag or foreign-built vessels.</w:t>
      </w:r>
    </w:p>
    <w:p>
      <w:pPr>
        <w:spacing w:after="0" w:line="159"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Non-compliance with, or changes to, federal, state or local law or regulations, including passage of climate change legislation or regulation, may adversely affect the Company’s business.</w:t>
      </w:r>
    </w:p>
    <w:p>
      <w:pPr>
        <w:spacing w:after="0" w:line="1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is subject to federal, state and local laws and regulations, including cabotage laws, government rate regulations, and environmental regulations including those relating to air quality initiatives at port locations, including but not limited to, the Oil Pollution Act of 1990, the Comprehensive Environmental Response Compensation &amp; Liability Act of 1980, the Rivers and Harbors Act of 1899, the Clean Water Act, the Invasive Species Act and the Clean Air Act. Continued compliance with these laws and regulations may result in additional costs and changes in operating procedures that may adversely affect the Company’s business. Non-compliance with, or changes to, the laws and regulations governing the Company’s business could impose significant additional costs on the Company and adversely affect the Company’s financial condition and results of operations. In addition, changes in environmental laws impacting the business, including passage of climate change legislation or other regulatory initiatives that restrict emissions of greenhouse gasses such as a “cap and trade” system of allowances and credits, if enacted, may require costly vessel modifications, the use of higher-priced fuel and changes in operating practices that may not be recoverable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through increased payments from customers. Further changes to these laws and regulations could adversely affect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Capital Structure</w:t>
      </w:r>
    </w:p>
    <w:p>
      <w:pPr>
        <w:spacing w:after="0" w:line="18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The Company’s business could be adversely affected if the Company were determined not to be a U.S. citizen under the Jones Act.</w:t>
      </w:r>
    </w:p>
    <w:p>
      <w:pPr>
        <w:spacing w:after="0" w:line="1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Certain provisions of the Company’s articles of incorporation protect the Company’s ability to maintain its status as a U.S. citizen under the Jones Act. Although the Company is a U.S. citizen under the Jones Act, if non-U.S. citizens were able to defeat such articles of incorporation restrictions and own in the aggregate more than 25 percent of the Company’s common stock, the Company would no longer be considered as a U.S. citizen under the Jones Act. Such an event could result in the Company’s ineligibility to engage in coastwise trade and the imposition of substantial penalties against it, including seizure or forfeiture of its vessels, which could have an adverse effect on the Company’s financial condition and results of operation.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Matson leases terminal facilities including office and storage space at the following locations: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Ocean Transportation Services</w:t>
            </w:r>
          </w:p>
        </w:tc>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Terminal Location</w:t>
            </w:r>
          </w:p>
        </w:tc>
        <w:tc>
          <w:tcPr>
            <w:tcW w:w="1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Description of Facility</w:t>
            </w: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Acreage</w:t>
            </w:r>
          </w:p>
        </w:tc>
      </w:tr>
      <w:tr>
        <w:trPr>
          <w:trHeight w:val="210"/>
        </w:trPr>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Hawaii</w:t>
            </w:r>
          </w:p>
        </w:tc>
        <w:tc>
          <w:tcPr>
            <w:tcW w:w="8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Honolulu, Hawaii</w:t>
            </w:r>
          </w:p>
        </w:tc>
        <w:tc>
          <w:tcPr>
            <w:tcW w:w="1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Terminal facility</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West Oahu, Hawaii</w:t>
            </w: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Terminal storage</w:t>
            </w: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Alaska</w:t>
            </w: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Anchorage, Alaska</w:t>
            </w:r>
          </w:p>
        </w:tc>
        <w:tc>
          <w:tcPr>
            <w:tcW w:w="18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5"/>
              </w:rPr>
              <w:t>Terminal facility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Kodiak, Alaska</w:t>
            </w: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Terminal facility</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Dutch Harbor, Alaska</w:t>
            </w:r>
          </w:p>
        </w:tc>
        <w:tc>
          <w:tcPr>
            <w:tcW w:w="18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5"/>
              </w:rPr>
              <w:t>Terminal facility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r>
      <w:tr>
        <w:trPr>
          <w:trHeight w:val="230"/>
        </w:trPr>
        <w:tc>
          <w:tcPr>
            <w:tcW w:w="2400" w:type="dxa"/>
            <w:vAlign w:val="bottom"/>
            <w:gridSpan w:val="2"/>
          </w:tcPr>
          <w:p>
            <w:pPr>
              <w:spacing w:after="0"/>
              <w:rPr>
                <w:sz w:val="20"/>
                <w:szCs w:val="20"/>
                <w:color w:val="auto"/>
              </w:rPr>
            </w:pPr>
            <w:r>
              <w:rPr>
                <w:rFonts w:ascii="Arial" w:cs="Arial" w:eastAsia="Arial" w:hAnsi="Arial"/>
                <w:sz w:val="18"/>
                <w:szCs w:val="18"/>
                <w:color w:val="auto"/>
              </w:rPr>
              <w:t>Guam</w:t>
            </w:r>
          </w:p>
        </w:tc>
        <w:tc>
          <w:tcPr>
            <w:tcW w:w="3820" w:type="dxa"/>
            <w:vAlign w:val="bottom"/>
            <w:gridSpan w:val="2"/>
          </w:tcPr>
          <w:p>
            <w:pPr>
              <w:spacing w:after="0"/>
              <w:rPr>
                <w:sz w:val="20"/>
                <w:szCs w:val="20"/>
                <w:color w:val="auto"/>
              </w:rPr>
            </w:pPr>
            <w:r>
              <w:rPr>
                <w:rFonts w:ascii="Arial" w:cs="Arial" w:eastAsia="Arial" w:hAnsi="Arial"/>
                <w:sz w:val="18"/>
                <w:szCs w:val="18"/>
                <w:color w:val="auto"/>
              </w:rPr>
              <w:t>Polaris Point, Guam</w:t>
            </w: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Terminal storage</w:t>
            </w: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r>
    </w:tbl>
    <w:p>
      <w:pPr>
        <w:spacing w:after="0" w:line="10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is currently renewing certain terminal leases which expire during 2019. The Company expects to be able to renew these leases as they expire on similar terms to those that currently exist within these lease agreements. The Company’s other primary terminal facilities located at the ports of Oakland and Long Beach, California, and the ports of Seattle and Tacoma, Washington are leased by the Company’s Terminal Joint Venture, SSAT.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significant facilities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gridSpan w:val="2"/>
          </w:tcPr>
          <w:p>
            <w:pPr>
              <w:spacing w:after="0"/>
              <w:rPr>
                <w:sz w:val="20"/>
                <w:szCs w:val="20"/>
                <w:color w:val="auto"/>
              </w:rPr>
            </w:pPr>
            <w:r>
              <w:rPr>
                <w:rFonts w:ascii="Arial" w:cs="Arial" w:eastAsia="Arial" w:hAnsi="Arial"/>
                <w:sz w:val="14"/>
                <w:szCs w:val="14"/>
                <w:b w:val="1"/>
                <w:bCs w:val="1"/>
                <w:color w:val="auto"/>
              </w:rPr>
              <w:t>Other Significant Facilities</w:t>
            </w: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Description of Facility</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98"/>
              </w:rPr>
              <w:t>Square Footage</w:t>
            </w:r>
          </w:p>
        </w:tc>
      </w:tr>
      <w:tr>
        <w:trPr>
          <w:trHeight w:val="210"/>
        </w:trPr>
        <w:tc>
          <w:tcPr>
            <w:tcW w:w="6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U.S. Office Locations:</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6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89"/>
              </w:rPr>
              <w:t>Corporate</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340" w:type="dxa"/>
            <w:vAlign w:val="bottom"/>
            <w:gridSpan w:val="2"/>
          </w:tcPr>
          <w:p>
            <w:pPr>
              <w:ind w:left="220"/>
              <w:spacing w:after="0"/>
              <w:rPr>
                <w:sz w:val="20"/>
                <w:szCs w:val="20"/>
                <w:color w:val="auto"/>
              </w:rPr>
            </w:pPr>
            <w:r>
              <w:rPr>
                <w:rFonts w:ascii="Arial" w:cs="Arial" w:eastAsia="Arial" w:hAnsi="Arial"/>
                <w:sz w:val="18"/>
                <w:szCs w:val="18"/>
                <w:color w:val="auto"/>
              </w:rPr>
              <w:t>Honolulu, Hawaii</w:t>
            </w: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headquarters</w:t>
            </w:r>
          </w:p>
        </w:tc>
        <w:tc>
          <w:tcPr>
            <w:tcW w:w="980" w:type="dxa"/>
            <w:vAlign w:val="bottom"/>
          </w:tcPr>
          <w:p>
            <w:pPr>
              <w:jc w:val="right"/>
              <w:spacing w:after="0"/>
              <w:rPr>
                <w:sz w:val="20"/>
                <w:szCs w:val="20"/>
                <w:color w:val="auto"/>
              </w:rPr>
            </w:pPr>
            <w:r>
              <w:rPr>
                <w:rFonts w:ascii="Arial" w:cs="Arial" w:eastAsia="Arial" w:hAnsi="Arial"/>
                <w:sz w:val="18"/>
                <w:szCs w:val="18"/>
                <w:color w:val="auto"/>
              </w:rPr>
              <w:t>16,444</w:t>
            </w:r>
          </w:p>
        </w:tc>
        <w:tc>
          <w:tcPr>
            <w:tcW w:w="80" w:type="dxa"/>
            <w:vAlign w:val="bottom"/>
          </w:tcPr>
          <w:p>
            <w:pPr>
              <w:spacing w:after="0"/>
              <w:rPr>
                <w:sz w:val="20"/>
                <w:szCs w:val="20"/>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Oakland, California</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48,162</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220"/>
              <w:spacing w:after="0"/>
              <w:rPr>
                <w:sz w:val="20"/>
                <w:szCs w:val="20"/>
                <w:color w:val="auto"/>
              </w:rPr>
            </w:pPr>
            <w:r>
              <w:rPr>
                <w:rFonts w:ascii="Arial" w:cs="Arial" w:eastAsia="Arial" w:hAnsi="Arial"/>
                <w:sz w:val="18"/>
                <w:szCs w:val="18"/>
                <w:color w:val="auto"/>
              </w:rPr>
              <w:t>Phoenix, Arizona</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tcPr>
          <w:p>
            <w:pPr>
              <w:jc w:val="right"/>
              <w:spacing w:after="0"/>
              <w:rPr>
                <w:sz w:val="20"/>
                <w:szCs w:val="20"/>
                <w:color w:val="auto"/>
              </w:rPr>
            </w:pPr>
            <w:r>
              <w:rPr>
                <w:rFonts w:ascii="Arial" w:cs="Arial" w:eastAsia="Arial" w:hAnsi="Arial"/>
                <w:sz w:val="18"/>
                <w:szCs w:val="18"/>
                <w:color w:val="auto"/>
              </w:rPr>
              <w:t>27,986</w:t>
            </w: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Oakbrook Terrace, Illinois</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17,004</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220"/>
              <w:spacing w:after="0"/>
              <w:rPr>
                <w:sz w:val="20"/>
                <w:szCs w:val="20"/>
                <w:color w:val="auto"/>
              </w:rPr>
            </w:pPr>
            <w:r>
              <w:rPr>
                <w:rFonts w:ascii="Arial" w:cs="Arial" w:eastAsia="Arial" w:hAnsi="Arial"/>
                <w:sz w:val="18"/>
                <w:szCs w:val="18"/>
                <w:color w:val="auto"/>
              </w:rPr>
              <w:t>Concord, California</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tcPr>
          <w:p>
            <w:pPr>
              <w:jc w:val="right"/>
              <w:spacing w:after="0"/>
              <w:rPr>
                <w:sz w:val="20"/>
                <w:szCs w:val="20"/>
                <w:color w:val="auto"/>
              </w:rPr>
            </w:pPr>
            <w:r>
              <w:rPr>
                <w:rFonts w:ascii="Arial" w:cs="Arial" w:eastAsia="Arial" w:hAnsi="Arial"/>
                <w:sz w:val="18"/>
                <w:szCs w:val="18"/>
                <w:color w:val="auto"/>
              </w:rPr>
              <w:t>7,974</w:t>
            </w: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Asan, Guam</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220"/>
              <w:spacing w:after="0"/>
              <w:rPr>
                <w:sz w:val="20"/>
                <w:szCs w:val="20"/>
                <w:color w:val="auto"/>
              </w:rPr>
            </w:pPr>
            <w:r>
              <w:rPr>
                <w:rFonts w:ascii="Arial" w:cs="Arial" w:eastAsia="Arial" w:hAnsi="Arial"/>
                <w:sz w:val="18"/>
                <w:szCs w:val="18"/>
                <w:color w:val="auto"/>
              </w:rPr>
              <w:t>Renton, Washington</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tcPr>
          <w:p>
            <w:pPr>
              <w:jc w:val="right"/>
              <w:spacing w:after="0"/>
              <w:rPr>
                <w:sz w:val="20"/>
                <w:szCs w:val="20"/>
                <w:color w:val="auto"/>
              </w:rPr>
            </w:pPr>
            <w:r>
              <w:rPr>
                <w:rFonts w:ascii="Arial" w:cs="Arial" w:eastAsia="Arial" w:hAnsi="Arial"/>
                <w:sz w:val="18"/>
                <w:szCs w:val="18"/>
                <w:color w:val="auto"/>
              </w:rPr>
              <w:t>3,770</w:t>
            </w: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Atlanta, Georgia</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220"/>
              <w:spacing w:after="0"/>
              <w:rPr>
                <w:sz w:val="20"/>
                <w:szCs w:val="20"/>
                <w:color w:val="auto"/>
              </w:rPr>
            </w:pPr>
            <w:r>
              <w:rPr>
                <w:rFonts w:ascii="Arial" w:cs="Arial" w:eastAsia="Arial" w:hAnsi="Arial"/>
                <w:sz w:val="18"/>
                <w:szCs w:val="18"/>
                <w:color w:val="auto"/>
              </w:rPr>
              <w:t>Akron, Ohio</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tcPr>
          <w:p>
            <w:pPr>
              <w:jc w:val="right"/>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Cerritos, California</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220"/>
              <w:spacing w:after="0"/>
              <w:rPr>
                <w:sz w:val="20"/>
                <w:szCs w:val="20"/>
                <w:color w:val="auto"/>
              </w:rPr>
            </w:pPr>
            <w:r>
              <w:rPr>
                <w:rFonts w:ascii="Arial" w:cs="Arial" w:eastAsia="Arial" w:hAnsi="Arial"/>
                <w:sz w:val="18"/>
                <w:szCs w:val="18"/>
                <w:color w:val="auto"/>
              </w:rPr>
              <w:t>Hilo, Hawaii</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tcPr>
          <w:p>
            <w:pPr>
              <w:jc w:val="right"/>
              <w:spacing w:after="0"/>
              <w:rPr>
                <w:sz w:val="20"/>
                <w:szCs w:val="20"/>
                <w:color w:val="auto"/>
              </w:rPr>
            </w:pPr>
            <w:r>
              <w:rPr>
                <w:rFonts w:ascii="Arial" w:cs="Arial" w:eastAsia="Arial" w:hAnsi="Arial"/>
                <w:sz w:val="18"/>
                <w:szCs w:val="18"/>
                <w:color w:val="auto"/>
              </w:rPr>
              <w:t>1,205</w:t>
            </w: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Foreign Office Locations: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220"/>
              <w:spacing w:after="0"/>
              <w:rPr>
                <w:sz w:val="20"/>
                <w:szCs w:val="20"/>
                <w:color w:val="auto"/>
              </w:rPr>
            </w:pPr>
            <w:r>
              <w:rPr>
                <w:rFonts w:ascii="Arial" w:cs="Arial" w:eastAsia="Arial" w:hAnsi="Arial"/>
                <w:sz w:val="18"/>
                <w:szCs w:val="18"/>
                <w:color w:val="auto"/>
              </w:rPr>
              <w:t>Shanghai, China</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tcPr>
          <w:p>
            <w:pPr>
              <w:jc w:val="right"/>
              <w:spacing w:after="0"/>
              <w:rPr>
                <w:sz w:val="20"/>
                <w:szCs w:val="20"/>
                <w:color w:val="auto"/>
              </w:rPr>
            </w:pPr>
            <w:r>
              <w:rPr>
                <w:rFonts w:ascii="Arial" w:cs="Arial" w:eastAsia="Arial" w:hAnsi="Arial"/>
                <w:sz w:val="18"/>
                <w:szCs w:val="18"/>
                <w:color w:val="auto"/>
              </w:rPr>
              <w:t>7,240</w:t>
            </w: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Auckland, New Zealand</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220"/>
              <w:spacing w:after="0"/>
              <w:rPr>
                <w:sz w:val="20"/>
                <w:szCs w:val="20"/>
                <w:color w:val="auto"/>
              </w:rPr>
            </w:pPr>
            <w:r>
              <w:rPr>
                <w:rFonts w:ascii="Arial" w:cs="Arial" w:eastAsia="Arial" w:hAnsi="Arial"/>
                <w:sz w:val="18"/>
                <w:szCs w:val="18"/>
                <w:color w:val="auto"/>
              </w:rPr>
              <w:t>Ningbo, China</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tcPr>
          <w:p>
            <w:pPr>
              <w:jc w:val="right"/>
              <w:spacing w:after="0"/>
              <w:rPr>
                <w:sz w:val="20"/>
                <w:szCs w:val="20"/>
                <w:color w:val="auto"/>
              </w:rPr>
            </w:pPr>
            <w:r>
              <w:rPr>
                <w:rFonts w:ascii="Arial" w:cs="Arial" w:eastAsia="Arial" w:hAnsi="Arial"/>
                <w:sz w:val="18"/>
                <w:szCs w:val="18"/>
                <w:color w:val="auto"/>
              </w:rPr>
              <w:t>2,103</w:t>
            </w: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Hong Kong, China</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220"/>
              <w:spacing w:after="0"/>
              <w:rPr>
                <w:sz w:val="20"/>
                <w:szCs w:val="20"/>
                <w:color w:val="auto"/>
              </w:rPr>
            </w:pPr>
            <w:r>
              <w:rPr>
                <w:rFonts w:ascii="Arial" w:cs="Arial" w:eastAsia="Arial" w:hAnsi="Arial"/>
                <w:sz w:val="18"/>
                <w:szCs w:val="18"/>
                <w:color w:val="auto"/>
              </w:rPr>
              <w:t>Xiamen, China</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tcPr>
          <w:p>
            <w:pPr>
              <w:jc w:val="right"/>
              <w:spacing w:after="0"/>
              <w:rPr>
                <w:sz w:val="20"/>
                <w:szCs w:val="20"/>
                <w:color w:val="auto"/>
              </w:rPr>
            </w:pPr>
            <w:r>
              <w:rPr>
                <w:rFonts w:ascii="Arial" w:cs="Arial" w:eastAsia="Arial" w:hAnsi="Arial"/>
                <w:sz w:val="18"/>
                <w:szCs w:val="18"/>
                <w:color w:val="auto"/>
              </w:rPr>
              <w:t>1,399</w:t>
            </w: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Shenzhen, China</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7"/>
              </w:rPr>
              <w:t>Office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Warehouses, Cross-dock and Storage Facilities: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Pooler, Georgia</w:t>
            </w:r>
          </w:p>
        </w:tc>
        <w:tc>
          <w:tcPr>
            <w:tcW w:w="16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Warehouse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710,844</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220"/>
              <w:spacing w:after="0"/>
              <w:rPr>
                <w:sz w:val="20"/>
                <w:szCs w:val="20"/>
                <w:color w:val="auto"/>
              </w:rPr>
            </w:pPr>
            <w:r>
              <w:rPr>
                <w:rFonts w:ascii="Arial" w:cs="Arial" w:eastAsia="Arial" w:hAnsi="Arial"/>
                <w:sz w:val="18"/>
                <w:szCs w:val="18"/>
                <w:color w:val="auto"/>
              </w:rPr>
              <w:t>Oakland, California</w:t>
            </w: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Warehouse</w:t>
            </w:r>
          </w:p>
        </w:tc>
        <w:tc>
          <w:tcPr>
            <w:tcW w:w="980" w:type="dxa"/>
            <w:vAlign w:val="bottom"/>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Pooler, Georgia</w:t>
            </w:r>
          </w:p>
        </w:tc>
        <w:tc>
          <w:tcPr>
            <w:tcW w:w="16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Warehouse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324,832</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220"/>
              <w:spacing w:after="0"/>
              <w:rPr>
                <w:sz w:val="20"/>
                <w:szCs w:val="20"/>
                <w:color w:val="auto"/>
              </w:rPr>
            </w:pPr>
            <w:r>
              <w:rPr>
                <w:rFonts w:ascii="Arial" w:cs="Arial" w:eastAsia="Arial" w:hAnsi="Arial"/>
                <w:sz w:val="18"/>
                <w:szCs w:val="18"/>
                <w:color w:val="auto"/>
              </w:rPr>
              <w:t>Oakland, California</w:t>
            </w: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Warehouse</w:t>
            </w:r>
          </w:p>
        </w:tc>
        <w:tc>
          <w:tcPr>
            <w:tcW w:w="980" w:type="dxa"/>
            <w:vAlign w:val="bottom"/>
          </w:tcPr>
          <w:p>
            <w:pPr>
              <w:jc w:val="right"/>
              <w:spacing w:after="0"/>
              <w:rPr>
                <w:sz w:val="20"/>
                <w:szCs w:val="20"/>
                <w:color w:val="auto"/>
              </w:rPr>
            </w:pPr>
            <w:r>
              <w:rPr>
                <w:rFonts w:ascii="Arial" w:cs="Arial" w:eastAsia="Arial" w:hAnsi="Arial"/>
                <w:sz w:val="18"/>
                <w:szCs w:val="18"/>
                <w:color w:val="auto"/>
              </w:rPr>
              <w:t>132,000</w:t>
            </w: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Tacoma, Washington</w:t>
            </w:r>
          </w:p>
        </w:tc>
        <w:tc>
          <w:tcPr>
            <w:tcW w:w="16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Warehouse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220"/>
              <w:spacing w:after="0"/>
              <w:rPr>
                <w:sz w:val="20"/>
                <w:szCs w:val="20"/>
                <w:color w:val="auto"/>
              </w:rPr>
            </w:pPr>
            <w:r>
              <w:rPr>
                <w:rFonts w:ascii="Arial" w:cs="Arial" w:eastAsia="Arial" w:hAnsi="Arial"/>
                <w:sz w:val="18"/>
                <w:szCs w:val="18"/>
                <w:color w:val="auto"/>
              </w:rPr>
              <w:t>Piti, Guam</w:t>
            </w: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Warehouse</w:t>
            </w:r>
          </w:p>
        </w:tc>
        <w:tc>
          <w:tcPr>
            <w:tcW w:w="980" w:type="dxa"/>
            <w:vAlign w:val="bottom"/>
          </w:tcPr>
          <w:p>
            <w:pPr>
              <w:jc w:val="right"/>
              <w:spacing w:after="0"/>
              <w:rPr>
                <w:sz w:val="20"/>
                <w:szCs w:val="20"/>
                <w:color w:val="auto"/>
              </w:rPr>
            </w:pPr>
            <w:r>
              <w:rPr>
                <w:rFonts w:ascii="Arial" w:cs="Arial" w:eastAsia="Arial" w:hAnsi="Arial"/>
                <w:sz w:val="18"/>
                <w:szCs w:val="18"/>
                <w:color w:val="auto"/>
              </w:rPr>
              <w:t>62,478</w:t>
            </w: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Auburn, Washington</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Cross-dock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51,250</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220"/>
              <w:spacing w:after="0"/>
              <w:rPr>
                <w:sz w:val="20"/>
                <w:szCs w:val="20"/>
                <w:color w:val="auto"/>
              </w:rPr>
            </w:pPr>
            <w:r>
              <w:rPr>
                <w:rFonts w:ascii="Arial" w:cs="Arial" w:eastAsia="Arial" w:hAnsi="Arial"/>
                <w:sz w:val="18"/>
                <w:szCs w:val="18"/>
                <w:color w:val="auto"/>
              </w:rPr>
              <w:t>Anchorage, Alaska</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Cross-dock</w:t>
            </w:r>
          </w:p>
        </w:tc>
        <w:tc>
          <w:tcPr>
            <w:tcW w:w="980" w:type="dxa"/>
            <w:vAlign w:val="bottom"/>
          </w:tcPr>
          <w:p>
            <w:pPr>
              <w:jc w:val="right"/>
              <w:spacing w:after="0"/>
              <w:rPr>
                <w:sz w:val="20"/>
                <w:szCs w:val="20"/>
                <w:color w:val="auto"/>
              </w:rPr>
            </w:pPr>
            <w:r>
              <w:rPr>
                <w:rFonts w:ascii="Arial" w:cs="Arial" w:eastAsia="Arial" w:hAnsi="Arial"/>
                <w:sz w:val="18"/>
                <w:szCs w:val="18"/>
                <w:color w:val="auto"/>
              </w:rPr>
              <w:t>23,680</w:t>
            </w: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Anchorage, Alaska</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Cross-dock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13,954</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220"/>
              <w:spacing w:after="0"/>
              <w:rPr>
                <w:sz w:val="20"/>
                <w:szCs w:val="20"/>
                <w:color w:val="auto"/>
              </w:rPr>
            </w:pPr>
            <w:r>
              <w:rPr>
                <w:rFonts w:ascii="Arial" w:cs="Arial" w:eastAsia="Arial" w:hAnsi="Arial"/>
                <w:sz w:val="18"/>
                <w:szCs w:val="18"/>
                <w:color w:val="auto"/>
              </w:rPr>
              <w:t>Fairbanks, Alaska</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Cross-dock</w:t>
            </w:r>
          </w:p>
        </w:tc>
        <w:tc>
          <w:tcPr>
            <w:tcW w:w="980" w:type="dxa"/>
            <w:vAlign w:val="bottom"/>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Soldotna, Alaska</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Cross-dock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220"/>
              <w:spacing w:after="0"/>
              <w:rPr>
                <w:sz w:val="20"/>
                <w:szCs w:val="20"/>
                <w:color w:val="auto"/>
              </w:rPr>
            </w:pPr>
            <w:r>
              <w:rPr>
                <w:rFonts w:ascii="Arial" w:cs="Arial" w:eastAsia="Arial" w:hAnsi="Arial"/>
                <w:sz w:val="18"/>
                <w:szCs w:val="18"/>
                <w:color w:val="auto"/>
              </w:rPr>
              <w:t>Kodiak, Alaska</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Cross-dock</w:t>
            </w:r>
          </w:p>
        </w:tc>
        <w:tc>
          <w:tcPr>
            <w:tcW w:w="980" w:type="dxa"/>
            <w:vAlign w:val="bottom"/>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Auburn, Washington</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Cross-dock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220"/>
              <w:spacing w:after="0"/>
              <w:rPr>
                <w:sz w:val="20"/>
                <w:szCs w:val="20"/>
                <w:color w:val="auto"/>
              </w:rPr>
            </w:pPr>
            <w:r>
              <w:rPr>
                <w:rFonts w:ascii="Arial" w:cs="Arial" w:eastAsia="Arial" w:hAnsi="Arial"/>
                <w:sz w:val="18"/>
                <w:szCs w:val="18"/>
                <w:color w:val="auto"/>
              </w:rPr>
              <w:t>Wasilla, Alaska</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Cross-dock</w:t>
            </w:r>
          </w:p>
        </w:tc>
        <w:tc>
          <w:tcPr>
            <w:tcW w:w="98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Alameda, California</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Storage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53,785</w:t>
            </w:r>
          </w:p>
        </w:tc>
        <w:tc>
          <w:tcPr>
            <w:tcW w:w="8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The Company’s Ocean Transportation segment has certain risks that could result in expenditures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remediation. The Company believes that based on all information available to it, the Company is currently in compliance, in all material respects, with applicable environmental laws and regulations.</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3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right="779"/>
        <w:spacing w:after="0" w:line="308" w:lineRule="auto"/>
        <w:rPr>
          <w:sz w:val="20"/>
          <w:szCs w:val="20"/>
          <w:color w:val="auto"/>
        </w:rPr>
      </w:pPr>
      <w:r>
        <w:rPr>
          <w:rFonts w:ascii="Arial" w:cs="Arial" w:eastAsia="Arial" w:hAnsi="Arial"/>
          <w:sz w:val="17"/>
          <w:szCs w:val="17"/>
          <w:i w:val="1"/>
          <w:iCs w:val="1"/>
          <w:color w:val="auto"/>
        </w:rPr>
        <w:t xml:space="preserve">General Information: </w:t>
      </w:r>
      <w:r>
        <w:rPr>
          <w:rFonts w:ascii="Arial" w:cs="Arial" w:eastAsia="Arial" w:hAnsi="Arial"/>
          <w:sz w:val="17"/>
          <w:szCs w:val="17"/>
          <w:color w:val="auto"/>
        </w:rPr>
        <w:t>Matson’s common stock is traded on the New York Stock Exchange under the ticker symbol</w:t>
      </w:r>
      <w:r>
        <w:rPr>
          <w:rFonts w:ascii="Arial" w:cs="Arial" w:eastAsia="Arial" w:hAnsi="Arial"/>
          <w:sz w:val="17"/>
          <w:szCs w:val="17"/>
          <w:i w:val="1"/>
          <w:iCs w:val="1"/>
          <w:color w:val="auto"/>
        </w:rPr>
        <w:t xml:space="preserve"> </w:t>
      </w:r>
      <w:r>
        <w:rPr>
          <w:rFonts w:ascii="Arial" w:cs="Arial" w:eastAsia="Arial" w:hAnsi="Arial"/>
          <w:sz w:val="17"/>
          <w:szCs w:val="17"/>
          <w:color w:val="auto"/>
        </w:rPr>
        <w:t>“MATX”. As of February 20, 2019, there were 2,236 shareholders of record of Matson common stock.</w:t>
      </w:r>
    </w:p>
    <w:p>
      <w:pPr>
        <w:spacing w:after="0" w:line="147" w:lineRule="exact"/>
        <w:rPr>
          <w:sz w:val="20"/>
          <w:szCs w:val="20"/>
          <w:color w:val="auto"/>
        </w:rPr>
      </w:pPr>
    </w:p>
    <w:p>
      <w:pPr>
        <w:ind w:right="279"/>
        <w:spacing w:after="0" w:line="264" w:lineRule="auto"/>
        <w:rPr>
          <w:sz w:val="20"/>
          <w:szCs w:val="20"/>
          <w:color w:val="auto"/>
        </w:rPr>
      </w:pPr>
      <w:r>
        <w:rPr>
          <w:rFonts w:ascii="Arial" w:cs="Arial" w:eastAsia="Arial" w:hAnsi="Arial"/>
          <w:sz w:val="18"/>
          <w:szCs w:val="18"/>
          <w:i w:val="1"/>
          <w:iCs w:val="1"/>
          <w:color w:val="auto"/>
        </w:rPr>
        <w:t xml:space="preserve">Stockholder Return Performance Graph and Trading Information: </w:t>
      </w:r>
      <w:r>
        <w:rPr>
          <w:rFonts w:ascii="Arial" w:cs="Arial" w:eastAsia="Arial" w:hAnsi="Arial"/>
          <w:sz w:val="18"/>
          <w:szCs w:val="18"/>
          <w:color w:val="auto"/>
        </w:rPr>
        <w:t>The following information in this Item 5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filed for purposes of Section 18 of the Securities Exchange Act of 1934, nor shall it be deemed incorporated by reference in any filing under the Securities Act of 1933.</w:t>
      </w:r>
    </w:p>
    <w:p>
      <w:pPr>
        <w:spacing w:after="0" w:line="181" w:lineRule="exact"/>
        <w:rPr>
          <w:sz w:val="20"/>
          <w:szCs w:val="20"/>
          <w:color w:val="auto"/>
        </w:rPr>
      </w:pPr>
    </w:p>
    <w:p>
      <w:pPr>
        <w:ind w:right="39"/>
        <w:spacing w:after="0" w:line="259" w:lineRule="auto"/>
        <w:rPr>
          <w:sz w:val="20"/>
          <w:szCs w:val="20"/>
          <w:color w:val="auto"/>
        </w:rPr>
      </w:pPr>
      <w:r>
        <w:rPr>
          <w:rFonts w:ascii="Arial" w:cs="Arial" w:eastAsia="Arial" w:hAnsi="Arial"/>
          <w:sz w:val="18"/>
          <w:szCs w:val="18"/>
          <w:color w:val="auto"/>
        </w:rPr>
        <w:t>The cumulative total return listed below assumed an initial investment of $100 and reinvestment of dividends at each fiscal end and measures the performance of this investment as of the last trading day in the month of December for each of the five years ended December 31, 2018. The graph is a historical representation of past performance only and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5651500" cy="4467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1500"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00" w:hanging="297"/>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 invested on December 31, 2013 in stock or index, including reinvestment of dividends.</w:t>
      </w:r>
    </w:p>
    <w:p>
      <w:pPr>
        <w:spacing w:after="0" w:line="225"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Trading volume averaged 232,289 shares a day in 2018, compared with 241,338 shares a day in 2017 and 279,852 shares a day in 2016, as reported by the New York Stock Exchange.</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Dividends declared per share of common stock by the Company for each fiscal quarter during 2017 and 2018,</w:t>
      </w:r>
      <w:r>
        <w:rPr>
          <w:rFonts w:ascii="Arial" w:cs="Arial" w:eastAsia="Arial" w:hAnsi="Arial"/>
          <w:sz w:val="18"/>
          <w:szCs w:val="18"/>
          <w:i w:val="1"/>
          <w:iCs w:val="1"/>
          <w:color w:val="auto"/>
        </w:rPr>
        <w:t xml:space="preserve"> </w:t>
      </w:r>
      <w:r>
        <w:rPr>
          <w:rFonts w:ascii="Arial" w:cs="Arial" w:eastAsia="Arial" w:hAnsi="Arial"/>
          <w:sz w:val="18"/>
          <w:szCs w:val="18"/>
          <w:color w:val="auto"/>
        </w:rPr>
        <w:t>were as follows:</w:t>
      </w:r>
    </w:p>
    <w:tbl>
      <w:tblPr>
        <w:tblLayout w:type="fixed"/>
        <w:tblInd w:w="0" w:type="dxa"/>
        <w:tblCellMar>
          <w:top w:w="0" w:type="dxa"/>
          <w:left w:w="0" w:type="dxa"/>
          <w:bottom w:w="0" w:type="dxa"/>
          <w:right w:w="0" w:type="dxa"/>
        </w:tblCellMar>
      </w:tblPr>
      <w:tr>
        <w:trPr>
          <w:trHeight w:val="141"/>
        </w:trPr>
        <w:tc>
          <w:tcPr>
            <w:tcW w:w="7580" w:type="dxa"/>
            <w:vAlign w:val="bottom"/>
            <w:vMerge w:val="restart"/>
          </w:tcPr>
          <w:p>
            <w:pPr>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194"/>
              <w:spacing w:after="0" w:line="141" w:lineRule="exact"/>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71"/>
        </w:trPr>
        <w:tc>
          <w:tcPr>
            <w:tcW w:w="75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2"/>
        </w:trPr>
        <w:tc>
          <w:tcPr>
            <w:tcW w:w="7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Matson’s Board of Directors also declared a cash dividend of $0.21 per share for the first quarter 2019, payable on March 7, 2019 to shareholders of record on February 7, 2019. Although Matson expects to continue paying quarterly cash dividends on its common stock, the declaration and payment of dividends are subject to the discretion of the Board of Directors and will depend upon Matson’s financial condition, results of operations, cash requirements and other factors deemed relevant by the Board of Directors.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On November 4, 2015, the Company announced that Matson’s Board of Directors had approved a share</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program of up to 3.0 million shares of common stock through November 2, 2018. Shares could be repurchased in the open market from time to time, and may be made pursuant to a trading plan in accordance with Rule 10b5-1 of the Securities Exchange Act of 1934. During the fourth quarter ended December 31, 2018, no shares were repurchased, excluding shares withheld for employee taxes upon vesting of share-based awards. The maximum number of remaining shares that could have been purchased under the share repurchase program was 1,151,288 as of November 2, 2018, when the program expired.</w:t>
      </w:r>
    </w:p>
    <w:p>
      <w:pPr>
        <w:spacing w:after="0" w:line="122" w:lineRule="exact"/>
        <w:rPr>
          <w:sz w:val="20"/>
          <w:szCs w:val="20"/>
          <w:color w:val="auto"/>
        </w:rPr>
      </w:pPr>
    </w:p>
    <w:p>
      <w:pPr>
        <w:ind w:right="560"/>
        <w:spacing w:after="0" w:line="258" w:lineRule="auto"/>
        <w:rPr>
          <w:sz w:val="20"/>
          <w:szCs w:val="20"/>
          <w:color w:val="auto"/>
        </w:rPr>
      </w:pPr>
      <w:r>
        <w:rPr>
          <w:rFonts w:ascii="Arial" w:cs="Arial" w:eastAsia="Arial" w:hAnsi="Arial"/>
          <w:sz w:val="18"/>
          <w:szCs w:val="18"/>
          <w:i w:val="1"/>
          <w:iCs w:val="1"/>
          <w:color w:val="auto"/>
        </w:rPr>
        <w:t xml:space="preserve">Equity Compensation Plan Information: </w:t>
      </w:r>
      <w:r>
        <w:rPr>
          <w:rFonts w:ascii="Arial" w:cs="Arial" w:eastAsia="Arial" w:hAnsi="Arial"/>
          <w:sz w:val="18"/>
          <w:szCs w:val="18"/>
          <w:color w:val="auto"/>
        </w:rPr>
        <w:t>The following table sets forth, as of December 31, 2018, certain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Matson’s equity compensation plan:</w:t>
      </w:r>
    </w:p>
    <w:tbl>
      <w:tblPr>
        <w:tblLayout w:type="fixed"/>
        <w:tblInd w:w="0" w:type="dxa"/>
        <w:tblCellMar>
          <w:top w:w="0" w:type="dxa"/>
          <w:left w:w="0" w:type="dxa"/>
          <w:bottom w:w="0" w:type="dxa"/>
          <w:right w:w="0" w:type="dxa"/>
        </w:tblCellMar>
      </w:tblPr>
      <w:tr>
        <w:trPr>
          <w:trHeight w:val="141"/>
        </w:trPr>
        <w:tc>
          <w:tcPr>
            <w:tcW w:w="2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shares</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to be issued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future issuance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under</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upon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exercise</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price of</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options,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options,</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shares</w:t>
            </w:r>
          </w:p>
        </w:tc>
        <w:tc>
          <w:tcPr>
            <w:tcW w:w="0" w:type="dxa"/>
            <w:vAlign w:val="bottom"/>
          </w:tcPr>
          <w:p>
            <w:pPr>
              <w:spacing w:after="0"/>
              <w:rPr>
                <w:sz w:val="1"/>
                <w:szCs w:val="1"/>
                <w:color w:val="auto"/>
              </w:rPr>
            </w:pPr>
          </w:p>
        </w:tc>
      </w:tr>
      <w:tr>
        <w:trPr>
          <w:trHeight w:val="149"/>
        </w:trPr>
        <w:tc>
          <w:tcPr>
            <w:tcW w:w="5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warrants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warrants</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71"/>
        </w:trPr>
        <w:tc>
          <w:tcPr>
            <w:tcW w:w="5440" w:type="dxa"/>
            <w:vAlign w:val="bottom"/>
            <w:gridSpan w:val="3"/>
            <w:vMerge w:val="continue"/>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and rights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and rights</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96"/>
        </w:trPr>
        <w:tc>
          <w:tcPr>
            <w:tcW w:w="2280" w:type="dxa"/>
            <w:vAlign w:val="bottom"/>
            <w:tcBorders>
              <w:top w:val="single" w:sz="8" w:color="auto"/>
            </w:tcBorders>
            <w:shd w:val="clear" w:color="auto" w:fill="CCEEFF"/>
          </w:tcPr>
          <w:p>
            <w:pPr>
              <w:spacing w:after="0"/>
              <w:rPr>
                <w:sz w:val="17"/>
                <w:szCs w:val="17"/>
                <w:color w:val="auto"/>
              </w:rPr>
            </w:pPr>
          </w:p>
        </w:tc>
        <w:tc>
          <w:tcPr>
            <w:tcW w:w="3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(a)</w:t>
            </w: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(b)</w:t>
            </w:r>
          </w:p>
        </w:tc>
        <w:tc>
          <w:tcPr>
            <w:tcW w:w="3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(c)</w:t>
            </w: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gridSpan w:val="3"/>
          </w:tcPr>
          <w:p>
            <w:pPr>
              <w:spacing w:after="0"/>
              <w:rPr>
                <w:sz w:val="20"/>
                <w:szCs w:val="20"/>
                <w:color w:val="auto"/>
              </w:rPr>
            </w:pPr>
            <w:r>
              <w:rPr>
                <w:rFonts w:ascii="Arial" w:cs="Arial" w:eastAsia="Arial" w:hAnsi="Arial"/>
                <w:sz w:val="16"/>
                <w:szCs w:val="16"/>
                <w:color w:val="auto"/>
              </w:rPr>
              <w:t>Equity compensation plans approved by shareholders</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954,365 (1)</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21.81 (2)</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1,617,553 (3)</w:t>
            </w:r>
          </w:p>
        </w:tc>
        <w:tc>
          <w:tcPr>
            <w:tcW w:w="0" w:type="dxa"/>
            <w:vAlign w:val="bottom"/>
          </w:tcPr>
          <w:p>
            <w:pPr>
              <w:spacing w:after="0"/>
              <w:rPr>
                <w:sz w:val="1"/>
                <w:szCs w:val="1"/>
                <w:color w:val="auto"/>
              </w:rPr>
            </w:pPr>
          </w:p>
        </w:tc>
      </w:tr>
      <w:tr>
        <w:trPr>
          <w:trHeight w:val="203"/>
        </w:trPr>
        <w:tc>
          <w:tcPr>
            <w:tcW w:w="5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compensation plans not approved by shareholders</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440" w:type="dxa"/>
            <w:vAlign w:val="bottom"/>
            <w:gridSpan w:val="3"/>
          </w:tcPr>
          <w:p>
            <w:pPr>
              <w:ind w:left="220"/>
              <w:spacing w:after="0"/>
              <w:rPr>
                <w:sz w:val="20"/>
                <w:szCs w:val="20"/>
                <w:color w:val="auto"/>
              </w:rPr>
            </w:pPr>
            <w:r>
              <w:rPr>
                <w:rFonts w:ascii="Arial" w:cs="Arial" w:eastAsia="Arial" w:hAnsi="Arial"/>
                <w:sz w:val="16"/>
                <w:szCs w:val="16"/>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954,365</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21.81</w:t>
            </w:r>
          </w:p>
        </w:tc>
        <w:tc>
          <w:tcPr>
            <w:tcW w:w="3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1,617,553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120" w:hanging="317"/>
        <w:spacing w:after="0" w:line="230" w:lineRule="auto"/>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 addition to 195,776 shares subject to outstanding stock option awards, includes 427,828 shares subject to unvested restricted stock unit awards and 330,761 shares subject to unvested Performance Share awards.</w:t>
      </w:r>
    </w:p>
    <w:p>
      <w:pPr>
        <w:ind w:left="320" w:right="480" w:hanging="317"/>
        <w:spacing w:after="0" w:line="221" w:lineRule="auto"/>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restricted stock unit and Performance Share awards do not have exercise prices, the weighted average exercise price is computed using only outstanding stock option awards.</w:t>
      </w:r>
    </w:p>
    <w:p>
      <w:pPr>
        <w:ind w:left="320" w:hanging="317"/>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These shares are available for issuance under the Company’s 2016 Incentive Compensation Plan.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4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comparative selected financial data of the Company is presented for each of the five years in the period ended December 31, 2018. The information should be read in conjunction with Item 8, “Financial Statements and Supplementary Data,” and Item 7, “Management’s Discussion and Analysis of Financial Condition and Results of Operations”. All fiscal years include 52 weeks, except for the year ended December 31, 2016 which includes 53 weeks: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shareholders of record and per-share amounts)</w:t>
            </w:r>
          </w:p>
        </w:tc>
        <w:tc>
          <w:tcPr>
            <w:tcW w:w="80" w:type="dxa"/>
            <w:vAlign w:val="bottom"/>
          </w:tcPr>
          <w:p>
            <w:pPr>
              <w:spacing w:after="0"/>
              <w:rPr>
                <w:sz w:val="14"/>
                <w:szCs w:val="14"/>
                <w:color w:val="auto"/>
              </w:rPr>
            </w:pPr>
          </w:p>
        </w:tc>
        <w:tc>
          <w:tcPr>
            <w:tcW w:w="560" w:type="dxa"/>
            <w:vAlign w:val="bottom"/>
          </w:tcPr>
          <w:p>
            <w:pPr>
              <w:jc w:val="right"/>
              <w:ind w:right="99"/>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9"/>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9"/>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9"/>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r>
      <w:tr>
        <w:trPr>
          <w:trHeight w:val="196"/>
        </w:trPr>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Operating Revenue: (1)</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Ocean Transportation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1,641.3</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6"/>
              </w:rPr>
              <w:t>1,571.8</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6"/>
              </w:rPr>
              <w:t>1,541.1</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6"/>
              </w:rPr>
              <w:t>1,498.0</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1,278.4</w:t>
            </w:r>
          </w:p>
        </w:tc>
        <w:tc>
          <w:tcPr>
            <w:tcW w:w="80" w:type="dxa"/>
            <w:vAlign w:val="bottom"/>
          </w:tcPr>
          <w:p>
            <w:pPr>
              <w:spacing w:after="0"/>
              <w:rPr>
                <w:sz w:val="17"/>
                <w:szCs w:val="17"/>
                <w:color w:val="auto"/>
              </w:rPr>
            </w:pPr>
          </w:p>
        </w:tc>
      </w:tr>
      <w:tr>
        <w:trPr>
          <w:trHeight w:val="203"/>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Logistics</w:t>
            </w: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475.1</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386.9</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435.8</w:t>
            </w:r>
          </w:p>
        </w:tc>
        <w:tc>
          <w:tcPr>
            <w:tcW w:w="80" w:type="dxa"/>
            <w:vAlign w:val="bottom"/>
            <w:shd w:val="clear" w:color="auto" w:fill="CCEEFF"/>
          </w:tcPr>
          <w:p>
            <w:pPr>
              <w:spacing w:after="0"/>
              <w:rPr>
                <w:sz w:val="17"/>
                <w:szCs w:val="17"/>
                <w:color w:val="auto"/>
              </w:rPr>
            </w:pPr>
          </w:p>
        </w:tc>
      </w:tr>
      <w:tr>
        <w:trPr>
          <w:trHeight w:val="203"/>
        </w:trPr>
        <w:tc>
          <w:tcPr>
            <w:tcW w:w="5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Operating Revenue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2,222.8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2,046.9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1,941.6</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1,884.9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1,714.2</w:t>
            </w:r>
          </w:p>
        </w:tc>
        <w:tc>
          <w:tcPr>
            <w:tcW w:w="80" w:type="dxa"/>
            <w:vAlign w:val="bottom"/>
            <w:tcBorders>
              <w:bottom w:val="single" w:sz="8" w:color="CCEEFF"/>
            </w:tcBorders>
          </w:tcPr>
          <w:p>
            <w:pPr>
              <w:spacing w:after="0"/>
              <w:rPr>
                <w:sz w:val="17"/>
                <w:szCs w:val="17"/>
                <w:color w:val="auto"/>
              </w:rPr>
            </w:pPr>
          </w:p>
        </w:tc>
      </w:tr>
      <w:tr>
        <w:trPr>
          <w:trHeight w:val="203"/>
        </w:trPr>
        <w:tc>
          <w:tcPr>
            <w:tcW w:w="5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220" w:type="dxa"/>
            <w:vAlign w:val="bottom"/>
            <w:gridSpan w:val="2"/>
          </w:tcPr>
          <w:p>
            <w:pPr>
              <w:spacing w:after="0"/>
              <w:rPr>
                <w:sz w:val="20"/>
                <w:szCs w:val="20"/>
                <w:color w:val="auto"/>
              </w:rPr>
            </w:pPr>
            <w:r>
              <w:rPr>
                <w:rFonts w:ascii="Arial" w:cs="Arial" w:eastAsia="Arial" w:hAnsi="Arial"/>
                <w:sz w:val="16"/>
                <w:szCs w:val="16"/>
                <w:color w:val="auto"/>
              </w:rPr>
              <w:t>Operating and Net Income: (1)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Ocean Transportation (2)(3)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80" w:type="dxa"/>
            <w:vAlign w:val="bottom"/>
            <w:shd w:val="clear" w:color="auto" w:fill="CCEEFF"/>
          </w:tcPr>
          <w:p>
            <w:pPr>
              <w:spacing w:after="0"/>
              <w:rPr>
                <w:sz w:val="17"/>
                <w:szCs w:val="17"/>
                <w:color w:val="auto"/>
              </w:rPr>
            </w:pPr>
          </w:p>
        </w:tc>
      </w:tr>
      <w:tr>
        <w:trPr>
          <w:trHeight w:val="203"/>
        </w:trPr>
        <w:tc>
          <w:tcPr>
            <w:tcW w:w="5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Logistics (3)</w:t>
            </w: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80" w:type="dxa"/>
            <w:vAlign w:val="bottom"/>
            <w:tcBorders>
              <w:bottom w:val="single" w:sz="8" w:color="CCEEFF"/>
            </w:tcBorders>
          </w:tcPr>
          <w:p>
            <w:pPr>
              <w:spacing w:after="0"/>
              <w:rPr>
                <w:sz w:val="17"/>
                <w:szCs w:val="17"/>
                <w:color w:val="auto"/>
              </w:rPr>
            </w:pPr>
          </w:p>
        </w:tc>
      </w:tr>
      <w:tr>
        <w:trPr>
          <w:trHeight w:val="196"/>
        </w:trPr>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Operating Income (3)</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80" w:type="dxa"/>
            <w:vAlign w:val="bottom"/>
            <w:shd w:val="clear" w:color="auto" w:fill="CCEEFF"/>
          </w:tcPr>
          <w:p>
            <w:pPr>
              <w:spacing w:after="0"/>
              <w:rPr>
                <w:sz w:val="17"/>
                <w:szCs w:val="17"/>
                <w:color w:val="auto"/>
              </w:rPr>
            </w:pPr>
          </w:p>
        </w:tc>
      </w:tr>
      <w:tr>
        <w:trPr>
          <w:trHeight w:val="203"/>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Interest expense</w:t>
            </w:r>
          </w:p>
        </w:tc>
        <w:tc>
          <w:tcPr>
            <w:tcW w:w="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(17.3)</w:t>
            </w:r>
          </w:p>
        </w:tc>
      </w:tr>
      <w:tr>
        <w:trPr>
          <w:trHeight w:val="203"/>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income (expense), net (3)</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7"/>
                <w:szCs w:val="17"/>
                <w:color w:val="auto"/>
              </w:rPr>
            </w:pPr>
          </w:p>
        </w:tc>
      </w:tr>
      <w:tr>
        <w:trPr>
          <w:trHeight w:val="196"/>
        </w:trPr>
        <w:tc>
          <w:tcPr>
            <w:tcW w:w="522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147.7</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125.2</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130.5</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177.8</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122.7</w:t>
            </w:r>
          </w:p>
        </w:tc>
        <w:tc>
          <w:tcPr>
            <w:tcW w:w="80" w:type="dxa"/>
            <w:vAlign w:val="bottom"/>
          </w:tcPr>
          <w:p>
            <w:pPr>
              <w:spacing w:after="0"/>
              <w:rPr>
                <w:sz w:val="17"/>
                <w:szCs w:val="17"/>
                <w:color w:val="auto"/>
              </w:rPr>
            </w:pPr>
          </w:p>
        </w:tc>
      </w:tr>
      <w:tr>
        <w:trPr>
          <w:trHeight w:val="203"/>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taxes (4)(5)</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(51.9)</w:t>
            </w:r>
          </w:p>
        </w:tc>
      </w:tr>
      <w:tr>
        <w:trPr>
          <w:trHeight w:val="203"/>
        </w:trPr>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Income (5)</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109.0</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231.0</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103.0</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70.8</w:t>
            </w:r>
          </w:p>
        </w:tc>
        <w:tc>
          <w:tcPr>
            <w:tcW w:w="80" w:type="dxa"/>
            <w:vAlign w:val="bottom"/>
            <w:tcBorders>
              <w:bottom w:val="single" w:sz="8" w:color="CCEEFF"/>
            </w:tcBorders>
          </w:tcPr>
          <w:p>
            <w:pPr>
              <w:spacing w:after="0"/>
              <w:rPr>
                <w:sz w:val="17"/>
                <w:szCs w:val="17"/>
                <w:color w:val="auto"/>
              </w:rPr>
            </w:pPr>
          </w:p>
        </w:tc>
      </w:tr>
      <w:tr>
        <w:trPr>
          <w:trHeight w:val="203"/>
        </w:trPr>
        <w:tc>
          <w:tcPr>
            <w:tcW w:w="5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220" w:type="dxa"/>
            <w:vAlign w:val="bottom"/>
            <w:gridSpan w:val="2"/>
          </w:tcPr>
          <w:p>
            <w:pPr>
              <w:spacing w:after="0"/>
              <w:rPr>
                <w:sz w:val="20"/>
                <w:szCs w:val="20"/>
                <w:color w:val="auto"/>
              </w:rPr>
            </w:pPr>
            <w:r>
              <w:rPr>
                <w:rFonts w:ascii="Arial" w:cs="Arial" w:eastAsia="Arial" w:hAnsi="Arial"/>
                <w:sz w:val="16"/>
                <w:szCs w:val="16"/>
                <w:color w:val="auto"/>
              </w:rPr>
              <w:t>Identifiable Assets: (1)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Ocean Transportation (5)(6)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2,071.6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1,941.5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1,726.3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1,605.1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1,313.9</w:t>
            </w:r>
          </w:p>
        </w:tc>
        <w:tc>
          <w:tcPr>
            <w:tcW w:w="80" w:type="dxa"/>
            <w:vAlign w:val="bottom"/>
            <w:shd w:val="clear" w:color="auto" w:fill="CCEEFF"/>
          </w:tcPr>
          <w:p>
            <w:pPr>
              <w:spacing w:after="0"/>
              <w:rPr>
                <w:sz w:val="17"/>
                <w:szCs w:val="17"/>
                <w:color w:val="auto"/>
              </w:rPr>
            </w:pPr>
          </w:p>
        </w:tc>
      </w:tr>
      <w:tr>
        <w:trPr>
          <w:trHeight w:val="203"/>
        </w:trPr>
        <w:tc>
          <w:tcPr>
            <w:tcW w:w="5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Logistics</w:t>
            </w: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w:t>
            </w:r>
          </w:p>
        </w:tc>
        <w:tc>
          <w:tcPr>
            <w:tcW w:w="80" w:type="dxa"/>
            <w:vAlign w:val="bottom"/>
            <w:tcBorders>
              <w:bottom w:val="single" w:sz="8" w:color="CCEEFF"/>
            </w:tcBorders>
          </w:tcPr>
          <w:p>
            <w:pPr>
              <w:spacing w:after="0"/>
              <w:rPr>
                <w:sz w:val="17"/>
                <w:szCs w:val="17"/>
                <w:color w:val="auto"/>
              </w:rPr>
            </w:pPr>
          </w:p>
        </w:tc>
      </w:tr>
      <w:tr>
        <w:trPr>
          <w:trHeight w:val="203"/>
        </w:trPr>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Assets (5)</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2,430.4</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2,251.6</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2,019.6</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1,673.9</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1,401.8</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 Expenditure (7):</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Ocean Transportation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385.4</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305.3</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179.1</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67.5</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27.8</w:t>
            </w:r>
          </w:p>
        </w:tc>
        <w:tc>
          <w:tcPr>
            <w:tcW w:w="80" w:type="dxa"/>
            <w:vAlign w:val="bottom"/>
          </w:tcPr>
          <w:p>
            <w:pPr>
              <w:spacing w:after="0"/>
              <w:rPr>
                <w:sz w:val="17"/>
                <w:szCs w:val="17"/>
                <w:color w:val="auto"/>
              </w:rPr>
            </w:pPr>
          </w:p>
        </w:tc>
      </w:tr>
      <w:tr>
        <w:trPr>
          <w:trHeight w:val="203"/>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Logistics</w:t>
            </w: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7"/>
                <w:szCs w:val="17"/>
                <w:color w:val="auto"/>
              </w:rPr>
            </w:pPr>
          </w:p>
        </w:tc>
      </w:tr>
      <w:tr>
        <w:trPr>
          <w:trHeight w:val="203"/>
        </w:trPr>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Capital Expenditures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401.2</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307.0</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80" w:type="dxa"/>
            <w:vAlign w:val="bottom"/>
            <w:tcBorders>
              <w:bottom w:val="single" w:sz="8" w:color="CCEEFF"/>
            </w:tcBorders>
          </w:tcPr>
          <w:p>
            <w:pPr>
              <w:spacing w:after="0"/>
              <w:rPr>
                <w:sz w:val="17"/>
                <w:szCs w:val="17"/>
                <w:color w:val="auto"/>
              </w:rPr>
            </w:pPr>
          </w:p>
        </w:tc>
      </w:tr>
      <w:tr>
        <w:trPr>
          <w:trHeight w:val="203"/>
        </w:trPr>
        <w:tc>
          <w:tcPr>
            <w:tcW w:w="5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22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Ocean Transportation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80" w:type="dxa"/>
            <w:vAlign w:val="bottom"/>
            <w:shd w:val="clear" w:color="auto" w:fill="CCEEFF"/>
          </w:tcPr>
          <w:p>
            <w:pPr>
              <w:spacing w:after="0"/>
              <w:rPr>
                <w:sz w:val="17"/>
                <w:szCs w:val="17"/>
                <w:color w:val="auto"/>
              </w:rPr>
            </w:pPr>
          </w:p>
        </w:tc>
      </w:tr>
      <w:tr>
        <w:trPr>
          <w:trHeight w:val="203"/>
        </w:trPr>
        <w:tc>
          <w:tcPr>
            <w:tcW w:w="5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Logistics</w:t>
            </w: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80" w:type="dxa"/>
            <w:vAlign w:val="bottom"/>
            <w:tcBorders>
              <w:bottom w:val="single" w:sz="8" w:color="CCEEFF"/>
            </w:tcBorders>
          </w:tcPr>
          <w:p>
            <w:pPr>
              <w:spacing w:after="0"/>
              <w:rPr>
                <w:sz w:val="17"/>
                <w:szCs w:val="17"/>
                <w:color w:val="auto"/>
              </w:rPr>
            </w:pPr>
          </w:p>
        </w:tc>
      </w:tr>
      <w:tr>
        <w:trPr>
          <w:trHeight w:val="196"/>
        </w:trPr>
        <w:tc>
          <w:tcPr>
            <w:tcW w:w="5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80" w:type="dxa"/>
            <w:vAlign w:val="bottom"/>
            <w:shd w:val="clear" w:color="auto" w:fill="CCEEFF"/>
          </w:tcPr>
          <w:p>
            <w:pPr>
              <w:spacing w:after="0"/>
              <w:rPr>
                <w:sz w:val="17"/>
                <w:szCs w:val="17"/>
                <w:color w:val="auto"/>
              </w:rPr>
            </w:pPr>
          </w:p>
        </w:tc>
      </w:tr>
      <w:tr>
        <w:trPr>
          <w:trHeight w:val="203"/>
        </w:trPr>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Deferred Dry-docking Amortization — Ocean Transportation</w:t>
            </w: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80" w:type="dxa"/>
            <w:vAlign w:val="bottom"/>
            <w:tcBorders>
              <w:bottom w:val="single" w:sz="8" w:color="CCEEFF"/>
            </w:tcBorders>
          </w:tcPr>
          <w:p>
            <w:pPr>
              <w:spacing w:after="0"/>
              <w:rPr>
                <w:sz w:val="17"/>
                <w:szCs w:val="17"/>
                <w:color w:val="auto"/>
              </w:rPr>
            </w:pPr>
          </w:p>
        </w:tc>
      </w:tr>
      <w:tr>
        <w:trPr>
          <w:trHeight w:val="203"/>
        </w:trPr>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Depreciation and Amortization</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147.4</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Earnings Per Share in Net Income:</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Basic (5)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2.55</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5.38</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1.89</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2.37</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7"/>
                <w:szCs w:val="17"/>
                <w:color w:val="auto"/>
              </w:rPr>
            </w:pPr>
          </w:p>
        </w:tc>
      </w:tr>
      <w:tr>
        <w:trPr>
          <w:trHeight w:val="203"/>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 (5)</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80" w:type="dxa"/>
            <w:vAlign w:val="bottom"/>
            <w:shd w:val="clear" w:color="auto" w:fill="CCEEFF"/>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dividends per share declared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80" w:type="dxa"/>
            <w:vAlign w:val="bottom"/>
            <w:shd w:val="clear" w:color="auto" w:fill="CCEEFF"/>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 of December 31:</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Total debt obligations — including current portion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856.4</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857.1</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738.9</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429.9</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373.6</w:t>
            </w:r>
          </w:p>
        </w:tc>
        <w:tc>
          <w:tcPr>
            <w:tcW w:w="80" w:type="dxa"/>
            <w:vAlign w:val="bottom"/>
          </w:tcPr>
          <w:p>
            <w:pPr>
              <w:spacing w:after="0"/>
              <w:rPr>
                <w:sz w:val="17"/>
                <w:szCs w:val="17"/>
                <w:color w:val="auto"/>
              </w:rPr>
            </w:pPr>
          </w:p>
        </w:tc>
      </w:tr>
      <w:tr>
        <w:trPr>
          <w:trHeight w:val="203"/>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Shareholders' equity (5)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363.8</w:t>
            </w:r>
          </w:p>
        </w:tc>
        <w:tc>
          <w:tcPr>
            <w:tcW w:w="80" w:type="dxa"/>
            <w:vAlign w:val="bottom"/>
            <w:shd w:val="clear" w:color="auto" w:fill="CCEEFF"/>
          </w:tcPr>
          <w:p>
            <w:pPr>
              <w:spacing w:after="0"/>
              <w:rPr>
                <w:sz w:val="17"/>
                <w:szCs w:val="17"/>
                <w:color w:val="auto"/>
              </w:rPr>
            </w:pPr>
          </w:p>
        </w:tc>
      </w:tr>
      <w:tr>
        <w:trPr>
          <w:trHeight w:val="206"/>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Shares outstanding</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43.2</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14408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2" w:lineRule="exact"/>
        <w:rPr>
          <w:sz w:val="20"/>
          <w:szCs w:val="20"/>
          <w:color w:val="auto"/>
        </w:rPr>
      </w:pPr>
    </w:p>
    <w:p>
      <w:pPr>
        <w:ind w:left="320" w:hanging="317"/>
        <w:spacing w:after="0"/>
        <w:tabs>
          <w:tab w:leader="none" w:pos="320" w:val="left"/>
        </w:tabs>
        <w:numPr>
          <w:ilvl w:val="0"/>
          <w:numId w:val="17"/>
        </w:numPr>
        <w:rPr>
          <w:rFonts w:ascii="Arial" w:cs="Arial" w:eastAsia="Arial" w:hAnsi="Arial"/>
          <w:sz w:val="13"/>
          <w:szCs w:val="13"/>
          <w:color w:val="auto"/>
        </w:rPr>
      </w:pPr>
      <w:r>
        <w:rPr>
          <w:rFonts w:ascii="Arial" w:cs="Arial" w:eastAsia="Arial" w:hAnsi="Arial"/>
          <w:sz w:val="12"/>
          <w:szCs w:val="12"/>
          <w:color w:val="auto"/>
        </w:rPr>
        <w:t>2015 and subsequent selected financial data includes the operations of Horizon acquired as of May 29, 2015, and Span Alaska acquired as of August 4, 2016.</w:t>
      </w:r>
    </w:p>
    <w:p>
      <w:pPr>
        <w:spacing w:after="0" w:line="9" w:lineRule="exact"/>
        <w:rPr>
          <w:rFonts w:ascii="Arial" w:cs="Arial" w:eastAsia="Arial" w:hAnsi="Arial"/>
          <w:sz w:val="13"/>
          <w:szCs w:val="13"/>
          <w:color w:val="auto"/>
        </w:rPr>
      </w:pPr>
    </w:p>
    <w:p>
      <w:pPr>
        <w:ind w:left="320" w:right="140" w:hanging="317"/>
        <w:spacing w:after="0" w:line="208"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3"/>
          <w:szCs w:val="13"/>
          <w:color w:val="auto"/>
        </w:rPr>
        <w:t>The Ocean Transportation segment includes $36.8 million, $28.2 million, $15.8 million, $16.5 million and $6.6 million of equity in income from the Company’s Terminal Joint Venture, SSAT, for 2018, 2017, 2016, 2015 and 2014, respectively.</w:t>
      </w:r>
    </w:p>
    <w:p>
      <w:pPr>
        <w:spacing w:after="0" w:line="1" w:lineRule="exact"/>
        <w:rPr>
          <w:rFonts w:ascii="Arial" w:cs="Arial" w:eastAsia="Arial" w:hAnsi="Arial"/>
          <w:sz w:val="14"/>
          <w:szCs w:val="14"/>
          <w:color w:val="auto"/>
        </w:rPr>
      </w:pPr>
    </w:p>
    <w:p>
      <w:pPr>
        <w:ind w:left="320" w:right="660" w:hanging="317"/>
        <w:spacing w:after="0" w:line="208"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3"/>
          <w:szCs w:val="13"/>
          <w:color w:val="auto"/>
        </w:rPr>
        <w:t>Amounts for the years ended December 31, 2017, 2016, 2015 and 2014 have been adjusted to reflect the adoption of ASU 2017-07 as described in Note 2 to the Consolidated Financial Statements in Item 8 of Part II below.</w:t>
      </w:r>
    </w:p>
    <w:p>
      <w:pPr>
        <w:spacing w:after="0" w:line="1" w:lineRule="exact"/>
        <w:rPr>
          <w:rFonts w:ascii="Arial" w:cs="Arial" w:eastAsia="Arial" w:hAnsi="Arial"/>
          <w:sz w:val="14"/>
          <w:szCs w:val="14"/>
          <w:color w:val="auto"/>
        </w:rPr>
      </w:pPr>
    </w:p>
    <w:p>
      <w:pPr>
        <w:ind w:left="320" w:right="120" w:hanging="317"/>
        <w:spacing w:after="0" w:line="245" w:lineRule="auto"/>
        <w:tabs>
          <w:tab w:leader="none" w:pos="320" w:val="left"/>
        </w:tabs>
        <w:numPr>
          <w:ilvl w:val="0"/>
          <w:numId w:val="17"/>
        </w:numPr>
        <w:rPr>
          <w:rFonts w:ascii="Arial" w:cs="Arial" w:eastAsia="Arial" w:hAnsi="Arial"/>
          <w:sz w:val="12"/>
          <w:szCs w:val="12"/>
          <w:color w:val="auto"/>
        </w:rPr>
      </w:pPr>
      <w:r>
        <w:rPr>
          <w:rFonts w:ascii="Arial" w:cs="Arial" w:eastAsia="Arial" w:hAnsi="Arial"/>
          <w:sz w:val="11"/>
          <w:szCs w:val="11"/>
          <w:color w:val="auto"/>
        </w:rPr>
        <w:t>Income taxes for the years ended December 31, 2018 and 2017 includes a non-cash income tax (expense)/benefit of $(2.9) million and $154.0 million, respectively, related to the remeasurement of the Company’s deferred assets and liabilities and other discrete adjustments as a result of applying the Tax Cut and Jobs Act of 2017.</w:t>
      </w:r>
    </w:p>
    <w:p>
      <w:pPr>
        <w:ind w:left="320" w:right="280" w:hanging="317"/>
        <w:spacing w:after="0" w:line="208"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3"/>
          <w:szCs w:val="13"/>
          <w:color w:val="auto"/>
        </w:rPr>
        <w:t>Amounts for the years ended December 31, 2017, 2016 and 2015 have been adjusted for an immaterial correction of an error as described in Note 2 to the Consolidated Financial Statements in Item 8 of Part II below.</w:t>
      </w:r>
    </w:p>
    <w:p>
      <w:pPr>
        <w:spacing w:after="0" w:line="1" w:lineRule="exact"/>
        <w:rPr>
          <w:rFonts w:ascii="Arial" w:cs="Arial" w:eastAsia="Arial" w:hAnsi="Arial"/>
          <w:sz w:val="14"/>
          <w:szCs w:val="14"/>
          <w:color w:val="auto"/>
        </w:rPr>
      </w:pPr>
    </w:p>
    <w:p>
      <w:pPr>
        <w:ind w:left="320" w:right="140" w:hanging="317"/>
        <w:spacing w:after="0" w:line="208"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3"/>
          <w:szCs w:val="13"/>
          <w:color w:val="auto"/>
        </w:rPr>
        <w:t>The Ocean Transportation segment includes $87.0 million, $93.2 million, $82.4 million, $66.4 million, and $64.4 million related to the Company’s Terminal Joint Venture investment as of December 31, 2018, 2017, 2016, 2015, and 2014, respectively.</w:t>
      </w:r>
    </w:p>
    <w:p>
      <w:pPr>
        <w:spacing w:after="0" w:line="1" w:lineRule="exact"/>
        <w:rPr>
          <w:rFonts w:ascii="Arial" w:cs="Arial" w:eastAsia="Arial" w:hAnsi="Arial"/>
          <w:sz w:val="14"/>
          <w:szCs w:val="14"/>
          <w:color w:val="auto"/>
        </w:rPr>
      </w:pPr>
    </w:p>
    <w:p>
      <w:pPr>
        <w:ind w:left="320" w:right="420" w:hanging="317"/>
        <w:spacing w:after="0" w:line="220"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3"/>
          <w:szCs w:val="13"/>
          <w:color w:val="auto"/>
        </w:rPr>
        <w:t>Excludes expenditures related to Matson’s acquisition of Horizon and Span Alaska which are classified as payments for acquisitions in Cash Flows used in Investing Activities within the Consolidated Statements of Cash Flows.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229"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The Company, from time to time, may make or may have made certain forward-looking statements, whether orally or in writing, such as forecasts and projections of the Company’s future performance or statements of management’s plans and objectives. These statements are “forward-looking” statements as that term is defined in the Private Securities Litigation Reform Act of 1995. Such forward-looking statements may be contained in, among other things, SEC filings such as Forms 10-K, 10-Q and 8-K, the Annual Report to Shareholders, press releases made by the Company, the Company’s Internet websites (including websites of its subsidiaries), and oral statements made by the officers of the Company. Except for historical information contained in these written or oral communications, such communications contain forward-looking statements. These include, for example, all references to 2019 or future years. New risk factors emerge from time to time and it is not possible for the Company to predict all such risk factors, nor can it assess the impact of all such risk factors on the Company’s business or the extent to which any factor, or combination of factors, may cause actual results to differ materially from those contained in any forward-looking statements. Accordingly, forward-looking statements cannot be relied upon as a guarantee of future results and involve a number of risks and uncertainties that could cause actual results to differ materially from those projected in the statements, including but not limited to the factors that are described in Part I, Item 1A under the caption of “Risk Factors” of this Form 10-K, which section is incorporated herein by</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reference. The Company is not required, and undertakes no obligation, to revise or update forward-looking statements or any factors that may affect actual results, whether as a result of new information, future events, or circumstances occurring after the date of this report.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Consolidated Financial Statements from year to year, the primary factors that accounted for those changes, and how certain accounting principles, policies and estimates affect the Company’s Consolidated Financial Statements. MD&amp;A is provided as a supplement to, and should be read in conjunction with the Consolidated Financial Statements and the accompanying notes to the Consolidated Financial Statements in Item 8 of Part II below. MD&amp;A is presented in the following sections:</w:t>
      </w:r>
    </w:p>
    <w:p>
      <w:pPr>
        <w:spacing w:after="0" w:line="179" w:lineRule="exact"/>
        <w:rPr>
          <w:sz w:val="20"/>
          <w:szCs w:val="20"/>
          <w:color w:val="auto"/>
        </w:rPr>
      </w:pPr>
    </w:p>
    <w:p>
      <w:pPr>
        <w:ind w:left="320" w:hanging="317"/>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Outlook</w:t>
      </w:r>
    </w:p>
    <w:p>
      <w:pPr>
        <w:spacing w:after="0" w:line="23" w:lineRule="exact"/>
        <w:rPr>
          <w:rFonts w:ascii="Arial" w:cs="Arial" w:eastAsia="Arial" w:hAnsi="Arial"/>
          <w:sz w:val="18"/>
          <w:szCs w:val="18"/>
          <w:color w:val="auto"/>
        </w:rPr>
      </w:pPr>
    </w:p>
    <w:p>
      <w:pPr>
        <w:ind w:left="320" w:hanging="317"/>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Analysis of Operating Revenue and Income by Segment</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Contractual Obligations, Commitments, Contingencies and Off-Balance Sheet Arrangements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Critical Accounting Estimates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Matters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Company’s fourth quarter 2018 discussion and 2019 outlook:</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Ocean Transportation: </w:t>
      </w:r>
      <w:r>
        <w:rPr>
          <w:rFonts w:ascii="Arial" w:cs="Arial" w:eastAsia="Arial" w:hAnsi="Arial"/>
          <w:sz w:val="18"/>
          <w:szCs w:val="18"/>
          <w:color w:val="auto"/>
        </w:rPr>
        <w:t>The Company’s container volume in the Hawaii service in the fourth quarter 2018 was flat year-over-year despite modest growth in the Hawaii economy supported primarily by healthy tourism activity and low unemployment. The Company expects volume in 2019 to approximate the level achieved in 2018, reflecting modest economic growth in Hawaii and stable market share.</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China, the Company’s container volume in the fourth quarter 2018 was 3.8 percent higher year-over-year as the Company experienced elevated demand for its service late in the quarter during a period that is traditionally not as strong. The Company continued to realize a sizeable rate premium in the fourth quarter 2018 and achieved average freight rates higher than the fourth quarter 2017. For 2019, the Company expects a lower contribution from its China tradelane following an exceptionally strong performance in 2018 with lower average freight rates and modestly lower volume than the levels achieved in 2018.</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Guam, the Company’s container volume in the fourth quarter 2018 was 10.6 percent higher year-over-year primarily due to typhoon relief volume. For 2019, the Company expects modestly lower volume as the highly competitive environment remains.</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Alaska, the Company’s container volume for the fourth quarter 2018 was 4.2 percent higher year-over-year due to higher northbound volume. For 2019, the Company expects volume to be modestly higher than the level achieved in 2018 with higher northbound volume supported by improving economic conditions in Alaska and higher southbound volume due to stronger seafood harvest levels than in 2018.</w:t>
      </w:r>
    </w:p>
    <w:p>
      <w:pPr>
        <w:spacing w:after="0" w:line="18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contribution in the fourth quarter 2018 from the Company’s SSAT terminal joint venture investment was $0.9 million lower than the fourth quarter 2017 due primarily to higher operating costs, partially offset by higher revenue resulting from higher lift volume. For 2019, the Company expects the contribution from SSAT to be lower as a result of lower lift volume coming off an exceptionally strong lift volume level in 2018.</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As a result of the business outlook noted above, the Company expects full year 2019 Ocean Transportation operating income to approximate the $131.1 million achieved in 2018 after taking into account a full year net operating expense impact of $7.2 million associated with the sale and leaseback of </w:t>
      </w:r>
      <w:r>
        <w:rPr>
          <w:rFonts w:ascii="Arial" w:cs="Arial" w:eastAsia="Arial" w:hAnsi="Arial"/>
          <w:sz w:val="16"/>
          <w:szCs w:val="16"/>
          <w:i w:val="1"/>
          <w:iCs w:val="1"/>
          <w:color w:val="auto"/>
        </w:rPr>
        <w:t>MV Maunalei</w:t>
      </w:r>
      <w:r>
        <w:rPr>
          <w:rFonts w:ascii="Arial" w:cs="Arial" w:eastAsia="Arial" w:hAnsi="Arial"/>
          <w:sz w:val="16"/>
          <w:szCs w:val="16"/>
          <w:color w:val="auto"/>
        </w:rPr>
        <w:t>, as further described below. In the first quarter 2019, the Company expects Ocean Transportation operating income will be approximately $10 million, which is lower than the level achieved in the first quarter 2018 primarily due to the unfavorable comparisons from the absence of positive one-time items at SSAT in the year ago period and Alaska northbound volume associated with the dry-docking of a competitor’s vessel in the first quarter last year, as well as the effect of the aforementioned vessel sale and leaseback.</w:t>
      </w:r>
    </w:p>
    <w:p>
      <w:pPr>
        <w:spacing w:after="0" w:line="16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Logistics: </w:t>
      </w:r>
      <w:r>
        <w:rPr>
          <w:rFonts w:ascii="Arial" w:cs="Arial" w:eastAsia="Arial" w:hAnsi="Arial"/>
          <w:sz w:val="16"/>
          <w:szCs w:val="16"/>
          <w:color w:val="auto"/>
        </w:rPr>
        <w:t>In the fourth quarter 2018, operating income for the Company’s Logistics segment was $4.4 million higher than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fourth quarter 2017 due to improved performance across all of the service lines. The Company expects Logistics’ operating income for the full year 2019 to approximate the level achieved in 2018 of $32.7 million. In the first quarter 2019, the Company expects operating income to be moderately higher than the level achieved in the first quarter 2018.</w:t>
      </w:r>
    </w:p>
    <w:p>
      <w:pPr>
        <w:spacing w:after="0" w:line="1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For the full year 2019, the Company expects depreciation and amortization expense to be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$130 million, inclusive of dry-docking amortization of approximately $31 million.</w:t>
      </w:r>
    </w:p>
    <w:p>
      <w:pPr>
        <w:spacing w:after="0" w:line="1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While the Company expects net income in 2019 to decline year-over-year, we expect EBITDA in 2019 to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approximately $286 million, which is approximately the level achieved in 2018 after taking into account the full year impact in 2018 of the $12.0 million of lease expense related to the sale and leaseback of </w:t>
      </w:r>
      <w:r>
        <w:rPr>
          <w:rFonts w:ascii="Arial" w:cs="Arial" w:eastAsia="Arial" w:hAnsi="Arial"/>
          <w:sz w:val="16"/>
          <w:szCs w:val="16"/>
          <w:i w:val="1"/>
          <w:iCs w:val="1"/>
          <w:color w:val="auto"/>
        </w:rPr>
        <w:t>MV Maunalei</w:t>
      </w:r>
      <w:r>
        <w:rPr>
          <w:rFonts w:ascii="Arial" w:cs="Arial" w:eastAsia="Arial" w:hAnsi="Arial"/>
          <w:sz w:val="16"/>
          <w:szCs w:val="16"/>
          <w:color w:val="auto"/>
        </w:rPr>
        <w:t xml:space="preserve">. As previously disclosed on November 27, 2018, a subsidiary of Matson entered into an agreement whereby </w:t>
      </w:r>
      <w:r>
        <w:rPr>
          <w:rFonts w:ascii="Arial" w:cs="Arial" w:eastAsia="Arial" w:hAnsi="Arial"/>
          <w:sz w:val="16"/>
          <w:szCs w:val="16"/>
          <w:i w:val="1"/>
          <w:iCs w:val="1"/>
          <w:color w:val="auto"/>
        </w:rPr>
        <w:t>MV Maunalei</w:t>
      </w:r>
      <w:r>
        <w:rPr>
          <w:rFonts w:ascii="Arial" w:cs="Arial" w:eastAsia="Arial" w:hAnsi="Arial"/>
          <w:sz w:val="16"/>
          <w:szCs w:val="16"/>
          <w:color w:val="auto"/>
        </w:rPr>
        <w:t xml:space="preserve"> was sold for approximately $106.0 million, and subsequently leased back from the buyer under an operating lease agreement. As a result of this transaction, the Company expects on an annual basis $12.0 million in lease expense and $4.8 million in lower depreciation and amortization expense (including dry-docking amortization), resulting in $7.2 million in lower operating income.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The Company expects full year 2019 other income (expense) to be approximately $2.7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income, which is attributable to other component costs related to the Company’s pension and post-retirement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Company expects interest expense for the full year 2019 to be approximately $24 million.</w:t>
      </w:r>
    </w:p>
    <w:p>
      <w:pPr>
        <w:spacing w:after="0" w:line="22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In the fourth quarter 2018, the Company’s effective tax rate was 23.4 percent. For the full year 2019,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expects its effective tax rate to be approximately 26.0 percent, which excludes a positive non-cash adjustment of $2.9 million expected in the first quarter of 2019 related to the reversal of a Tax Act expense adjustment in 2018.</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Capital and Vessel Dry-docking Expenditures: </w:t>
      </w:r>
      <w:r>
        <w:rPr>
          <w:rFonts w:ascii="Arial" w:cs="Arial" w:eastAsia="Arial" w:hAnsi="Arial"/>
          <w:sz w:val="17"/>
          <w:szCs w:val="17"/>
          <w:color w:val="auto"/>
        </w:rPr>
        <w:t>For the full year 2018, the Company made other capital expenditure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of $62.6 million, capitalized vessel construction expenditures of $338.6 million, and dry-docking payments of $19.2 million. For the full year 2019, the Company expects to make other capital expenditure payments, including maintenance capital expenditures, of approximately $120 million, vessel construction expenditures (including capitalized interest and owner’s items) of approximately $225 million, and dry-docking payments of approximately $12 million. The level of other capital expenditures, including maintenance capital expenditures, for 2019 is higher than our targeted annual maintenance level of approximately $50 million due to the installation of three new cranes, refurbishment of three existing cranes, and the infrastructure upgrade at the Sand Island terminal; the scrubber installation on three vessels in the China service; and the construction of a new cross-dock facility in Anchorage for Span Alaska.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The following analysis of the financial condition and results of operations of Matson should be read in conjunction with the Consolidated Financial Statements in Item 8 of Part II below (Income taxes, net income and earnings per-share amounts for the year ended December 31, 2017 have been adjusted for an immaterial correction of an error as described in Note 2 to the Consolidated Financial Statements in Item 8 of Part II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2018 compared with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 except per-share amounts)</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right"/>
              <w:ind w:right="33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2,222.8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2,046.9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(2,059.0)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(1,899.6)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(159.4)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10"/>
        </w:trPr>
        <w:tc>
          <w:tcPr>
            <w:tcW w:w="56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(144.5)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(136.6)%</w:t>
            </w:r>
          </w:p>
        </w:tc>
        <w:tc>
          <w:tcPr>
            <w:tcW w:w="0" w:type="dxa"/>
            <w:vAlign w:val="bottom"/>
          </w:tcPr>
          <w:p>
            <w:pPr>
              <w:spacing w:after="0"/>
              <w:rPr>
                <w:sz w:val="1"/>
                <w:szCs w:val="1"/>
                <w:color w:val="auto"/>
              </w:rPr>
            </w:pPr>
          </w:p>
        </w:tc>
      </w:tr>
      <w:tr>
        <w:trPr>
          <w:trHeight w:val="217"/>
        </w:trPr>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(122.0)</w:t>
            </w:r>
          </w:p>
        </w:tc>
        <w:tc>
          <w:tcPr>
            <w:tcW w:w="1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Diluted earnings per-share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(2.82)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Fiscal years ended December 31, 2018 and 2017 include 52 weeks.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Consolidated Operating Revenue </w:t>
      </w:r>
      <w:r>
        <w:rPr>
          <w:rFonts w:ascii="Arial" w:cs="Arial" w:eastAsia="Arial" w:hAnsi="Arial"/>
          <w:sz w:val="18"/>
          <w:szCs w:val="18"/>
          <w:color w:val="auto"/>
        </w:rPr>
        <w:t>for the year ended December 31, 2018 increased $175.9 million, or 8.6 percent,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prior year. The increase was due to an increase of $69.5 million and $106.4 million in revenues for Ocean Transportation and Logistics, respectively.</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for the year ended December 31, 2018 increased $159.4 million, or 8.4 percent,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The increase was due to an increase of $64.8 million and $94.6 million in operating costs and expenses for Ocean Transportation and Logistics, respectively.</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for the year ended December 31, 2018 increased $16.5 million, or 11.2 percent, compared to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increase was due to an increase of $4.7 million and $11.8 million in operating income for Ocean Transportation and Logistics,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reasons for changes in operating revenue, operating costs and expenses, and operating income are described below, by business segment, in the Analysis of Operating Revenue and Income by Segment.</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was $18.7 million for the year ended December 31, 2018 compared to $24.2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The reduction in interest expense was due to higher capitalized interest related to the construction of new vessels.</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was $2.6 million for the year ended December 31, 2018, compared to $2.1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 and relates to the amortization of certain components of net periodic benefit costs or gains related to the Company’s pension and post-retirement plans.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during the year ended December 31, 2018 was an expense of $38.7 million, or 26.2 percent of income before</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as compared to a non-cash income tax benefit of $105.8 million, or 84.5 percent of income before income taxes in the prior year. The non-cash income tax benefit for the year ended December 31, 2017 included the benefit of $154.0 million related to the remeasurement of the Company’s deferred assets and liabilities, and other discrete tax adjustments resulting from applying the Tax Cuts and Jobs Act of 2017 (the “Tax Act”). Excluding the impact of the Tax Act, adjusted income tax expense would have been $48.2 million, or 38.5 percent of income before income taxes, for the year ended December 31, 2017. The 2018 income tax rate is lower than the adjusted 2017 income tax rate primarily due to a reduction in federal tax rate from 35 percent in 2017 to 21 percent in 2018, offset by $2.9 million, or 2.0 percent of non-cash expense related to discrete tax adjustments resulting from applying the Tax Act in 2018.</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during the year ended December 31, 2018 decreased $122.0 million, or 52.8 percent, compared to the prior year.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2017 compared with 2016: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 except per-share amounts)</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right"/>
              <w:ind w:right="33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2,046.9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1,941.6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(1,899.6)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(1,784.9)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(114.7)</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0"/>
        </w:trPr>
        <w:tc>
          <w:tcPr>
            <w:tcW w:w="5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(200.0)%</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vMerge w:val="continue"/>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(315.5)%</w:t>
            </w:r>
          </w:p>
        </w:tc>
        <w:tc>
          <w:tcPr>
            <w:tcW w:w="0" w:type="dxa"/>
            <w:vAlign w:val="bottom"/>
          </w:tcPr>
          <w:p>
            <w:pPr>
              <w:spacing w:after="0"/>
              <w:rPr>
                <w:sz w:val="1"/>
                <w:szCs w:val="1"/>
                <w:color w:val="auto"/>
              </w:rPr>
            </w:pPr>
          </w:p>
        </w:tc>
      </w:tr>
      <w:tr>
        <w:trPr>
          <w:trHeight w:val="217"/>
        </w:trPr>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r>
              <w:rPr>
                <w:rFonts w:ascii="Arial" w:cs="Arial" w:eastAsia="Arial" w:hAnsi="Arial"/>
                <w:sz w:val="18"/>
                <w:szCs w:val="18"/>
                <w:u w:val="single" w:color="auto"/>
                <w:color w:val="auto"/>
              </w:rPr>
              <w:t>4</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1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Diluted earnings per-share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9"/>
              </w:rPr>
              <w:t>186.1 %</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Fiscal year ended December 31, 2017 and 2016 include 52 weeks and 53 weeks, respectively.</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Consolidated Operating Revenue </w:t>
      </w:r>
      <w:r>
        <w:rPr>
          <w:rFonts w:ascii="Arial" w:cs="Arial" w:eastAsia="Arial" w:hAnsi="Arial"/>
          <w:sz w:val="18"/>
          <w:szCs w:val="18"/>
          <w:color w:val="auto"/>
        </w:rPr>
        <w:t>for the year ended December 31, 2017 increased $105.3 million, or 5.4 percent,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prior year due to increases of $30.7 million and $74.6 million in Ocean Transportation and Logistics revenues, respectively.</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for the year ended December 31, 2017 increased $114.7 million, or 6.4 percent,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The increase was due to an increase of $48.8 million and $65.9 million in operating costs and expenses for Ocean Transportation and Logistics, respectively.</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for the year ended December 31, 2017 decreased $9.4 million, or 6.0 percent, compared to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decrease was due to a decrease of $18.1 million for Ocean Transportation, partially offset by an increase of $8.7 million for Logistics in operating income.</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reasons for changes in operating revenue, operating costs and expenses, and operating income are described below, by business segment, in the Analysis of Operating Revenue and Income by Segment.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was $24.2 million for the year ended December 31, 2017, compared to $24.1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The increase in interest expense was due to higher borrowings as a result of recent acquisitions and vessel construction payments, offset by higher capitalized interest.</w:t>
      </w:r>
    </w:p>
    <w:p>
      <w:pPr>
        <w:spacing w:after="0" w:line="255"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for the year ended December 31, 2017 was income of $2.1 million, compared to expense of $2.1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2016, and relates to the amortization of certain components of net periodic benefit costs or gains related to the Company’s pension and post-retirement plans.</w:t>
      </w:r>
    </w:p>
    <w:p>
      <w:pPr>
        <w:spacing w:after="0" w:line="190"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during the year ended December 31, 2017 was a non-cash income tax benefit of $105.8 million, or 84.5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of income before income taxes, as compared to income tax expense of $49.1 million, or 37.6 percent of income before income taxes in the prior year. The non-cash income tax benefit includes the benefit of $154.0 million related to the remeasurement of the Company’s deferred assets and liabilities, and other discrete tax adjustments resulting from applying the Tax Act as of December 31, 2017. Excluding the impact of the Tax Act, adjusted income tax expense would have been $48.2 million, or 38.5 percent of income before income taxes for the year ended December 31, 2017. The adjusted 2017 income tax rate would have been higher than the 2016 income tax rate as the 2016 income tax rate was favorably impacted by the release of unrecognized tax benefit reserves during 2016.</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during the year ended December 31, 2017 increased $149.6 million, or 183.8 percent, compared to the prior year.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1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Additional detailed information related to the operations and financial performance of the Company’s reportable segments is included in Part II Item 6 and Note 3 to the Consolidated Financial Statements in Item 8 of Part II below. The following information should be read in relation to the information contained in those sections.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Ocean Transportation: 2018 compared with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ind w:left="620"/>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27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(1,510.2)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(1,445.4)</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(64.8)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8.0 %</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8.0 %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Volume (Forty-foot equivalent units (FEU) except for automobiles) (1)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Hawaii containers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640" w:type="dxa"/>
            <w:vAlign w:val="bottom"/>
          </w:tcPr>
          <w:p>
            <w:pPr>
              <w:ind w:left="220"/>
              <w:spacing w:after="0"/>
              <w:rPr>
                <w:sz w:val="20"/>
                <w:szCs w:val="20"/>
                <w:color w:val="auto"/>
              </w:rPr>
            </w:pPr>
            <w:r>
              <w:rPr>
                <w:rFonts w:ascii="Arial" w:cs="Arial" w:eastAsia="Arial" w:hAnsi="Arial"/>
                <w:sz w:val="18"/>
                <w:szCs w:val="18"/>
                <w:color w:val="auto"/>
              </w:rPr>
              <w:t>Hawaii automobiles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(3,900)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Alaska containers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16"/>
        </w:trPr>
        <w:tc>
          <w:tcPr>
            <w:tcW w:w="5640" w:type="dxa"/>
            <w:vAlign w:val="bottom"/>
          </w:tcPr>
          <w:p>
            <w:pPr>
              <w:ind w:left="220"/>
              <w:spacing w:after="0"/>
              <w:rPr>
                <w:sz w:val="20"/>
                <w:szCs w:val="20"/>
                <w:color w:val="auto"/>
              </w:rPr>
            </w:pPr>
            <w:r>
              <w:rPr>
                <w:rFonts w:ascii="Arial" w:cs="Arial" w:eastAsia="Arial" w:hAnsi="Arial"/>
                <w:sz w:val="18"/>
                <w:szCs w:val="18"/>
                <w:color w:val="auto"/>
              </w:rPr>
              <w:t>China containers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(4,400)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Guam containers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8"/>
                <w:szCs w:val="18"/>
                <w:color w:val="auto"/>
              </w:rPr>
              <w:t>Other containers (2)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4,600</w:t>
            </w:r>
          </w:p>
        </w:tc>
        <w:tc>
          <w:tcPr>
            <w:tcW w:w="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7" w:lineRule="exact"/>
        <w:rPr>
          <w:sz w:val="20"/>
          <w:szCs w:val="20"/>
          <w:color w:val="auto"/>
        </w:rPr>
      </w:pPr>
    </w:p>
    <w:p>
      <w:pPr>
        <w:ind w:left="320" w:right="300" w:hanging="317"/>
        <w:spacing w:after="0" w:line="248" w:lineRule="auto"/>
        <w:tabs>
          <w:tab w:leader="none" w:pos="3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20" w:hanging="317"/>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in Okinawa, Japan.</w:t>
      </w:r>
    </w:p>
    <w:p>
      <w:pPr>
        <w:spacing w:after="0" w:line="196"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Ocean Transportation revenue increased $69.5 million, or 4.4 percent, during the year ended December 31, 2018, compared with the year ended December 31, 2017. This increase was primarily due to higher fuel surcharge revenue, higher average freight rates in China and higher revenue in Japan, partially offset by lower revenue in Guam.</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 year-over-year FEU basis, Hawaii container volume decreased by 0.7 percent primarily due to lower eastbound volume; Alaska volume increased by 2.5 percent primarily due to an increase in northbound volume, partially offset by a decrease in southbound volume as a result of a weaker-than-expected seafood season compared with the very strong seafood harvest levels in 2017; China volume was 6.7 percent lower due to fewer sailings and lower volume during the Lunar New Year period; Guam volume was 3.0 percent lower primarily due to increased competition; and Other containers volume increased 39.3 percent largely due to the Japan service.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Ocean Transportation operating income increased $4.7 million, or 3.7 percent, during the year ended December 31, 2018, compared with the year ended December 31, 2017. This increase was primarily due to higher average rates in China and Hawaii and a higher contribution from SSAT, partially offset by higher terminal handling costs and a lower contribution from Guam.</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SSAT terminal joint venture investment contributed $36.8 million during the year ended December 31, 2018, compared to a contribution of $28.2 million during the year ended December 31, 2017. The increase was primarily attributable to higher lift volume.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Ocean Transportation: 2017 compared with 2016: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jc w:val="right"/>
              <w:ind w:right="252"/>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w w:val="95"/>
              </w:rPr>
              <w:t>2016 (3)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33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(1,445.4)</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(1,396.6)</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
        </w:trPr>
        <w:tc>
          <w:tcPr>
            <w:tcW w:w="5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(12.5)%</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8.0 %</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9.4 %</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Volume (Forty-foot equivalent units (FEU) except for automobiles) (1)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Hawaii containers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149,800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(10,400)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Hawaii automobiles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(10.9)%</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Alaska containers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China containers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4,400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Guam containers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(18.1)%</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Other containers (2)</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1,200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7" w:lineRule="exact"/>
        <w:rPr>
          <w:sz w:val="20"/>
          <w:szCs w:val="20"/>
          <w:color w:val="auto"/>
        </w:rPr>
      </w:pPr>
    </w:p>
    <w:p>
      <w:pPr>
        <w:ind w:left="320" w:right="300" w:hanging="317"/>
        <w:spacing w:after="0" w:line="248" w:lineRule="auto"/>
        <w:tabs>
          <w:tab w:leader="none" w:pos="3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20" w:hanging="317"/>
        <w:spacing w:after="0" w:line="221" w:lineRule="auto"/>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in Okinawa, Japan.</w:t>
      </w:r>
    </w:p>
    <w:p>
      <w:pPr>
        <w:ind w:left="320" w:hanging="317"/>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2016 includes the benefit of a 53</w:t>
      </w:r>
      <w:r>
        <w:rPr>
          <w:rFonts w:ascii="Arial" w:cs="Arial" w:eastAsia="Arial" w:hAnsi="Arial"/>
          <w:sz w:val="14"/>
          <w:szCs w:val="14"/>
          <w:color w:val="auto"/>
          <w:vertAlign w:val="superscript"/>
        </w:rPr>
        <w:t>rd</w:t>
      </w:r>
      <w:r>
        <w:rPr>
          <w:rFonts w:ascii="Arial" w:cs="Arial" w:eastAsia="Arial" w:hAnsi="Arial"/>
          <w:sz w:val="14"/>
          <w:szCs w:val="14"/>
          <w:color w:val="auto"/>
        </w:rPr>
        <w:t xml:space="preserve"> week.</w:t>
      </w:r>
    </w:p>
    <w:p>
      <w:pPr>
        <w:spacing w:after="0" w:line="19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Ocean Transportation revenue increased $30.7 million, or 2.0 percent, during the year ended December 31, 2017, compared with the year ended December 31, 2016. This increase was primarily due to higher fuel surcharge revenue and higher average freight rates in China, partially offset by lower construction-related volume, one less week and the absence of competitive volume gains in Hawaii and lower volume in Guam due to competitive losses and one less week.</w:t>
      </w:r>
    </w:p>
    <w:p>
      <w:pPr>
        <w:spacing w:after="0" w:line="15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On a year-over-year FEU basis, Hawaii container volume decreased by 6.5 percent primarily due to lower construction-related volume, one less week, and the absence of competitive volume gains in the prior year; Alaska volume decreased by 1.5 percent primarily due to one less week, partially offset by higher southbound volume attributable to the stronger seafood season; China volume was 7.1 percent higher due to stronger demand for the Company’s expedited service and additional sailings during the year; and Guam volume was 18.1 percent lower due to competitive losses and one less week.</w:t>
      </w:r>
    </w:p>
    <w:p>
      <w:pPr>
        <w:spacing w:after="0" w:line="15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Ocean Transportation operating income decreased $18.1 million, or 12.5 percent, during the year ended December 31, 2017, compared with the year ended December 31, 2016. This decrease was primarily due to lower volumes in Hawaii, higher terminal handling costs and lower volume in Guam, partially offset by higher average freight rates in China, a higher contribution from SSAT, and favorable timing of fuel surcharge collections.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SSAT terminal joint venture investment contributed $28.2 million during the year ended December 31, 2017, compared to a $15.8 million contribution in the year ended December 31, 2016. The increase was primarily attributable to improved lift volume.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Logistics: 2018 compared with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4"/>
                <w:szCs w:val="14"/>
                <w:b w:val="1"/>
                <w:bCs w:val="1"/>
                <w:color w:val="auto"/>
              </w:rPr>
              <w:t>Years Ended December 31,</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auto"/>
            </w:tcBorders>
            <w:vMerge w:val="continue"/>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25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Logistics revenue</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(548.8)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(454.2)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(94.6)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80" w:type="dxa"/>
            <w:vAlign w:val="bottom"/>
          </w:tcPr>
          <w:p>
            <w:pPr>
              <w:spacing w:after="0"/>
              <w:rPr>
                <w:sz w:val="24"/>
                <w:szCs w:val="24"/>
                <w:color w:val="auto"/>
              </w:rPr>
            </w:pPr>
          </w:p>
        </w:tc>
        <w:tc>
          <w:tcPr>
            <w:tcW w:w="2640" w:type="dxa"/>
            <w:vAlign w:val="bottom"/>
          </w:tcPr>
          <w:p>
            <w:pPr>
              <w:jc w:val="right"/>
              <w:ind w:right="121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3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Logistics revenue increased $106.4 million, or 22.4 percent, during the year ended December 31, 2018, compared with the year ended December 31, 2017. This increase was primarily due to higher transportation brokerage revenue.</w:t>
      </w:r>
    </w:p>
    <w:p>
      <w:pPr>
        <w:spacing w:after="0" w:line="14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Logistics operating income increased $11.8 million, or 56.5 percent, for the year ended December 31, 2018, compared with the year ended December 31, 2017. The increase was primarily due to higher contributions from transportation brokerage and freight forwarding.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Logistics: 2017 compared with 2016: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23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Logistics Revenue (1)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Operating costs and expenses (1)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(454.2)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(388.3)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(65.9)</w:t>
            </w: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Operating income margin (1)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7" w:lineRule="exact"/>
        <w:rPr>
          <w:sz w:val="20"/>
          <w:szCs w:val="20"/>
          <w:color w:val="auto"/>
        </w:rPr>
      </w:pPr>
    </w:p>
    <w:p>
      <w:pPr>
        <w:ind w:left="320" w:hanging="317"/>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Logistics operating results include Span Alaska operating results from the date of acquisition on August 4, 2016.</w:t>
      </w:r>
    </w:p>
    <w:p>
      <w:pPr>
        <w:spacing w:after="0" w:line="208"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Logistics revenue increased $74.6 million, or 18.6 percent, during the year ended December 31, 2017, compared with the year ended December 31, 2016. This increase was primarily due to the inclusion of freight forwarding revenue from the acquired Span Alaska business, higher intermodal volumes, and higher fuel surcharge revenue.</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Logistics operating income increased $8.7 million, or 71.3 percent, during the year ended December 31, 2017, compared with the year ended December 31, 2016. The increase was primarily due to the inclusion of freight forwarding operating results attributable to the acquired Span Alaska business, partially offset by lower intermodal yield.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Sources of liquidity available to the Company at December 31, 2018 compared to December 31, 2017, were as follows:</w:t>
      </w:r>
    </w:p>
    <w:p>
      <w:pPr>
        <w:spacing w:after="0" w:line="233"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i w:val="1"/>
          <w:iCs w:val="1"/>
          <w:color w:val="auto"/>
        </w:rPr>
        <w:t>Cash and Cash Equivalents, Restricted Cash and Accounts Receivable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cash equivalents, restricted cash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receivable, net, as of December 31, 2018 and 2017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 (1)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4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7"/>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Eligible accounts receivable of $1.0 million and $134.8 million at December 31, 2018 and 2017, respectively, were assigned to the CCF.</w:t>
      </w:r>
    </w:p>
    <w:p>
      <w:pPr>
        <w:spacing w:after="0" w:line="20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Changes in the Company’s cash, cash equivalents and restricted cash for the years ended December 31, 2018, 2017 and 2016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w w:val="95"/>
              </w:rPr>
              <w:t>As of December 31,</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2016</w:t>
            </w:r>
          </w:p>
        </w:tc>
        <w:tc>
          <w:tcPr>
            <w:tcW w:w="78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92"/>
              </w:rPr>
              <w:t>2018-2017</w:t>
            </w:r>
          </w:p>
        </w:tc>
        <w:tc>
          <w:tcPr>
            <w:tcW w:w="140" w:type="dxa"/>
            <w:vAlign w:val="bottom"/>
          </w:tcPr>
          <w:p>
            <w:pPr>
              <w:spacing w:after="0"/>
              <w:rPr>
                <w:sz w:val="12"/>
                <w:szCs w:val="12"/>
                <w:color w:val="auto"/>
              </w:rPr>
            </w:pPr>
          </w:p>
        </w:tc>
        <w:tc>
          <w:tcPr>
            <w:tcW w:w="6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2"/>
              </w:rPr>
              <w:t>2017-2016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Net cash provided by operating activities (1)</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224.9</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157.8</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7"/>
                <w:szCs w:val="17"/>
                <w:color w:val="auto"/>
              </w:rPr>
              <w:t>Net cash used in investing activities (2)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6"/>
              </w:rPr>
              <w:t>(260.3)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6"/>
              </w:rPr>
              <w:t>(276.9)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6"/>
              </w:rPr>
              <w:t>(320.7)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provided by financing activities (3)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20"/>
                <w:szCs w:val="20"/>
                <w:color w:val="auto"/>
              </w:rPr>
            </w:pPr>
            <w:r>
              <w:rPr>
                <w:rFonts w:ascii="Arial" w:cs="Arial" w:eastAsia="Arial" w:hAnsi="Arial"/>
                <w:sz w:val="17"/>
                <w:szCs w:val="17"/>
                <w:color w:val="auto"/>
                <w:w w:val="95"/>
              </w:rPr>
              <w:t>Net increase (decrease) in cash, cash equivalents and restricted cash</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w w:val="98"/>
              </w:rPr>
              <w:t>Cash, cash equivalents, and restricted cash, beginning of the period</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Arial" w:cs="Arial" w:eastAsia="Arial" w:hAnsi="Arial"/>
                <w:sz w:val="17"/>
                <w:szCs w:val="17"/>
                <w:color w:val="auto"/>
              </w:rPr>
              <w:t>Cash, cash equivalents, and restricted cash, end of the period</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r>
              <w:rPr>
                <w:rFonts w:ascii="Arial" w:cs="Arial" w:eastAsia="Arial" w:hAnsi="Arial"/>
                <w:sz w:val="17"/>
                <w:szCs w:val="17"/>
                <w:u w:val="single" w:color="auto"/>
                <w:color w:val="auto"/>
              </w:rPr>
              <w:t>7</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r>
              <w:rPr>
                <w:rFonts w:ascii="Arial" w:cs="Arial" w:eastAsia="Arial" w:hAnsi="Arial"/>
                <w:sz w:val="17"/>
                <w:szCs w:val="17"/>
                <w:u w:val="single" w:color="auto"/>
                <w:color w:val="auto"/>
              </w:rPr>
              <w:t>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right="360" w:hanging="317"/>
        <w:spacing w:after="0" w:line="277" w:lineRule="auto"/>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Changes in Net Cash Provided by Operating Activities: </w:t>
      </w:r>
      <w:r>
        <w:rPr>
          <w:rFonts w:ascii="Arial" w:cs="Arial" w:eastAsia="Arial" w:hAnsi="Arial"/>
          <w:sz w:val="18"/>
          <w:szCs w:val="18"/>
          <w:color w:val="auto"/>
        </w:rPr>
        <w:t>Changes in net cash provided by operating activities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December 31, 2018, 2017 and 2016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6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9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2018-2017</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5"/>
              </w:rPr>
              <w:t>2017-2016</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operations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Non-cash deferred income taxes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non-cash related changes,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Equity income and distributions from Terminal Joint Venture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Deferred dry-docking payments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Accounts payable, accruals and other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7"/>
        </w:trPr>
        <w:tc>
          <w:tcPr>
            <w:tcW w:w="696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change in deferred income taxes is primarily related to the remeasurement of the Company’s deferred assets and liabilities, and other discrete tax adjustments resulting from applying the Tax Act as of December 31, 2017. The Company’s share of income from the Terminal Joint Venture was $36.8 million during the year ended December 31, 2018, compared to $28.2 million in the prior year, while distributions from the Terminal Joint Venture increased to $42.0 million during the year ended December 31, 2018, compared to $17.5 million of distributions received in the prior year. Decrease in deferred dry-docking payments was due to fewer dry-docking activities during the year ended December 31, 2018, compared to the prior year. Changes in accounts receivable are due to increases in the amount of revenue invoiced and the timing of collections as of December 31, 2018, compared to the prior year. Changes in prepaid expenses and other assets are due to the timing of prepaid income taxes, changes in the amount of insurance related receivables and changes in other prepaid amounts as of December 31, 2018, compared to the prior year. Changes in accounts payable, accruals and other liabilities for the year ended December 31, 2018, compared to the prior year are due to the timing of payments associated with those liabilities.</w:t>
      </w:r>
    </w:p>
    <w:p>
      <w:pPr>
        <w:spacing w:after="0" w:line="173" w:lineRule="exact"/>
        <w:rPr>
          <w:sz w:val="20"/>
          <w:szCs w:val="20"/>
          <w:color w:val="auto"/>
        </w:rPr>
      </w:pPr>
    </w:p>
    <w:p>
      <w:pPr>
        <w:ind w:left="320" w:right="220" w:hanging="317"/>
        <w:spacing w:after="0" w:line="258"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Changes in Net Cash Used in Investing Activities: </w:t>
      </w:r>
      <w:r>
        <w:rPr>
          <w:rFonts w:ascii="Arial" w:cs="Arial" w:eastAsia="Arial" w:hAnsi="Arial"/>
          <w:sz w:val="18"/>
          <w:szCs w:val="18"/>
          <w:color w:val="auto"/>
        </w:rPr>
        <w:t>Changes in net cash used in investing activities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2017 and 2016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6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9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2018-2017</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5"/>
              </w:rPr>
              <w:t>2017-2016</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Capitalized vessel construction expenditures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Cash deposits into CCF</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Withdrawals from CCF</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Other capital expenditures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property and equipment,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Proceeds from sale of other investments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Payments for membership interests in Span Alaska, net of cash acquired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7"/>
        </w:trPr>
        <w:tc>
          <w:tcPr>
            <w:tcW w:w="6940" w:type="dxa"/>
            <w:vAlign w:val="bottom"/>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Capitalized vessel construction expenditures (including capitalized interest and owners’ items) was $338.6 million for the year ended December 31, 2018, compared to $252.0 million in the year ended December 31, 2017. The increase in capitalized vessel construction expenditures (including cash deposited into the CCF less cash withdrawals from the CCF which are used for vessel construction related payments) is due to the timing of progress payments related to the construction of four new vessels. Other capital expenditures (excluding capitalized vessel construction expenditures) was $62.6 million for the year ended December 31, 2018, compared to $55.0 million for the year ended December 31, 2017. The increase was primarily due to higher levels of capital expenditures during the year ended December 31, 2018, including capital expenditures related to the Hawaii Sand Island terminal and the Anchorage cross-dock facility, compared to the prior</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year. Proceeds from the disposal of property and equipment was $136.3 million for the year ended December 31, 2018, included net proceeds of approximately $106.0 million from the sale and leaseback of a vessel, and $28.4 million from other container and equipment sale and leaseback transactions entered into during 2018. There were no sale and leaseback transactions in 2017. Proceeds from the sale of investments of $3.7 million related to the surrender of life insurance policies.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There were no acquisition related payments during the years ended December 31, 2018 and 2017. During the year ended December 31, 2016, the Company paid $112.6 million related to the acquisition of Span Alaska (see Note 18 to the Consolidated Financial Statements in Item 8 of Part II below for additional information on the Company’s acquisitions).</w:t>
      </w:r>
    </w:p>
    <w:p>
      <w:pPr>
        <w:spacing w:after="0" w:line="147" w:lineRule="exact"/>
        <w:rPr>
          <w:sz w:val="20"/>
          <w:szCs w:val="20"/>
          <w:color w:val="auto"/>
        </w:rPr>
      </w:pPr>
    </w:p>
    <w:p>
      <w:pPr>
        <w:ind w:left="320" w:right="320" w:hanging="317"/>
        <w:spacing w:after="0" w:line="258"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Changes Net Cash Used in Financing Activities: </w:t>
      </w:r>
      <w:r>
        <w:rPr>
          <w:rFonts w:ascii="Arial" w:cs="Arial" w:eastAsia="Arial" w:hAnsi="Arial"/>
          <w:sz w:val="18"/>
          <w:szCs w:val="18"/>
          <w:color w:val="auto"/>
        </w:rPr>
        <w:t>Changes in net cash used in financing activities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2017 and 2016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59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0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2018-2017</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5"/>
              </w:rPr>
              <w:t>2017-2016</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Proceeds received from issuance of fixed interest debt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Repayments of fixed interest debt and capital leases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credit facility,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Repurchase of Matson common stock</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Payments of Span Alaska debt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Change in other payments, net</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7"/>
        </w:trPr>
        <w:tc>
          <w:tcPr>
            <w:tcW w:w="7080" w:type="dxa"/>
            <w:vAlign w:val="bottom"/>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Changes in the Company’s debt are described below. During the year ended December 31, 2017, the Company repurchased $19.3 million of Matson stock. There was no repurchase of Matson stock during the year ended December 31,</w:t>
      </w:r>
    </w:p>
    <w:p>
      <w:pPr>
        <w:spacing w:after="0" w:line="253" w:lineRule="auto"/>
        <w:rPr>
          <w:sz w:val="20"/>
          <w:szCs w:val="20"/>
          <w:color w:val="auto"/>
        </w:rPr>
      </w:pPr>
      <w:r>
        <w:rPr>
          <w:rFonts w:ascii="Arial" w:cs="Arial" w:eastAsia="Arial" w:hAnsi="Arial"/>
          <w:sz w:val="18"/>
          <w:szCs w:val="18"/>
          <w:color w:val="auto"/>
        </w:rPr>
        <w:t>2018. Dividends paid was $35.4 million for the year ended December 31, 2018, compared to $33.8 million for the year ended December 31, 2017. There were no payments of acquisition related debt during the years ended December 31, 2018 or 2017. During the year ended December 31, 2016, the Company repaid all of Span Alaska’s outstanding debt of $81.9 million (see Note 18 to the Consolidated Financial Statements in Item 8 of Part II below for additional information on the Company’s acquisitions).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Debt: </w:t>
      </w:r>
      <w:r>
        <w:rPr>
          <w:rFonts w:ascii="Arial" w:cs="Arial" w:eastAsia="Arial" w:hAnsi="Arial"/>
          <w:sz w:val="18"/>
          <w:szCs w:val="18"/>
          <w:color w:val="auto"/>
        </w:rPr>
        <w:t>Total debt as of December 31, 2018 and 2017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205.0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Fixed interest debt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7"/>
              </w:rPr>
              <w:t>652.1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7"/>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7"/>
              </w:rPr>
              <w:t>857.1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Total debt decreased by $0.7 million during the year ended December 31, 2018, compared to the prior year. Changes in debt primarily related to a net increase in revolving credit facility borrowing of $30.0 million, primarily used to fund progress payments related to the construction of four new vessels, offset by repayments of fixed interest debt of $30.7 million.</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December 31, 2018, the Company had $304.0 million of remaining availability under the revolving credit facility, with a maturity date of June 29, 2022. The Company’s debt is described in Note 8 to the Consolidated Financial Statements in Item 8 of Part II.</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Company had negative working capital of $52.4 million at December 31, 2018, compared to negative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working capital of $20.3 million at December 31,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the Company had the following estimated contractual obligations: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w w:val="92"/>
              </w:rPr>
              <w:t>Payment Due By Period</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 (in millions)</w:t>
            </w:r>
          </w:p>
        </w:tc>
        <w:tc>
          <w:tcPr>
            <w:tcW w:w="72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33"/>
              <w:spacing w:after="0" w:line="119"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33"/>
              <w:spacing w:after="0" w:line="119" w:lineRule="exact"/>
              <w:rPr>
                <w:sz w:val="20"/>
                <w:szCs w:val="20"/>
                <w:color w:val="auto"/>
              </w:rPr>
            </w:pPr>
            <w:r>
              <w:rPr>
                <w:rFonts w:ascii="Arial" w:cs="Arial" w:eastAsia="Arial" w:hAnsi="Arial"/>
                <w:sz w:val="13"/>
                <w:szCs w:val="13"/>
                <w:b w:val="1"/>
                <w:bCs w:val="1"/>
                <w:color w:val="auto"/>
                <w:w w:val="96"/>
              </w:rPr>
              <w:t>2022-</w:t>
            </w:r>
          </w:p>
        </w:tc>
        <w:tc>
          <w:tcPr>
            <w:tcW w:w="140" w:type="dxa"/>
            <w:vAlign w:val="bottom"/>
          </w:tcPr>
          <w:p>
            <w:pPr>
              <w:spacing w:after="0"/>
              <w:rPr>
                <w:sz w:val="10"/>
                <w:szCs w:val="10"/>
                <w:color w:val="auto"/>
              </w:rPr>
            </w:pPr>
          </w:p>
        </w:tc>
        <w:tc>
          <w:tcPr>
            <w:tcW w:w="8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Thereafter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2023</w:t>
            </w:r>
          </w:p>
        </w:tc>
        <w:tc>
          <w:tcPr>
            <w:tcW w:w="14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Vessel construction obligations (1)</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$188.9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Total debt obligations (2)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102.6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354.8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356.9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interest on debt (3)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Vendor and other obligations (4)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Qualified defined benefit pension obligations (5)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Non-qualified pension obligations (5)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benefit obligations (5)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Multi-employer withdrawal obligations (6)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 (7)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388.7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366.6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498.6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657.4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1,911.3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20" w:hanging="317"/>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Vessel construction obligations represent contractual agreements entered into for the construction of new vessels.</w:t>
      </w:r>
    </w:p>
    <w:p>
      <w:pPr>
        <w:spacing w:after="0" w:line="28" w:lineRule="exact"/>
        <w:rPr>
          <w:rFonts w:ascii="Arial" w:cs="Arial" w:eastAsia="Arial" w:hAnsi="Arial"/>
          <w:sz w:val="14"/>
          <w:szCs w:val="14"/>
          <w:color w:val="auto"/>
        </w:rPr>
      </w:pPr>
    </w:p>
    <w:p>
      <w:pPr>
        <w:ind w:left="320" w:right="60" w:hanging="317"/>
        <w:spacing w:after="0" w:line="281" w:lineRule="auto"/>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Total debt obligations include principal repayments of outstanding debt and capital leases (see Note 8 to the Consolidated Financial Statements in Item 8 of Part II below for additional information about debt).</w:t>
      </w:r>
    </w:p>
    <w:p>
      <w:pPr>
        <w:spacing w:after="0" w:line="1" w:lineRule="exact"/>
        <w:rPr>
          <w:rFonts w:ascii="Arial" w:cs="Arial" w:eastAsia="Arial" w:hAnsi="Arial"/>
          <w:sz w:val="14"/>
          <w:szCs w:val="14"/>
          <w:color w:val="auto"/>
        </w:rPr>
      </w:pPr>
    </w:p>
    <w:p>
      <w:pPr>
        <w:ind w:left="320" w:right="160" w:hanging="317"/>
        <w:spacing w:after="0" w:line="276" w:lineRule="auto"/>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Estimated interest on debt is determined based on: (i) the stated interest rate for fixed debt, and (ii) the estimated variable interest on revolving credit facility assuming the balance at December 31, 2018 remains outstanding until maturity.</w:t>
      </w:r>
    </w:p>
    <w:p>
      <w:pPr>
        <w:spacing w:after="0" w:line="1" w:lineRule="exact"/>
        <w:rPr>
          <w:rFonts w:ascii="Arial" w:cs="Arial" w:eastAsia="Arial" w:hAnsi="Arial"/>
          <w:sz w:val="14"/>
          <w:szCs w:val="14"/>
          <w:color w:val="auto"/>
        </w:rPr>
      </w:pPr>
    </w:p>
    <w:p>
      <w:pPr>
        <w:jc w:val="both"/>
        <w:ind w:left="320" w:right="20" w:hanging="317"/>
        <w:spacing w:after="0" w:line="241" w:lineRule="auto"/>
        <w:tabs>
          <w:tab w:leader="none" w:pos="3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Vendor and other obligations include: (i) non-cancellable contractual capital project obligations (excluding vessel construction obligations shown in (1) above); (ii) dry-docking related obligations; and (iii) other contractual obligations. Amounts are considered obligations if a contract has been agreed to specifying significant terms of the contract, and the amounts are not reflected in the Consolidated Balance Sheets.</w:t>
      </w:r>
    </w:p>
    <w:p>
      <w:pPr>
        <w:ind w:left="320" w:right="500" w:hanging="317"/>
        <w:spacing w:after="0" w:line="221" w:lineRule="auto"/>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Qualified defined benefit pension, non-qualified pension and post-retirement benefit obligations include estimated payments for the next ten years. The amounts noted in the column labeled “Thereafter” comprises estimated benefit payments for 2024 through 2028 (see Note 11 to the Consolidated Financial Statements in Item 8 of Part II below, for additional information).</w:t>
      </w:r>
    </w:p>
    <w:p>
      <w:pPr>
        <w:ind w:left="320" w:right="20" w:hanging="317"/>
        <w:spacing w:after="0" w:line="221" w:lineRule="auto"/>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Multi-employer withdrawal obligations relate to the discounted liability associated with Horizon’s mass withdrawal from Puerto Rico’s multi-employer ILA-PRSSA and the partial withdrawal liability associated with the Local 153 Fund of the OPEIU (see Note 12 to the Consolidated Financial Statements in Item 8 of Part II below, for additional information).</w:t>
      </w:r>
    </w:p>
    <w:p>
      <w:pPr>
        <w:ind w:left="320" w:right="20" w:hanging="317"/>
        <w:spacing w:after="0" w:line="232" w:lineRule="auto"/>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Operating lease obligations primarily consist of real estate and terminal leases, vessel charter leases, operations equipment and other leases entered into under non-cancellable arrangements that do not transfer the rights and risks of ownership to the Company (see Note 9 to the Consolidated Financial Statements in Item 8 of Part II below for additional information).</w:t>
      </w:r>
    </w:p>
    <w:p>
      <w:pPr>
        <w:spacing w:after="0" w:line="17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Estimated timing and amount of payments related to unrecognized tax benefits of $15.1 million as of December 31, 2018 are excluded from the table due to the uncertainty of such timing and payments, if 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Contingencies and Off-Balance Sheet Arrangements:</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 xml:space="preserve">Commitments and Contingencies: </w:t>
      </w:r>
      <w:r>
        <w:rPr>
          <w:rFonts w:ascii="Arial" w:cs="Arial" w:eastAsia="Arial" w:hAnsi="Arial"/>
          <w:sz w:val="16"/>
          <w:szCs w:val="16"/>
          <w:color w:val="auto"/>
        </w:rPr>
        <w:t>A description of other commitments and contingencies is set forth in Note 9, Note 11 and</w:t>
      </w:r>
      <w:r>
        <w:rPr>
          <w:rFonts w:ascii="Arial" w:cs="Arial" w:eastAsia="Arial" w:hAnsi="Arial"/>
          <w:sz w:val="16"/>
          <w:szCs w:val="16"/>
          <w:i w:val="1"/>
          <w:iCs w:val="1"/>
          <w:color w:val="auto"/>
        </w:rPr>
        <w:t xml:space="preserve"> </w:t>
      </w:r>
      <w:r>
        <w:rPr>
          <w:rFonts w:ascii="Arial" w:cs="Arial" w:eastAsia="Arial" w:hAnsi="Arial"/>
          <w:sz w:val="16"/>
          <w:szCs w:val="16"/>
          <w:color w:val="auto"/>
        </w:rPr>
        <w:t>Note 17 to the Consolidated Financial Statements in Item 8 of Part II below, and is incorporated herein by reference.</w:t>
      </w:r>
    </w:p>
    <w:p>
      <w:pPr>
        <w:spacing w:after="0" w:line="124"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Except as described below, the Company is not party to any off-balance sheet</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that have, or are reasonably likely to have, a current or future material effect on the Company’s financial condition, results in operations or cash flows.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Future minimum payments under operating leases are $321.1 million as of December 31, 2018. In addition, the Company provided a lessor with a maximum residual value guarantee related to the lease of a vessel. Additional information related to leases and the vessel lease guarantee is set forth in Note 9 to the Consolidated Financial Statements in Item 8 of Part II below,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Company’s significant accounting policies are described in Note 2 to the Consolidated Financial Statements in Item 8 of Part II below. The preparation of Consolidated Financial Statements in conformity with accounting principles generally accepted in the United States of America, upon which the Company’s Management Discussion and Analysis of Financial Condition and Results of Operations is based, requires that management exercise judgment when making accounting estimates about future events that may affect the amounts reported in the Consolidated Financial Statements and accompanying notes. Future events and their effects cannot be determined with certainty and actual results will, inevitably, differ from those accounting estimates. These differences could be material.</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considers an accounting estimate to be critical if: (i)(a) the accounting estimate requires the Company to make assumptions that are difficult or subjective about matters that were highly uncertain at the time that the accounting estimate was made, (b) changes in the estimate are reasonably likely to occur in periods after the period in which the estimate was made, or (c) use of different estimates by the Company could have been used; and (ii) changes in those accounting estimates would have had a material impact on the financial condition or results of operations of the Company. The critical accounting estimates inherent in the preparation of the Company’s Consolidated Financial Statements are described below. Management has discussed the development and selection of these critical accounting estimates with the Audit Committee of our Board of Directors.</w:t>
      </w:r>
    </w:p>
    <w:p>
      <w:pPr>
        <w:spacing w:after="0" w:line="17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Impairment of Long-Lived Assets, Intangible Assets and Goodwill: </w:t>
      </w:r>
      <w:r>
        <w:rPr>
          <w:rFonts w:ascii="Arial" w:cs="Arial" w:eastAsia="Arial" w:hAnsi="Arial"/>
          <w:sz w:val="18"/>
          <w:szCs w:val="18"/>
          <w:color w:val="auto"/>
        </w:rPr>
        <w:t>The Company evaluates its long-lived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intangible assets and goodwill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Long-lived Assets and Finite-lived Intangible Assets: </w:t>
      </w:r>
      <w:r>
        <w:rPr>
          <w:rFonts w:ascii="Arial" w:cs="Arial" w:eastAsia="Arial" w:hAnsi="Arial"/>
          <w:sz w:val="16"/>
          <w:szCs w:val="16"/>
          <w:color w:val="auto"/>
        </w:rPr>
        <w:t>Long-lived assets and finite-lived intangible assets are grouped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lowest level reporting unit for which identifiable cash flows are available. In evaluating impairment, the estimated future undiscounted cash flows generated by each of these asset groups is compared with the carrying value recorded for each asset group to determine if its carrying value is not recoverable. If this review determines that the amount recorded will not be recovered, the amount recorded for the asset group is reduced to its estimated fair value. These asset impairment analyses are highly subjective because they require management to make assumptions and apply considerable judgments to, among other things, estimates of the timing and amount of future cash flows, expected useful lives of the assets, uncertainty about future events, including changes in economic conditions, changes in operating performance, changes in the use of the assets, and ongoing costs of maintenance and improvements of the assets, and thus, the accounting estimates may change from period to period. If management uses different assumptions or if different conditions occur in future periods, the Company’s financial condition or its future operating results could be materially impacted. The Company has evaluated its long-lived assets and finite lived intangible assets for impairment and determined that the fair values are not less than the carrying amounts. No impairment charges related to long-lived assets and finite-lived intangible assets were recorded for the years ended December 31, 2018, 2017, and 2016.</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Indefinite-life Intangible Assets and Goodwill: </w:t>
      </w:r>
      <w:r>
        <w:rPr>
          <w:rFonts w:ascii="Arial" w:cs="Arial" w:eastAsia="Arial" w:hAnsi="Arial"/>
          <w:sz w:val="17"/>
          <w:szCs w:val="17"/>
          <w:color w:val="auto"/>
        </w:rPr>
        <w:t>The Company’s intangible assets include goodwill, customer relationships</w:t>
      </w:r>
      <w:r>
        <w:rPr>
          <w:rFonts w:ascii="Arial" w:cs="Arial" w:eastAsia="Arial" w:hAnsi="Arial"/>
          <w:sz w:val="17"/>
          <w:szCs w:val="17"/>
          <w:i w:val="1"/>
          <w:iCs w:val="1"/>
          <w:color w:val="auto"/>
        </w:rPr>
        <w:t xml:space="preserve"> </w:t>
      </w:r>
      <w:r>
        <w:rPr>
          <w:rFonts w:ascii="Arial" w:cs="Arial" w:eastAsia="Arial" w:hAnsi="Arial"/>
          <w:sz w:val="17"/>
          <w:szCs w:val="17"/>
          <w:color w:val="auto"/>
        </w:rPr>
        <w:t>and a trade name. In estimating the fair value of a reporting unit, the Company uses a combination of a discounted cash flow model and fair value based on market multiples of earnings before income taxes, depreciation and amortization (“EBITDA”). The discounted cash flow approach requires the Company to use a number of assumptions, including market factors specific to the business, the amount and timing of estimated future cash flows to be generated by the business over an extended period of time, long-term growth rates for the business, and a discount rate that considers the risks related to the amount and timing of the cash flows. Although the assumptions used by the Company in its discounted cash flow model are consistent with the assumptions the Company used to generate its internal strategic plans and forecasts, significant judgment is required to estimate the amount and timing of future cash flows from the reporting unit and the risk of achieving those cash flows. When using market multiples of EBITDA, the Company makes judgments about the comparability of multiples in closed and proposed transactions. Accordingly, changes in assumptions and estimates, including, but not limited to, changes driven by external factors, such as industry and economic trends, and those driven by internal factors, such as changes in the Company’s business strategy and its internal forecasts, could have a material effect on the Company’s financial condition or its future operating results. The Company has evaluated its indefinite-life intangible assets and goodwill for impairment and determined that the respective fair value of goodwill attributed to the Ocean Transportation and the Logistics reporting units exceeded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carrying amount as of the date of the impairment review. No impairment charges of indefinite-life intangible assets and goodwill were recorded for the years ended December 31, 2018, 2017 and 2016.</w:t>
      </w:r>
    </w:p>
    <w:p>
      <w:pPr>
        <w:spacing w:after="0" w:line="9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b w:val="1"/>
          <w:bCs w:val="1"/>
          <w:color w:val="auto"/>
        </w:rPr>
        <w:t xml:space="preserve">Legal Contingencies: </w:t>
      </w:r>
      <w:r>
        <w:rPr>
          <w:rFonts w:ascii="Arial" w:cs="Arial" w:eastAsia="Arial" w:hAnsi="Arial"/>
          <w:sz w:val="16"/>
          <w:szCs w:val="16"/>
          <w:color w:val="auto"/>
        </w:rPr>
        <w:t>The Company’s results of operations could be affected by significant litigation adverse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including, but not limited to, liability claims, antitrust claims, claims related to coastwise trading matters, lawsuits involving private plaintiffs or government agencies, and environment related matters. The Company records accruals for legal matters when the information available indicates that it is probable that a liability has been incurred and the amount of the loss can be reasonably estimated. Management makes adjustments to these accruals to reflect the impact and status of negotiations, settlements, rulings, advice of outside legal counsel and other information and events that may pertain to a particular matter. In making determinations of likely outcomes of litigation matters, the Company considers many factors. These factors include, but are not limited to, the nature of specific claims including un-asserted claims, the Company’s experience with similar types of claims, the jurisdiction in which the matter is filed, input from outside legal counsel, the likelihood of resolving the matter through alternative dispute resolution mechanisms and the matter’s current status. Predicting the outcome of claims and lawsuits, and estimating related costs and exposure involves substantial uncertainties that could cause actual costs to vary materially from those estimates.</w:t>
      </w:r>
    </w:p>
    <w:p>
      <w:pPr>
        <w:spacing w:after="0" w:line="10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color w:val="auto"/>
        </w:rPr>
        <w:t xml:space="preserve">Uninsured Risks and Related Liabilities: </w:t>
      </w:r>
      <w:r>
        <w:rPr>
          <w:rFonts w:ascii="Arial" w:cs="Arial" w:eastAsia="Arial" w:hAnsi="Arial"/>
          <w:sz w:val="18"/>
          <w:szCs w:val="18"/>
          <w:color w:val="auto"/>
        </w:rPr>
        <w:t>The Company is uninsured for certain risks but when feasible, many risks are</w:t>
      </w:r>
      <w:r>
        <w:rPr>
          <w:rFonts w:ascii="Arial" w:cs="Arial" w:eastAsia="Arial" w:hAnsi="Arial"/>
          <w:sz w:val="18"/>
          <w:szCs w:val="18"/>
          <w:b w:val="1"/>
          <w:bCs w:val="1"/>
          <w:color w:val="auto"/>
        </w:rPr>
        <w:t xml:space="preserve"> </w:t>
      </w:r>
      <w:r>
        <w:rPr>
          <w:rFonts w:ascii="Arial" w:cs="Arial" w:eastAsia="Arial" w:hAnsi="Arial"/>
          <w:sz w:val="18"/>
          <w:szCs w:val="18"/>
          <w:color w:val="auto"/>
        </w:rPr>
        <w:t>mitigated by insurance. The Company purchases insurance with deductibles or self-insured retentions. Such insurance includes, but is not limited to, employee health, workers’ compensation, marine liability, auto liability and physical damage to inland property, equipment and vessels. For certain risks, the Company elects to not purchase insurance because of excessive cost of insurance or the perceived remoteness of the risk. In addition, the Company retains all risk of loss that exceeds the limits of the Company’s insurance policies.</w:t>
      </w:r>
    </w:p>
    <w:p>
      <w:pPr>
        <w:spacing w:after="0" w:line="192"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When estimating its reserves for uninsured risks and related liabilities, the Company considers a number of factors, including historical claims experience, demographic factors, current trends, and analyses provided by independent third-</w:t>
      </w:r>
    </w:p>
    <w:p>
      <w:pPr>
        <w:spacing w:after="0" w:line="252" w:lineRule="auto"/>
        <w:rPr>
          <w:sz w:val="20"/>
          <w:szCs w:val="20"/>
          <w:color w:val="auto"/>
        </w:rPr>
      </w:pPr>
      <w:r>
        <w:rPr>
          <w:rFonts w:ascii="Arial" w:cs="Arial" w:eastAsia="Arial" w:hAnsi="Arial"/>
          <w:sz w:val="18"/>
          <w:szCs w:val="18"/>
          <w:color w:val="auto"/>
        </w:rPr>
        <w:t>parties. Periodically, management reviews its assumptions and estimates used to determine the adequacy of the Company’s reserves for uninsured risks and related liabilities. The Company’s uninsured risks and related liabilities contain uncertainties because management is required to apply judgment and make long-term assumptions to estimate the ultimate cost to settle reported claims, and of claims incurred but not reported, as of the balance sheet date. If management uses different assumptions or if different conditions occur in future periods, the Company’s financial condition or its future operating results could be materially impacted.</w:t>
      </w:r>
    </w:p>
    <w:p>
      <w:pPr>
        <w:spacing w:after="0" w:line="123"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b w:val="1"/>
          <w:bCs w:val="1"/>
          <w:color w:val="auto"/>
        </w:rPr>
        <w:t xml:space="preserve">Pension and Post-Retirement Estimates: </w:t>
      </w:r>
      <w:r>
        <w:rPr>
          <w:rFonts w:ascii="Arial" w:cs="Arial" w:eastAsia="Arial" w:hAnsi="Arial"/>
          <w:sz w:val="16"/>
          <w:szCs w:val="16"/>
          <w:color w:val="auto"/>
        </w:rPr>
        <w:t>The estimation of the Company’s pension and post-retirement benefit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and liabilities requires that the Company make various assumptions. These assumptions include factors such as discount rates, expected long-term rate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The effects of changing assumptions are included in unamortized net gains and losses, which directly affect accumulated other comprehensive income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(loss). Additionally, these unamortized gains and losses are amortized and reclassified to income (loss) over future periods.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Additional information about the Company’s benefit plans and assumptions used is included in Note 11 to the Consolidated Financial Statements in Item 8 of Part II below.</w:t>
      </w:r>
    </w:p>
    <w:p>
      <w:pPr>
        <w:spacing w:after="0" w:line="99"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Company makes certain estimates and judgments in determining income tax expense for Consolidated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 purposes. These estimates and judgments are applied in the calculation of taxable income, tax credits, tax benefits and deductions, and in the calculation of certain deferred tax assets and liabilities, which arise from differences in the timing of recognition of revenue, costs and expenses for tax purposes. Deferred tax assets and liabilities are adjusted to the extent necessary to reflect tax rates expected to be in effect when the temporary differences reverse. Significant changes to these estimates may result in an increase or decrease to the Company’s income taxes in a subsequent period.</w:t>
      </w:r>
    </w:p>
    <w:p>
      <w:pPr>
        <w:spacing w:after="0" w:line="160"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The Company records a valuation allowance if, based on the weight of available evidence, management believes that it is more likely than not that some portion or all of a recorded deferred tax asset would not be realized in future periods.</w:t>
      </w:r>
    </w:p>
    <w:p>
      <w:pPr>
        <w:ind w:right="200"/>
        <w:spacing w:after="0" w:line="277" w:lineRule="auto"/>
        <w:rPr>
          <w:sz w:val="20"/>
          <w:szCs w:val="20"/>
          <w:color w:val="auto"/>
        </w:rPr>
      </w:pPr>
      <w:r>
        <w:rPr>
          <w:rFonts w:ascii="Arial" w:cs="Arial" w:eastAsia="Arial" w:hAnsi="Arial"/>
          <w:sz w:val="17"/>
          <w:szCs w:val="17"/>
          <w:color w:val="auto"/>
        </w:rPr>
        <w:t>The Company’s valuation allowance against deferred tax assets was $11.5 million and $13.0 million at December 31, 2018 and 2017, respectively, and related to accumulated operating losses of a foreign subsidiary and various state net operating losses that the Company determined may not be realized in future periods.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calculation of deferred tax assets and liabilities may be impacted by various factors including but not limited to changes in tax rates; changes in tax laws, regulations, and rulings; changes in interpretations of existing tax laws, regulations and rulings; and changes in the evaluation of the Company’s ability to realize deferred tax assets including operating loss and tax credit carryforwards. Deferred tax assets and deferred tax liabilities are adjusted to the extent necessary to reflect tax rates expected to be in effect when the temporary differences reverse. On December 22, 2017, the Tax Act was signed into</w:t>
      </w:r>
    </w:p>
    <w:p>
      <w:pPr>
        <w:spacing w:after="0" w:line="2"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law. The Tax Act includes numerous changes in existing tax law, including a reduction in the federal corporate income tax rate from 35 percent to 21 percent. The rate reduction and other changes took effect on January 1, 2018. Other changes such as remeasurement of deferred tax assets and liabilities are effective as of the fourth quarter of 2017.</w:t>
      </w:r>
    </w:p>
    <w:p>
      <w:pPr>
        <w:spacing w:after="0" w:line="1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the calculation of tax liabilities involves significant judgment in estimating the impact of uncertain tax positions taken or expected to be taken with respect to the application of complex tax laws. Resolution of these uncertainties in a manner inconsistent with management’s expectations could materially impact the Company’s financial condition or its future operating results.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 information about the Company’s income taxes is included in Note 10 to the Consolidated Financial Statements in Item 8 of Part II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 xml:space="preserve">New Accounting Pronouncements: </w:t>
      </w:r>
      <w:r>
        <w:rPr>
          <w:rFonts w:ascii="Arial" w:cs="Arial" w:eastAsia="Arial" w:hAnsi="Arial"/>
          <w:sz w:val="18"/>
          <w:szCs w:val="18"/>
          <w:color w:val="auto"/>
        </w:rPr>
        <w:t>See Note 2 to the Consolidated Financial Statements in Item 8 of Part II below 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information on new accounting pronouncements.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spacing w:after="0" w:line="238" w:lineRule="auto"/>
        <w:rPr>
          <w:sz w:val="20"/>
          <w:szCs w:val="20"/>
          <w:color w:val="auto"/>
        </w:rPr>
      </w:pPr>
      <w:r>
        <w:rPr>
          <w:rFonts w:ascii="Arial" w:cs="Arial" w:eastAsia="Arial" w:hAnsi="Arial"/>
          <w:sz w:val="17"/>
          <w:szCs w:val="17"/>
          <w:i w:val="1"/>
          <w:iCs w:val="1"/>
          <w:color w:val="auto"/>
        </w:rPr>
        <w:t xml:space="preserve">Debt and Interest Rate Risks: </w:t>
      </w:r>
      <w:r>
        <w:rPr>
          <w:rFonts w:ascii="Arial" w:cs="Arial" w:eastAsia="Arial" w:hAnsi="Arial"/>
          <w:sz w:val="17"/>
          <w:szCs w:val="17"/>
          <w:color w:val="auto"/>
        </w:rPr>
        <w:t>The Company is exposed to changes in interest rates, primarily as a result of its borrowing and</w:t>
      </w:r>
      <w:r>
        <w:rPr>
          <w:rFonts w:ascii="Arial" w:cs="Arial" w:eastAsia="Arial" w:hAnsi="Arial"/>
          <w:sz w:val="17"/>
          <w:szCs w:val="17"/>
          <w:i w:val="1"/>
          <w:iCs w:val="1"/>
          <w:color w:val="auto"/>
        </w:rPr>
        <w:t xml:space="preserve"> </w:t>
      </w:r>
      <w:r>
        <w:rPr>
          <w:rFonts w:ascii="Arial" w:cs="Arial" w:eastAsia="Arial" w:hAnsi="Arial"/>
          <w:sz w:val="17"/>
          <w:szCs w:val="17"/>
          <w:color w:val="auto"/>
        </w:rPr>
        <w:t>investing activities used to maintain liquidity and to fund business operations, including borrowings under its revolving credit facility. In order to manage its exposure to changes in interest rates, the Company utilizes a balanced mix of both fixed-rate and variable-rate debt with various maturity dates. The nature and amount of the Company’s outstanding debt is expected to fluctuate as a result of future business requirements, market conditions and other factors. The Company’s outstanding variable and fixed rate debt was $235.0 million and $621.4 million as of December 31, 2018, and $205.0 million and $652.1 million as of December 31, 2017, respectively. Additional information about the Company’s debt is included in Note 8 to the Consolidated Financial Statements in Item 8 of Part II below.</w:t>
      </w:r>
    </w:p>
    <w:p>
      <w:pPr>
        <w:spacing w:after="0" w:line="16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Other than in certain events of default, the Company is not obligated to prepay its variable and fixed rate debt prior to maturity. For fixed rate debt, changes in market interest rates would not affect the Company’s financial condition or results of operations. For variable rate debt, a 100 basis point increase in the variable interest rate would have an impact on the Company’s results of operations for 2018 of approximately $2.4 million, assuming the December 31, 2018 balance of the variable rate debt was outstanding throughout 2018. This change is not expected to have a material impact on the fair value of the Company’s variable rate debt.</w:t>
      </w:r>
    </w:p>
    <w:p>
      <w:pPr>
        <w:spacing w:after="0" w:line="153"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i w:val="1"/>
          <w:iCs w:val="1"/>
          <w:color w:val="auto"/>
        </w:rPr>
        <w:t xml:space="preserve">Investment Risks: </w:t>
      </w:r>
      <w:r>
        <w:rPr>
          <w:rFonts w:ascii="Arial" w:cs="Arial" w:eastAsia="Arial" w:hAnsi="Arial"/>
          <w:sz w:val="18"/>
          <w:szCs w:val="18"/>
          <w:color w:val="auto"/>
        </w:rPr>
        <w:t>From time to time, the Company may invest its excess cash in short-term money market funds that</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government securities or corporate debt securities, or in other deposit products allowed under the Company’s Cash Investment Policy. These money market funds and deposits maintain a weighted average maturity of less than 90 days, and accordingly, a one percent change in interest rates is not expected to have a material impact on the fair value of these investments or on interest income. The Company had a nominal amount on deposit in money market funds as of December 31, 2018 and 2017.</w:t>
      </w:r>
    </w:p>
    <w:p>
      <w:pPr>
        <w:spacing w:after="0" w:line="14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Through its Capital Construction Fund (“CCF”), the Company may, from time to time, invest in money market funds or other eligible investments. The Company’s cash deposits in the CCF at December 31, 2018 was nominal, and for the year ended December 31, 2017 was $0.9 million.</w:t>
      </w:r>
    </w:p>
    <w:p>
      <w:pPr>
        <w:spacing w:after="0" w:line="148"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i w:val="1"/>
          <w:iCs w:val="1"/>
          <w:color w:val="auto"/>
        </w:rPr>
        <w:t xml:space="preserve">Foreign Currency Risks: </w:t>
      </w:r>
      <w:r>
        <w:rPr>
          <w:rFonts w:ascii="Arial" w:cs="Arial" w:eastAsia="Arial" w:hAnsi="Arial"/>
          <w:sz w:val="17"/>
          <w:szCs w:val="17"/>
          <w:color w:val="auto"/>
        </w:rPr>
        <w:t>The Company has no material exposure to foreign currency risks, although it is indirectly affected</w:t>
      </w:r>
      <w:r>
        <w:rPr>
          <w:rFonts w:ascii="Arial" w:cs="Arial" w:eastAsia="Arial" w:hAnsi="Arial"/>
          <w:sz w:val="17"/>
          <w:szCs w:val="17"/>
          <w:i w:val="1"/>
          <w:iCs w:val="1"/>
          <w:color w:val="auto"/>
        </w:rPr>
        <w:t xml:space="preserve"> </w:t>
      </w:r>
      <w:r>
        <w:rPr>
          <w:rFonts w:ascii="Arial" w:cs="Arial" w:eastAsia="Arial" w:hAnsi="Arial"/>
          <w:sz w:val="17"/>
          <w:szCs w:val="17"/>
          <w:color w:val="auto"/>
        </w:rPr>
        <w:t>by changes in currency rates to the extent that changes in rates affect tourism in Hawaii, Guam, Alaska and other locations. Transactions related to its China service are primarily denominated in U.S. dollars, and therefore, a one percent change in the Chinese Yuan exchange rate would not have a material effect on the Company’s results of</w:t>
      </w:r>
    </w:p>
    <w:p>
      <w:pPr>
        <w:ind w:right="80"/>
        <w:spacing w:after="0" w:line="229" w:lineRule="auto"/>
        <w:rPr>
          <w:sz w:val="20"/>
          <w:szCs w:val="20"/>
          <w:color w:val="auto"/>
        </w:rPr>
      </w:pPr>
      <w:r>
        <w:rPr>
          <w:rFonts w:ascii="Arial" w:cs="Arial" w:eastAsia="Arial" w:hAnsi="Arial"/>
          <w:sz w:val="18"/>
          <w:szCs w:val="18"/>
          <w:color w:val="auto"/>
        </w:rPr>
        <w:t>operations. Transactions related to the Company’s South Pacific service are primarily denominated in New Zealand dollars. However, a one percent change in the New Zealand dollar exchange rate is not expected to have a material effect on the Company’s results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gridSpan w:val="2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160" w:type="dxa"/>
            <w:vAlign w:val="bottom"/>
            <w:gridSpan w:val="28"/>
            <w:vMerge w:val="restart"/>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Management’s Annual Report on Internal Control Over Financial Reporting</w:t>
              </w:r>
            </w:hyperlink>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8160" w:type="dxa"/>
            <w:vAlign w:val="bottom"/>
            <w:gridSpan w:val="28"/>
            <w:vMerge w:val="continue"/>
          </w:tcPr>
          <w:p>
            <w:pPr>
              <w:spacing w:after="0"/>
              <w:rPr>
                <w:sz w:val="13"/>
                <w:szCs w:val="13"/>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0"/>
        </w:trPr>
        <w:tc>
          <w:tcPr>
            <w:tcW w:w="4240" w:type="dxa"/>
            <w:vAlign w:val="bottom"/>
            <w:tcBorders>
              <w:top w:val="single" w:sz="8" w:color="0000EE"/>
              <w:bottom w:val="single" w:sz="8" w:color="0000EE"/>
            </w:tcBorders>
            <w:gridSpan w:val="25"/>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Report of Independent Registered Public Accounting Firm</w:t>
              </w:r>
            </w:hyperlink>
          </w:p>
        </w:tc>
        <w:tc>
          <w:tcPr>
            <w:tcW w:w="1240" w:type="dxa"/>
            <w:vAlign w:val="bottom"/>
            <w:tcBorders>
              <w:top w:val="single" w:sz="8" w:color="0000EE"/>
            </w:tcBorders>
            <w:gridSpan w:val="2"/>
          </w:tcPr>
          <w:p>
            <w:pPr>
              <w:spacing w:after="0"/>
              <w:rPr>
                <w:sz w:val="18"/>
                <w:szCs w:val="18"/>
                <w:color w:val="auto"/>
              </w:rPr>
            </w:pPr>
          </w:p>
        </w:tc>
        <w:tc>
          <w:tcPr>
            <w:tcW w:w="2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Income and Comprehensive Income</w:t>
              </w:r>
            </w:hyperlink>
          </w:p>
        </w:tc>
        <w:tc>
          <w:tcPr>
            <w:tcW w:w="352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Consolidated Balance Sheets</w:t>
              </w:r>
            </w:hyperlink>
          </w:p>
        </w:tc>
        <w:tc>
          <w:tcPr>
            <w:tcW w:w="6060" w:type="dxa"/>
            <w:vAlign w:val="bottom"/>
            <w:gridSpan w:val="1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Cash Flows</w:t>
              </w:r>
            </w:hyperlink>
          </w:p>
        </w:tc>
        <w:tc>
          <w:tcPr>
            <w:tcW w:w="5280" w:type="dxa"/>
            <w:vAlign w:val="bottom"/>
            <w:gridSpan w:val="1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Consolidated Statements of Shareholders’ Equity</w:t>
              </w:r>
            </w:hyperlink>
          </w:p>
        </w:tc>
        <w:tc>
          <w:tcPr>
            <w:tcW w:w="460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2"/>
        </w:trPr>
        <w:tc>
          <w:tcPr>
            <w:tcW w:w="316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Notes to Consolidated Financial Statements</w:t>
              </w:r>
            </w:hyperlink>
          </w:p>
        </w:tc>
        <w:tc>
          <w:tcPr>
            <w:tcW w:w="500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1.</w:t>
              </w:r>
            </w:hyperlink>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20" w:type="dxa"/>
            <w:vAlign w:val="bottom"/>
            <w:gridSpan w:val="2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Description of the Business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2.</w:t>
              </w:r>
            </w:hyperlink>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0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48">
              <w:r>
                <w:rPr>
                  <w:rFonts w:ascii="Arial" w:cs="Arial" w:eastAsia="Arial" w:hAnsi="Arial"/>
                  <w:sz w:val="18"/>
                  <w:szCs w:val="18"/>
                  <w:color w:val="0000EE"/>
                  <w:w w:val="93"/>
                </w:rPr>
                <w:t>Significant Accounting Policies</w:t>
              </w:r>
            </w:hyperlink>
          </w:p>
        </w:tc>
        <w:tc>
          <w:tcPr>
            <w:tcW w:w="5320" w:type="dxa"/>
            <w:vAlign w:val="bottom"/>
            <w:gridSpan w:val="1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3.</w:t>
              </w:r>
            </w:hyperlink>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Reportable Segments</w:t>
              </w:r>
            </w:hyperlink>
          </w:p>
        </w:tc>
        <w:tc>
          <w:tcPr>
            <w:tcW w:w="6080" w:type="dxa"/>
            <w:vAlign w:val="bottom"/>
            <w:gridSpan w:val="1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4.</w:t>
              </w:r>
            </w:hyperlink>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Investment in Terminal Joint Venture</w:t>
              </w:r>
            </w:hyperlink>
          </w:p>
        </w:tc>
        <w:tc>
          <w:tcPr>
            <w:tcW w:w="4940" w:type="dxa"/>
            <w:vAlign w:val="bottom"/>
            <w:gridSpan w:val="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w:t>
              </w:r>
            </w:hyperlink>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20" w:type="dxa"/>
            <w:vAlign w:val="bottom"/>
            <w:gridSpan w:val="2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Property and Equipment</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6.</w:t>
              </w:r>
            </w:hyperlink>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Goodwill and Intangible Assets</w:t>
              </w:r>
            </w:hyperlink>
          </w:p>
        </w:tc>
        <w:tc>
          <w:tcPr>
            <w:tcW w:w="5340" w:type="dxa"/>
            <w:vAlign w:val="bottom"/>
            <w:gridSpan w:val="1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7.</w:t>
              </w:r>
            </w:hyperlink>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59">
              <w:r>
                <w:rPr>
                  <w:rFonts w:ascii="Arial" w:cs="Arial" w:eastAsia="Arial" w:hAnsi="Arial"/>
                  <w:sz w:val="18"/>
                  <w:szCs w:val="18"/>
                  <w:color w:val="0000EE"/>
                  <w:w w:val="93"/>
                </w:rPr>
                <w:t>Capital Construction Fund</w:t>
              </w:r>
            </w:hyperlink>
          </w:p>
        </w:tc>
        <w:tc>
          <w:tcPr>
            <w:tcW w:w="5640" w:type="dxa"/>
            <w:vAlign w:val="bottom"/>
            <w:gridSpan w:val="16"/>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8.</w:t>
              </w:r>
            </w:hyperlink>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Debt</w:t>
              </w:r>
            </w:hyperlink>
          </w:p>
        </w:tc>
        <w:tc>
          <w:tcPr>
            <w:tcW w:w="7260" w:type="dxa"/>
            <w:vAlign w:val="bottom"/>
            <w:gridSpan w:val="2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9.</w:t>
              </w:r>
            </w:hyperlink>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rFonts w:ascii="Arial" w:cs="Arial" w:eastAsia="Arial" w:hAnsi="Arial"/>
                <w:sz w:val="18"/>
                <w:szCs w:val="18"/>
                <w:color w:val="0000EE"/>
                <w:w w:val="82"/>
              </w:rPr>
            </w:pPr>
            <w:hyperlink w:anchor="page62">
              <w:r>
                <w:rPr>
                  <w:rFonts w:ascii="Arial" w:cs="Arial" w:eastAsia="Arial" w:hAnsi="Arial"/>
                  <w:sz w:val="18"/>
                  <w:szCs w:val="18"/>
                  <w:color w:val="0000EE"/>
                  <w:w w:val="82"/>
                </w:rPr>
                <w:t>Leases</w:t>
              </w:r>
            </w:hyperlink>
          </w:p>
        </w:tc>
        <w:tc>
          <w:tcPr>
            <w:tcW w:w="7120" w:type="dxa"/>
            <w:vAlign w:val="bottom"/>
            <w:gridSpan w:val="2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220" w:type="dxa"/>
            <w:vAlign w:val="bottom"/>
            <w:gridSpan w:val="2"/>
          </w:tcPr>
          <w:p>
            <w:pPr>
              <w:spacing w:after="0" w:line="19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10.</w:t>
              </w:r>
            </w:hyperlink>
          </w:p>
        </w:tc>
        <w:tc>
          <w:tcPr>
            <w:tcW w:w="320" w:type="dxa"/>
            <w:vAlign w:val="bottom"/>
          </w:tcPr>
          <w:p>
            <w:pPr>
              <w:spacing w:after="0"/>
              <w:rPr>
                <w:sz w:val="17"/>
                <w:szCs w:val="17"/>
                <w:color w:val="auto"/>
              </w:rPr>
            </w:pPr>
          </w:p>
        </w:tc>
        <w:tc>
          <w:tcPr>
            <w:tcW w:w="7620" w:type="dxa"/>
            <w:vAlign w:val="bottom"/>
            <w:gridSpan w:val="25"/>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Income Taxes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11.</w:t>
              </w:r>
            </w:hyperlink>
          </w:p>
        </w:tc>
        <w:tc>
          <w:tcPr>
            <w:tcW w:w="320" w:type="dxa"/>
            <w:vAlign w:val="bottom"/>
          </w:tcPr>
          <w:p>
            <w:pPr>
              <w:spacing w:after="0"/>
              <w:rPr>
                <w:sz w:val="17"/>
                <w:szCs w:val="17"/>
                <w:color w:val="auto"/>
              </w:rPr>
            </w:pPr>
          </w:p>
        </w:tc>
        <w:tc>
          <w:tcPr>
            <w:tcW w:w="25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Pension and Post-Retirement Plans</w:t>
              </w:r>
            </w:hyperlink>
          </w:p>
        </w:tc>
        <w:tc>
          <w:tcPr>
            <w:tcW w:w="5080" w:type="dxa"/>
            <w:vAlign w:val="bottom"/>
            <w:gridSpan w:val="10"/>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22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12.</w:t>
              </w:r>
            </w:hyperlink>
          </w:p>
        </w:tc>
        <w:tc>
          <w:tcPr>
            <w:tcW w:w="320" w:type="dxa"/>
            <w:vAlign w:val="bottom"/>
          </w:tcPr>
          <w:p>
            <w:pPr>
              <w:spacing w:after="0"/>
              <w:rPr>
                <w:sz w:val="17"/>
                <w:szCs w:val="17"/>
                <w:color w:val="auto"/>
              </w:rPr>
            </w:pPr>
          </w:p>
        </w:tc>
        <w:tc>
          <w:tcPr>
            <w:tcW w:w="284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w:anchor="page73">
              <w:r>
                <w:rPr>
                  <w:rFonts w:ascii="Arial" w:cs="Arial" w:eastAsia="Arial" w:hAnsi="Arial"/>
                  <w:sz w:val="18"/>
                  <w:szCs w:val="18"/>
                  <w:color w:val="0000EE"/>
                  <w:w w:val="96"/>
                </w:rPr>
                <w:t>Multi-Employer Withdrawal Liabilities</w:t>
              </w:r>
            </w:hyperlink>
          </w:p>
        </w:tc>
        <w:tc>
          <w:tcPr>
            <w:tcW w:w="4780" w:type="dxa"/>
            <w:vAlign w:val="bottom"/>
            <w:gridSpan w:val="6"/>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220" w:type="dxa"/>
            <w:vAlign w:val="bottom"/>
            <w:gridSpan w:val="2"/>
          </w:tcPr>
          <w:p>
            <w:pPr>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13.</w:t>
              </w:r>
            </w:hyperlink>
          </w:p>
        </w:tc>
        <w:tc>
          <w:tcPr>
            <w:tcW w:w="320" w:type="dxa"/>
            <w:vAlign w:val="bottom"/>
          </w:tcPr>
          <w:p>
            <w:pPr>
              <w:spacing w:after="0"/>
              <w:rPr>
                <w:sz w:val="17"/>
                <w:szCs w:val="17"/>
                <w:color w:val="auto"/>
              </w:rPr>
            </w:pPr>
          </w:p>
        </w:tc>
        <w:tc>
          <w:tcPr>
            <w:tcW w:w="7620" w:type="dxa"/>
            <w:vAlign w:val="bottom"/>
            <w:gridSpan w:val="25"/>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Accumulated Other Comprehensive Income (Loss)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14.</w:t>
              </w:r>
            </w:hyperlink>
          </w:p>
        </w:tc>
        <w:tc>
          <w:tcPr>
            <w:tcW w:w="32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Earnings Per-Share</w:t>
              </w:r>
            </w:hyperlink>
          </w:p>
        </w:tc>
        <w:tc>
          <w:tcPr>
            <w:tcW w:w="2280" w:type="dxa"/>
            <w:vAlign w:val="bottom"/>
            <w:tcBorders>
              <w:top w:val="single" w:sz="8" w:color="0000EE"/>
            </w:tcBorders>
            <w:gridSpan w:val="17"/>
          </w:tcPr>
          <w:p>
            <w:pPr>
              <w:spacing w:after="0"/>
              <w:rPr>
                <w:sz w:val="17"/>
                <w:szCs w:val="17"/>
                <w:color w:val="auto"/>
              </w:rPr>
            </w:pPr>
          </w:p>
        </w:tc>
        <w:tc>
          <w:tcPr>
            <w:tcW w:w="3940" w:type="dxa"/>
            <w:vAlign w:val="bottom"/>
            <w:gridSpan w:val="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220" w:type="dxa"/>
            <w:vAlign w:val="bottom"/>
            <w:gridSpan w:val="2"/>
          </w:tcPr>
          <w:p>
            <w:pPr>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15.</w:t>
              </w:r>
            </w:hyperlink>
          </w:p>
        </w:tc>
        <w:tc>
          <w:tcPr>
            <w:tcW w:w="320" w:type="dxa"/>
            <w:vAlign w:val="bottom"/>
          </w:tcPr>
          <w:p>
            <w:pPr>
              <w:spacing w:after="0"/>
              <w:rPr>
                <w:sz w:val="17"/>
                <w:szCs w:val="17"/>
                <w:color w:val="auto"/>
              </w:rPr>
            </w:pPr>
          </w:p>
        </w:tc>
        <w:tc>
          <w:tcPr>
            <w:tcW w:w="7620" w:type="dxa"/>
            <w:vAlign w:val="bottom"/>
            <w:gridSpan w:val="25"/>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Share-Based Awards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16.</w:t>
              </w:r>
            </w:hyperlink>
          </w:p>
        </w:tc>
        <w:tc>
          <w:tcPr>
            <w:tcW w:w="320" w:type="dxa"/>
            <w:vAlign w:val="bottom"/>
          </w:tcPr>
          <w:p>
            <w:pPr>
              <w:spacing w:after="0"/>
              <w:rPr>
                <w:sz w:val="17"/>
                <w:szCs w:val="17"/>
                <w:color w:val="auto"/>
              </w:rPr>
            </w:pPr>
          </w:p>
        </w:tc>
        <w:tc>
          <w:tcPr>
            <w:tcW w:w="25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76">
              <w:r>
                <w:rPr>
                  <w:rFonts w:ascii="Arial" w:cs="Arial" w:eastAsia="Arial" w:hAnsi="Arial"/>
                  <w:sz w:val="18"/>
                  <w:szCs w:val="18"/>
                  <w:color w:val="0000EE"/>
                  <w:w w:val="91"/>
                </w:rPr>
                <w:t>Fair Value of Financial Instruments</w:t>
              </w:r>
            </w:hyperlink>
          </w:p>
        </w:tc>
        <w:tc>
          <w:tcPr>
            <w:tcW w:w="5060" w:type="dxa"/>
            <w:vAlign w:val="bottom"/>
            <w:gridSpan w:val="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220" w:type="dxa"/>
            <w:vAlign w:val="bottom"/>
            <w:gridSpan w:val="2"/>
          </w:tcPr>
          <w:p>
            <w:pPr>
              <w:spacing w:after="0" w:line="196"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17.</w:t>
              </w:r>
            </w:hyperlink>
          </w:p>
        </w:tc>
        <w:tc>
          <w:tcPr>
            <w:tcW w:w="320" w:type="dxa"/>
            <w:vAlign w:val="bottom"/>
          </w:tcPr>
          <w:p>
            <w:pPr>
              <w:spacing w:after="0"/>
              <w:rPr>
                <w:sz w:val="17"/>
                <w:szCs w:val="17"/>
                <w:color w:val="auto"/>
              </w:rPr>
            </w:pPr>
          </w:p>
        </w:tc>
        <w:tc>
          <w:tcPr>
            <w:tcW w:w="7620" w:type="dxa"/>
            <w:vAlign w:val="bottom"/>
            <w:gridSpan w:val="2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Commitments and Contingencies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18.</w:t>
              </w:r>
            </w:hyperlink>
          </w:p>
        </w:tc>
        <w:tc>
          <w:tcPr>
            <w:tcW w:w="32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77">
              <w:r>
                <w:rPr>
                  <w:rFonts w:ascii="Arial" w:cs="Arial" w:eastAsia="Arial" w:hAnsi="Arial"/>
                  <w:sz w:val="18"/>
                  <w:szCs w:val="18"/>
                  <w:color w:val="0000EE"/>
                  <w:w w:val="91"/>
                </w:rPr>
                <w:t>Business Combinations</w:t>
              </w:r>
            </w:hyperlink>
          </w:p>
        </w:tc>
        <w:tc>
          <w:tcPr>
            <w:tcW w:w="640" w:type="dxa"/>
            <w:vAlign w:val="bottom"/>
            <w:tcBorders>
              <w:top w:val="single" w:sz="8" w:color="0000EE"/>
            </w:tcBorders>
            <w:gridSpan w:val="5"/>
          </w:tcPr>
          <w:p>
            <w:pPr>
              <w:spacing w:after="0"/>
              <w:rPr>
                <w:sz w:val="17"/>
                <w:szCs w:val="17"/>
                <w:color w:val="auto"/>
              </w:rPr>
            </w:pPr>
          </w:p>
        </w:tc>
        <w:tc>
          <w:tcPr>
            <w:tcW w:w="5220" w:type="dxa"/>
            <w:vAlign w:val="bottom"/>
            <w:gridSpan w:val="1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22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19.</w:t>
              </w:r>
            </w:hyperlink>
          </w:p>
        </w:tc>
        <w:tc>
          <w:tcPr>
            <w:tcW w:w="320" w:type="dxa"/>
            <w:vAlign w:val="bottom"/>
          </w:tcPr>
          <w:p>
            <w:pPr>
              <w:spacing w:after="0"/>
              <w:rPr>
                <w:sz w:val="17"/>
                <w:szCs w:val="17"/>
                <w:color w:val="auto"/>
              </w:rPr>
            </w:pPr>
          </w:p>
        </w:tc>
        <w:tc>
          <w:tcPr>
            <w:tcW w:w="252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78">
              <w:r>
                <w:rPr>
                  <w:rFonts w:ascii="Arial" w:cs="Arial" w:eastAsia="Arial" w:hAnsi="Arial"/>
                  <w:sz w:val="18"/>
                  <w:szCs w:val="18"/>
                  <w:color w:val="0000EE"/>
                  <w:w w:val="93"/>
                </w:rPr>
                <w:t>Quarterly Information (Unaudited)</w:t>
              </w:r>
            </w:hyperlink>
          </w:p>
        </w:tc>
        <w:tc>
          <w:tcPr>
            <w:tcW w:w="5100" w:type="dxa"/>
            <w:vAlign w:val="bottom"/>
            <w:gridSpan w:val="11"/>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66"/>
        </w:trPr>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gridSpan w:val="23"/>
          </w:tcPr>
          <w:p>
            <w:pPr>
              <w:ind w:left="3900"/>
              <w:spacing w:after="0"/>
              <w:rPr>
                <w:sz w:val="20"/>
                <w:szCs w:val="20"/>
                <w:color w:val="auto"/>
              </w:rPr>
            </w:pPr>
            <w:r>
              <w:rPr>
                <w:rFonts w:ascii="Arial" w:cs="Arial" w:eastAsia="Arial" w:hAnsi="Arial"/>
                <w:sz w:val="18"/>
                <w:szCs w:val="18"/>
                <w:color w:val="auto"/>
                <w:w w:val="89"/>
              </w:rPr>
              <w:t>38</w:t>
            </w:r>
          </w:p>
        </w:tc>
        <w:tc>
          <w:tcPr>
            <w:tcW w:w="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management of Matson, Inc. and subsidiaries (the “Company”) has the responsibility for establishing and maintaining adequate internal control over financial reporting. Internal control over financial reporting is defined in Rule 13a-15(f) and 15d-15(f)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spacing w:after="0" w:line="178" w:lineRule="exact"/>
        <w:rPr>
          <w:sz w:val="20"/>
          <w:szCs w:val="20"/>
          <w:color w:val="auto"/>
        </w:rPr>
      </w:pPr>
    </w:p>
    <w:p>
      <w:pPr>
        <w:ind w:left="320" w:right="700" w:hanging="317"/>
        <w:spacing w:after="0" w:line="277" w:lineRule="auto"/>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assets of the company;</w:t>
      </w:r>
    </w:p>
    <w:p>
      <w:pPr>
        <w:spacing w:after="0" w:line="170" w:lineRule="exact"/>
        <w:rPr>
          <w:rFonts w:ascii="Arial" w:cs="Arial" w:eastAsia="Arial" w:hAnsi="Arial"/>
          <w:sz w:val="18"/>
          <w:szCs w:val="18"/>
          <w:color w:val="auto"/>
        </w:rPr>
      </w:pPr>
    </w:p>
    <w:p>
      <w:pPr>
        <w:ind w:left="320" w:right="80" w:hanging="317"/>
        <w:spacing w:after="0" w:line="259" w:lineRule="auto"/>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86" w:lineRule="exact"/>
        <w:rPr>
          <w:rFonts w:ascii="Arial" w:cs="Arial" w:eastAsia="Arial" w:hAnsi="Arial"/>
          <w:sz w:val="18"/>
          <w:szCs w:val="18"/>
          <w:color w:val="auto"/>
        </w:rPr>
      </w:pPr>
    </w:p>
    <w:p>
      <w:pPr>
        <w:ind w:left="320" w:right="100" w:hanging="317"/>
        <w:spacing w:after="0" w:line="277" w:lineRule="auto"/>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only provides reasonable assurance with respect to financial statement presentation and preparation.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Management assessed the effectiveness of the Company’s internal control over financial reporting as of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2018. In making this assessment, management used the criteria set forth by the Committee of Sponsoring Organizations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Based on its assessment,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that, as of December 31, 2018, the Company’s internal control over financial reporting 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effective. The Company’s independent registered public accounting firm, Deloitte &amp; Touche LLP, has issued an attestation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report on the Company’s internal control over financial reporting.</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Cox</w:t>
            </w: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M. Wine</w:t>
            </w:r>
          </w:p>
        </w:tc>
      </w:tr>
      <w:tr>
        <w:trPr>
          <w:trHeight w:val="195"/>
        </w:trPr>
        <w:tc>
          <w:tcPr>
            <w:tcW w:w="3620" w:type="dxa"/>
            <w:vAlign w:val="bottom"/>
          </w:tcPr>
          <w:p>
            <w:pPr>
              <w:spacing w:after="0" w:line="195" w:lineRule="exact"/>
              <w:rPr>
                <w:sz w:val="20"/>
                <w:szCs w:val="20"/>
                <w:color w:val="auto"/>
              </w:rPr>
            </w:pPr>
            <w:r>
              <w:rPr>
                <w:rFonts w:ascii="Arial" w:cs="Arial" w:eastAsia="Arial" w:hAnsi="Arial"/>
                <w:sz w:val="18"/>
                <w:szCs w:val="18"/>
                <w:color w:val="auto"/>
              </w:rPr>
              <w:t>Matthew J. Cox</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Joel M. Wine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March 4, 2019</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March 4, 2019</w:t>
            </w:r>
          </w:p>
        </w:tc>
      </w:tr>
      <w:tr>
        <w:trPr>
          <w:trHeight w:val="662"/>
        </w:trPr>
        <w:tc>
          <w:tcPr>
            <w:tcW w:w="36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4420" w:type="dxa"/>
            <w:vAlign w:val="bottom"/>
          </w:tcPr>
          <w:p>
            <w:pPr>
              <w:spacing w:after="0"/>
              <w:rPr>
                <w:sz w:val="24"/>
                <w:szCs w:val="24"/>
                <w:color w:val="auto"/>
              </w:rPr>
            </w:pPr>
          </w:p>
        </w:tc>
      </w:tr>
      <w:tr>
        <w:trPr>
          <w:trHeight w:val="777"/>
        </w:trPr>
        <w:tc>
          <w:tcPr>
            <w:tcW w:w="3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the Board of Directors and Shareholders of Matson, Inc.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Opinions on the Financial Statements and Internal Control over Financial Reporting</w:t>
      </w:r>
    </w:p>
    <w:p>
      <w:pPr>
        <w:spacing w:after="0" w:line="23"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 xml:space="preserve">We have audited the accompanying consolidated balance sheets of Matson, Inc. and subsidiaries (the "Company") as of December 31, 2018 and 2017, the related consolidated statements of income and comprehensive income, shareholders' equity, and cash flows for each of the three years in the period ended December 31, 2018, and the related notes (collectively referred to as the “financial statements”). We also have audited the Company's internal control over financial reporting as of December 31, 2018, based on criteria established in </w:t>
      </w:r>
      <w:r>
        <w:rPr>
          <w:rFonts w:ascii="Arial" w:cs="Arial" w:eastAsia="Arial" w:hAnsi="Arial"/>
          <w:sz w:val="14"/>
          <w:szCs w:val="14"/>
          <w:i w:val="1"/>
          <w:iCs w:val="1"/>
          <w:color w:val="auto"/>
        </w:rPr>
        <w:t>Internal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Control — Integrated Framework (2013) </w:t>
      </w:r>
      <w:r>
        <w:rPr>
          <w:rFonts w:ascii="Arial" w:cs="Arial" w:eastAsia="Arial" w:hAnsi="Arial"/>
          <w:sz w:val="14"/>
          <w:szCs w:val="14"/>
          <w:color w:val="auto"/>
        </w:rPr>
        <w:t>issued by the Committee of Sponsoring Organizations of the Treadway Commission (COSO).</w:t>
      </w:r>
    </w:p>
    <w:p>
      <w:pPr>
        <w:spacing w:after="0" w:line="138"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 xml:space="preserve">In our opinion, the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the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COSO.</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Opinions</w:t>
      </w:r>
    </w:p>
    <w:p>
      <w:pPr>
        <w:spacing w:after="0" w:line="2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jc w:val="both"/>
        <w:ind w:right="200"/>
        <w:spacing w:after="0" w:line="26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and whether effective internal control over financial reporting was maintained in all material respects.</w:t>
      </w:r>
    </w:p>
    <w:p>
      <w:pPr>
        <w:spacing w:after="0" w:line="156"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3"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2"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Honolulu, Hawaii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4, 2019</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at least 1976; however, an earlier year could not be reliably determined.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8"/>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10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20"/>
              <w:spacing w:after="0"/>
              <w:rPr>
                <w:sz w:val="20"/>
                <w:szCs w:val="20"/>
                <w:color w:val="auto"/>
              </w:rPr>
            </w:pPr>
            <w:r>
              <w:rPr>
                <w:rFonts w:ascii="Arial" w:cs="Arial" w:eastAsia="Arial" w:hAnsi="Arial"/>
                <w:sz w:val="18"/>
                <w:szCs w:val="18"/>
                <w:color w:val="auto"/>
              </w:rPr>
              <w:t>Ocean Transportation</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1,641.3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9"/>
              </w:rPr>
              <w:t>1,571.8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9"/>
              </w:rPr>
              <w:t>1,541.1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2,046.9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1,941.6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costs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(1,875.0)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(1,721.0)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(1,617.6)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20"/>
              <w:spacing w:after="0"/>
              <w:rPr>
                <w:sz w:val="20"/>
                <w:szCs w:val="20"/>
                <w:color w:val="auto"/>
              </w:rPr>
            </w:pPr>
            <w:r>
              <w:rPr>
                <w:rFonts w:ascii="Arial" w:cs="Arial" w:eastAsia="Arial" w:hAnsi="Arial"/>
                <w:sz w:val="18"/>
                <w:szCs w:val="18"/>
                <w:color w:val="auto"/>
              </w:rPr>
              <w:t>Equity in income of Terminal Joint Venture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(2,059.0)</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(1,899.6)</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(1,784.9)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610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7"/>
        </w:trPr>
        <w:tc>
          <w:tcPr>
            <w:tcW w:w="6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109.0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231.0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320"/>
              <w:spacing w:after="0"/>
              <w:rPr>
                <w:sz w:val="20"/>
                <w:szCs w:val="20"/>
                <w:color w:val="auto"/>
              </w:rPr>
            </w:pPr>
            <w:r>
              <w:rPr>
                <w:rFonts w:ascii="Arial" w:cs="Arial" w:eastAsia="Arial" w:hAnsi="Arial"/>
                <w:sz w:val="18"/>
                <w:szCs w:val="18"/>
                <w:color w:val="auto"/>
              </w:rPr>
              <w:t>Net gain in prior service cost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prior service cost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100" w:type="dxa"/>
            <w:vAlign w:val="bottom"/>
          </w:tcPr>
          <w:p>
            <w:pPr>
              <w:ind w:left="320"/>
              <w:spacing w:after="0"/>
              <w:rPr>
                <w:sz w:val="20"/>
                <w:szCs w:val="20"/>
                <w:color w:val="auto"/>
              </w:rPr>
            </w:pPr>
            <w:r>
              <w:rPr>
                <w:rFonts w:ascii="Arial" w:cs="Arial" w:eastAsia="Arial" w:hAnsi="Arial"/>
                <w:sz w:val="18"/>
                <w:szCs w:val="18"/>
                <w:color w:val="auto"/>
              </w:rPr>
              <w:t>Amortization of net loss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adjustments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Diluted Earnings Per-Share: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ind w:left="1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0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20"/>
              <w:spacing w:after="0"/>
              <w:rPr>
                <w:sz w:val="20"/>
                <w:szCs w:val="20"/>
                <w:color w:val="auto"/>
              </w:rPr>
            </w:pPr>
            <w:r>
              <w:rPr>
                <w:rFonts w:ascii="Arial" w:cs="Arial" w:eastAsia="Arial" w:hAnsi="Arial"/>
                <w:sz w:val="18"/>
                <w:szCs w:val="18"/>
                <w:color w:val="auto"/>
              </w:rPr>
              <w:t>Investment in Terminal Joint Venture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1,366.6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20"/>
              <w:spacing w:after="0"/>
              <w:rPr>
                <w:sz w:val="20"/>
                <w:szCs w:val="20"/>
                <w:color w:val="auto"/>
              </w:rPr>
            </w:pPr>
            <w:r>
              <w:rPr>
                <w:rFonts w:ascii="Arial" w:cs="Arial" w:eastAsia="Arial" w:hAnsi="Arial"/>
                <w:sz w:val="18"/>
                <w:szCs w:val="18"/>
                <w:color w:val="auto"/>
              </w:rPr>
              <w:t>Deferred dry-docking costs,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long-term assets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2,112.0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1,985.6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2,430.4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2,251.6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debt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Accruals and other liabilities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long-term liabilities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1,304.3</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1,288.1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Commitments and Contingencies (Note 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0" w:type="dxa"/>
            <w:vAlign w:val="bottom"/>
          </w:tcPr>
          <w:p>
            <w:pPr>
              <w:ind w:left="220"/>
              <w:spacing w:after="0" w:line="201" w:lineRule="exact"/>
              <w:rPr>
                <w:sz w:val="20"/>
                <w:szCs w:val="20"/>
                <w:color w:val="auto"/>
              </w:rPr>
            </w:pPr>
            <w:r>
              <w:rPr>
                <w:rFonts w:ascii="Arial" w:cs="Arial" w:eastAsia="Arial" w:hAnsi="Arial"/>
                <w:sz w:val="18"/>
                <w:szCs w:val="18"/>
                <w:color w:val="auto"/>
                <w:w w:val="94"/>
              </w:rPr>
              <w:t>Common stock - common stock without par value; authorized, 150.0 million shares ($0.75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20"/>
              <w:spacing w:after="0"/>
              <w:rPr>
                <w:sz w:val="20"/>
                <w:szCs w:val="20"/>
                <w:color w:val="auto"/>
              </w:rPr>
            </w:pPr>
            <w:r>
              <w:rPr>
                <w:rFonts w:ascii="Arial" w:cs="Arial" w:eastAsia="Arial" w:hAnsi="Arial"/>
                <w:sz w:val="18"/>
                <w:szCs w:val="18"/>
                <w:color w:val="auto"/>
                <w:w w:val="93"/>
              </w:rPr>
              <w:t>stated value per share); outstanding, 42.7 million shares in 2018 and 42.5 million shares in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 in capital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20"/>
              <w:spacing w:after="0"/>
              <w:rPr>
                <w:sz w:val="20"/>
                <w:szCs w:val="20"/>
                <w:color w:val="auto"/>
              </w:rPr>
            </w:pPr>
            <w:r>
              <w:rPr>
                <w:rFonts w:ascii="Arial" w:cs="Arial" w:eastAsia="Arial" w:hAnsi="Arial"/>
                <w:sz w:val="18"/>
                <w:szCs w:val="18"/>
                <w:color w:val="auto"/>
              </w:rPr>
              <w:t>Accumulated other comprehensive loss,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2,430.4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2,251.6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3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109.0</w:t>
            </w:r>
          </w:p>
        </w:tc>
        <w:tc>
          <w:tcPr>
            <w:tcW w:w="3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231.0</w:t>
            </w:r>
          </w:p>
        </w:tc>
        <w:tc>
          <w:tcPr>
            <w:tcW w:w="44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Reconciling adjustments: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300"/>
              <w:spacing w:after="0" w:line="149" w:lineRule="exact"/>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94.4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101.2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300"/>
              <w:spacing w:after="0" w:line="149" w:lineRule="exact"/>
              <w:rPr>
                <w:sz w:val="20"/>
                <w:szCs w:val="20"/>
                <w:color w:val="auto"/>
              </w:rPr>
            </w:pPr>
            <w:r>
              <w:rPr>
                <w:rFonts w:ascii="Arial" w:cs="Arial" w:eastAsia="Arial" w:hAnsi="Arial"/>
                <w:sz w:val="14"/>
                <w:szCs w:val="14"/>
                <w:color w:val="auto"/>
              </w:rPr>
              <w:t>(Gain) Loss on disposal of property and equipment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Share-based compensation expense</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300"/>
              <w:spacing w:after="0" w:line="149" w:lineRule="exact"/>
              <w:rPr>
                <w:sz w:val="20"/>
                <w:szCs w:val="20"/>
                <w:color w:val="auto"/>
              </w:rPr>
            </w:pPr>
            <w:r>
              <w:rPr>
                <w:rFonts w:ascii="Arial" w:cs="Arial" w:eastAsia="Arial" w:hAnsi="Arial"/>
                <w:sz w:val="14"/>
                <w:szCs w:val="14"/>
                <w:color w:val="auto"/>
              </w:rPr>
              <w:t>Equity in income of Terminal Joint Venture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Distributions from Terminal Joint Venture</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300"/>
              <w:spacing w:after="0" w:line="149" w:lineRule="exact"/>
              <w:rPr>
                <w:sz w:val="20"/>
                <w:szCs w:val="20"/>
                <w:color w:val="auto"/>
              </w:rPr>
            </w:pPr>
            <w:r>
              <w:rPr>
                <w:rFonts w:ascii="Arial" w:cs="Arial" w:eastAsia="Arial" w:hAnsi="Arial"/>
                <w:sz w:val="14"/>
                <w:szCs w:val="14"/>
                <w:color w:val="auto"/>
              </w:rPr>
              <w:t>Tax benefit from equity issuance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Tax benefit from stock-based compensation</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200"/>
              <w:spacing w:after="0" w:line="149" w:lineRule="exact"/>
              <w:rPr>
                <w:sz w:val="20"/>
                <w:szCs w:val="20"/>
                <w:color w:val="auto"/>
              </w:rPr>
            </w:pPr>
            <w:r>
              <w:rPr>
                <w:rFonts w:ascii="Arial" w:cs="Arial" w:eastAsia="Arial" w:hAnsi="Arial"/>
                <w:sz w:val="14"/>
                <w:szCs w:val="14"/>
                <w:color w:val="auto"/>
              </w:rPr>
              <w:t>Changes in assets and liabilities: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Accounts receivable, net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300"/>
              <w:spacing w:after="0" w:line="149" w:lineRule="exact"/>
              <w:rPr>
                <w:sz w:val="20"/>
                <w:szCs w:val="20"/>
                <w:color w:val="auto"/>
              </w:rPr>
            </w:pPr>
            <w:r>
              <w:rPr>
                <w:rFonts w:ascii="Arial" w:cs="Arial" w:eastAsia="Arial" w:hAnsi="Arial"/>
                <w:sz w:val="14"/>
                <w:szCs w:val="14"/>
                <w:color w:val="auto"/>
              </w:rPr>
              <w:t>Deferred dry-docking payments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(54.6)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Deferred dry-docking amortization</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300"/>
              <w:spacing w:after="0" w:line="149" w:lineRule="exact"/>
              <w:rPr>
                <w:sz w:val="20"/>
                <w:szCs w:val="20"/>
                <w:color w:val="auto"/>
              </w:rPr>
            </w:pPr>
            <w:r>
              <w:rPr>
                <w:rFonts w:ascii="Arial" w:cs="Arial" w:eastAsia="Arial" w:hAnsi="Arial"/>
                <w:sz w:val="14"/>
                <w:szCs w:val="14"/>
                <w:color w:val="auto"/>
              </w:rPr>
              <w:t>Prepaid expenses and other assets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Accounts payable, accruals and other liabilities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Borders>
              <w:bottom w:val="single" w:sz="8" w:color="CCEEFF"/>
            </w:tcBorders>
          </w:tcPr>
          <w:p>
            <w:pPr>
              <w:ind w:left="300"/>
              <w:spacing w:after="0" w:line="149" w:lineRule="exact"/>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operating activities</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305.0</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224.9</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200"/>
              <w:spacing w:after="0" w:line="149" w:lineRule="exact"/>
              <w:rPr>
                <w:sz w:val="20"/>
                <w:szCs w:val="20"/>
                <w:color w:val="auto"/>
              </w:rPr>
            </w:pPr>
            <w:r>
              <w:rPr>
                <w:rFonts w:ascii="Arial" w:cs="Arial" w:eastAsia="Arial" w:hAnsi="Arial"/>
                <w:sz w:val="14"/>
                <w:szCs w:val="14"/>
                <w:color w:val="auto"/>
              </w:rPr>
              <w:t>Capitalized vessel construction expenditure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(338.6)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(252.0)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capital expenditures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200"/>
              <w:spacing w:after="0" w:line="149" w:lineRule="exact"/>
              <w:rPr>
                <w:sz w:val="20"/>
                <w:szCs w:val="20"/>
                <w:color w:val="auto"/>
              </w:rPr>
            </w:pPr>
            <w:r>
              <w:rPr>
                <w:rFonts w:ascii="Arial" w:cs="Arial" w:eastAsia="Arial" w:hAnsi="Arial"/>
                <w:sz w:val="14"/>
                <w:szCs w:val="14"/>
                <w:color w:val="auto"/>
              </w:rPr>
              <w:t>Proceeds from (payments for) disposal of property and equipment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136.3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deposits into Capital Construction Fund</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200"/>
              <w:spacing w:after="0" w:line="149" w:lineRule="exact"/>
              <w:rPr>
                <w:sz w:val="20"/>
                <w:szCs w:val="20"/>
                <w:color w:val="auto"/>
              </w:rPr>
            </w:pPr>
            <w:r>
              <w:rPr>
                <w:rFonts w:ascii="Arial" w:cs="Arial" w:eastAsia="Arial" w:hAnsi="Arial"/>
                <w:sz w:val="14"/>
                <w:szCs w:val="14"/>
                <w:color w:val="auto"/>
              </w:rPr>
              <w:t>Withdrawals from Capital Construction Fund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340.9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201.7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sale of other investments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Payments for membership interests in Span Alaska, net of cash acquired</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(112.6)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used in investing activities</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(260.3)</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(276.9)</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200"/>
              <w:spacing w:after="0" w:line="149" w:lineRule="exact"/>
              <w:rPr>
                <w:sz w:val="20"/>
                <w:szCs w:val="20"/>
                <w:color w:val="auto"/>
              </w:rPr>
            </w:pPr>
            <w:r>
              <w:rPr>
                <w:rFonts w:ascii="Arial" w:cs="Arial" w:eastAsia="Arial" w:hAnsi="Arial"/>
                <w:sz w:val="14"/>
                <w:szCs w:val="14"/>
                <w:color w:val="auto"/>
              </w:rPr>
              <w:t>Proceeds from issuance of debt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Repayments of debt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200"/>
              <w:spacing w:after="0" w:line="149" w:lineRule="exact"/>
              <w:rPr>
                <w:sz w:val="20"/>
                <w:szCs w:val="20"/>
                <w:color w:val="auto"/>
              </w:rPr>
            </w:pPr>
            <w:r>
              <w:rPr>
                <w:rFonts w:ascii="Arial" w:cs="Arial" w:eastAsia="Arial" w:hAnsi="Arial"/>
                <w:sz w:val="14"/>
                <w:szCs w:val="14"/>
                <w:color w:val="auto"/>
              </w:rPr>
              <w:t>Repayment of capital leases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revolving credit facility</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200"/>
              <w:spacing w:after="0" w:line="149" w:lineRule="exact"/>
              <w:rPr>
                <w:sz w:val="20"/>
                <w:szCs w:val="20"/>
                <w:color w:val="auto"/>
              </w:rPr>
            </w:pPr>
            <w:r>
              <w:rPr>
                <w:rFonts w:ascii="Arial" w:cs="Arial" w:eastAsia="Arial" w:hAnsi="Arial"/>
                <w:sz w:val="14"/>
                <w:szCs w:val="14"/>
                <w:color w:val="auto"/>
              </w:rPr>
              <w:t>Repayments of revolving credit facility</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(933.9)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(319.0)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(1,048.0)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 of financing costs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200"/>
              <w:spacing w:after="0" w:line="149" w:lineRule="exact"/>
              <w:rPr>
                <w:sz w:val="20"/>
                <w:szCs w:val="20"/>
                <w:color w:val="auto"/>
              </w:rPr>
            </w:pPr>
            <w:r>
              <w:rPr>
                <w:rFonts w:ascii="Arial" w:cs="Arial" w:eastAsia="Arial" w:hAnsi="Arial"/>
                <w:sz w:val="14"/>
                <w:szCs w:val="14"/>
                <w:color w:val="auto"/>
              </w:rPr>
              <w:t>Proceeds from issuance of common stock</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 paid</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200"/>
              <w:spacing w:after="0" w:line="149" w:lineRule="exact"/>
              <w:rPr>
                <w:sz w:val="20"/>
                <w:szCs w:val="20"/>
                <w:color w:val="auto"/>
              </w:rPr>
            </w:pPr>
            <w:r>
              <w:rPr>
                <w:rFonts w:ascii="Arial" w:cs="Arial" w:eastAsia="Arial" w:hAnsi="Arial"/>
                <w:sz w:val="14"/>
                <w:szCs w:val="14"/>
                <w:color w:val="auto"/>
              </w:rPr>
              <w:t>Repurchase of Matson common stock</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Tax withholding related to net share settlements of restricted stock units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200"/>
              <w:spacing w:after="0" w:line="149" w:lineRule="exact"/>
              <w:rPr>
                <w:sz w:val="20"/>
                <w:szCs w:val="20"/>
                <w:color w:val="auto"/>
              </w:rPr>
            </w:pPr>
            <w:r>
              <w:rPr>
                <w:rFonts w:ascii="Arial" w:cs="Arial" w:eastAsia="Arial" w:hAnsi="Arial"/>
                <w:sz w:val="14"/>
                <w:szCs w:val="14"/>
                <w:color w:val="auto"/>
              </w:rPr>
              <w:t>Tax benefit from stock-based compensation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Payments of Span Alaska debt</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cash (used in) provided by financing activities</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(40.0)</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57.9</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40" w:type="dxa"/>
            <w:vAlign w:val="bottom"/>
          </w:tcPr>
          <w:p>
            <w:pPr>
              <w:spacing w:after="0" w:line="149" w:lineRule="exact"/>
              <w:rPr>
                <w:sz w:val="20"/>
                <w:szCs w:val="20"/>
                <w:color w:val="auto"/>
              </w:rPr>
            </w:pPr>
            <w:r>
              <w:rPr>
                <w:rFonts w:ascii="Arial" w:cs="Arial" w:eastAsia="Arial" w:hAnsi="Arial"/>
                <w:sz w:val="14"/>
                <w:szCs w:val="14"/>
                <w:color w:val="auto"/>
              </w:rPr>
              <w:t>Net Increase (Decrease) in Cash, Cash Equivalents and Restricted Cash</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Beginning of the Year</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gridSpan w:val="2"/>
          </w:tcPr>
          <w:p>
            <w:pPr>
              <w:spacing w:after="0" w:line="142" w:lineRule="exact"/>
              <w:rPr>
                <w:sz w:val="20"/>
                <w:szCs w:val="20"/>
                <w:color w:val="auto"/>
              </w:rPr>
            </w:pPr>
            <w:r>
              <w:rPr>
                <w:rFonts w:ascii="Arial" w:cs="Arial" w:eastAsia="Arial" w:hAnsi="Arial"/>
                <w:sz w:val="14"/>
                <w:szCs w:val="14"/>
                <w:color w:val="auto"/>
              </w:rPr>
              <w:t>Cash, Cash Equivalents and Restricted Cash, End of the Year</w:t>
            </w:r>
          </w:p>
        </w:tc>
        <w:tc>
          <w:tcPr>
            <w:tcW w:w="220" w:type="dxa"/>
            <w:vAlign w:val="bottom"/>
          </w:tcPr>
          <w:p>
            <w:pPr>
              <w:spacing w:after="0"/>
              <w:rPr>
                <w:sz w:val="12"/>
                <w:szCs w:val="12"/>
                <w:color w:val="auto"/>
              </w:rPr>
            </w:pPr>
          </w:p>
        </w:tc>
        <w:tc>
          <w:tcPr>
            <w:tcW w:w="160" w:type="dxa"/>
            <w:vAlign w:val="bottom"/>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24.5</w:t>
            </w:r>
          </w:p>
        </w:tc>
        <w:tc>
          <w:tcPr>
            <w:tcW w:w="220" w:type="dxa"/>
            <w:vAlign w:val="bottom"/>
          </w:tcPr>
          <w:p>
            <w:pPr>
              <w:spacing w:after="0"/>
              <w:rPr>
                <w:sz w:val="12"/>
                <w:szCs w:val="12"/>
                <w:color w:val="auto"/>
              </w:rPr>
            </w:pPr>
          </w:p>
        </w:tc>
        <w:tc>
          <w:tcPr>
            <w:tcW w:w="160" w:type="dxa"/>
            <w:vAlign w:val="bottom"/>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19.8</w:t>
            </w:r>
          </w:p>
        </w:tc>
        <w:tc>
          <w:tcPr>
            <w:tcW w:w="22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13.9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40" w:type="dxa"/>
            <w:vAlign w:val="bottom"/>
          </w:tcPr>
          <w:p>
            <w:pPr>
              <w:spacing w:after="0" w:line="149" w:lineRule="exact"/>
              <w:rPr>
                <w:sz w:val="20"/>
                <w:szCs w:val="20"/>
                <w:color w:val="auto"/>
              </w:rPr>
            </w:pPr>
            <w:r>
              <w:rPr>
                <w:rFonts w:ascii="Arial" w:cs="Arial" w:eastAsia="Arial" w:hAnsi="Arial"/>
                <w:sz w:val="14"/>
                <w:szCs w:val="14"/>
                <w:color w:val="auto"/>
              </w:rPr>
              <w:t>Reconciliation of Cash, Cash Equivalents, and Restricted Cash, at End of the Year: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3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3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44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Borders>
              <w:top w:val="single" w:sz="8" w:color="CCEEFF"/>
              <w:bottom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Cash, Cash Equivalents and Restricted Cash, End of the Year</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24.5</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Information:</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200"/>
              <w:spacing w:after="0" w:line="149" w:lineRule="exact"/>
              <w:rPr>
                <w:sz w:val="20"/>
                <w:szCs w:val="20"/>
                <w:color w:val="auto"/>
              </w:rPr>
            </w:pPr>
            <w:r>
              <w:rPr>
                <w:rFonts w:ascii="Arial" w:cs="Arial" w:eastAsia="Arial" w:hAnsi="Arial"/>
                <w:sz w:val="14"/>
                <w:szCs w:val="14"/>
                <w:color w:val="auto"/>
              </w:rPr>
              <w:t>Interest paid, net of capitalized interest</w:t>
            </w:r>
          </w:p>
        </w:tc>
        <w:tc>
          <w:tcPr>
            <w:tcW w:w="3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3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23.9</w:t>
            </w:r>
          </w:p>
        </w:tc>
        <w:tc>
          <w:tcPr>
            <w:tcW w:w="44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tax paid, net of income tax refunds</w:t>
            </w:r>
          </w:p>
        </w:tc>
        <w:tc>
          <w:tcPr>
            <w:tcW w:w="3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3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44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Information:</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40" w:type="dxa"/>
            <w:vAlign w:val="bottom"/>
          </w:tcPr>
          <w:p>
            <w:pPr>
              <w:ind w:left="200"/>
              <w:spacing w:after="0"/>
              <w:rPr>
                <w:sz w:val="20"/>
                <w:szCs w:val="20"/>
                <w:color w:val="auto"/>
              </w:rPr>
            </w:pPr>
            <w:r>
              <w:rPr>
                <w:rFonts w:ascii="Arial" w:cs="Arial" w:eastAsia="Arial" w:hAnsi="Arial"/>
                <w:sz w:val="14"/>
                <w:szCs w:val="14"/>
                <w:color w:val="auto"/>
              </w:rPr>
              <w:t>Capital expenditures included in accounts payable, accruals and other liabilities</w:t>
            </w:r>
          </w:p>
        </w:tc>
        <w:tc>
          <w:tcPr>
            <w:tcW w:w="3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4.1</w:t>
            </w:r>
          </w:p>
        </w:tc>
        <w:tc>
          <w:tcPr>
            <w:tcW w:w="3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44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661225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5" w:right="7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MATSON, INC. AND SUBSIDIARIES CONSOLIDATED STATEMENTS OF SHAREHOLDERS’ EQUITY For the three years ended December 31, 2018</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5"/>
            <w:vMerge w:val="restart"/>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7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32"/>
              <w:spacing w:after="0" w:line="119" w:lineRule="exact"/>
              <w:rPr>
                <w:sz w:val="20"/>
                <w:szCs w:val="20"/>
                <w:color w:val="auto"/>
              </w:rPr>
            </w:pPr>
            <w:r>
              <w:rPr>
                <w:rFonts w:ascii="Arial" w:cs="Arial" w:eastAsia="Arial" w:hAnsi="Arial"/>
                <w:sz w:val="13"/>
                <w:szCs w:val="13"/>
                <w:b w:val="1"/>
                <w:bCs w:val="1"/>
                <w:color w:val="auto"/>
              </w:rPr>
              <w:t>Stated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Paid In</w:t>
            </w:r>
          </w:p>
        </w:tc>
        <w:tc>
          <w:tcPr>
            <w:tcW w:w="110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80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Income (Loss)</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Earnings</w:t>
            </w: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comprehensive income, net of tax</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6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2"/>
              </w:rPr>
              <w:t>Tax benefit from stock-based compensation and share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120"/>
              <w:spacing w:after="0"/>
              <w:rPr>
                <w:sz w:val="20"/>
                <w:szCs w:val="20"/>
                <w:color w:val="auto"/>
              </w:rPr>
            </w:pPr>
            <w:r>
              <w:rPr>
                <w:rFonts w:ascii="Arial" w:cs="Arial" w:eastAsia="Arial" w:hAnsi="Arial"/>
                <w:sz w:val="18"/>
                <w:szCs w:val="18"/>
                <w:color w:val="auto"/>
              </w:rPr>
              <w:t>withholding</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Share-based compensation</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20"/>
              <w:spacing w:after="0"/>
              <w:rPr>
                <w:sz w:val="20"/>
                <w:szCs w:val="20"/>
                <w:color w:val="auto"/>
              </w:rPr>
            </w:pPr>
            <w:r>
              <w:rPr>
                <w:rFonts w:ascii="Arial" w:cs="Arial" w:eastAsia="Arial" w:hAnsi="Arial"/>
                <w:sz w:val="17"/>
                <w:szCs w:val="17"/>
                <w:color w:val="auto"/>
                <w:w w:val="93"/>
              </w:rPr>
              <w:t>Shares issued, net of shares withheld for employee taxes</w:t>
            </w: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Shares repurchased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4160" w:type="dxa"/>
            <w:vAlign w:val="bottom"/>
            <w:gridSpan w:val="2"/>
          </w:tcPr>
          <w:p>
            <w:pPr>
              <w:ind w:left="120"/>
              <w:spacing w:after="0"/>
              <w:rPr>
                <w:sz w:val="20"/>
                <w:szCs w:val="20"/>
                <w:color w:val="auto"/>
              </w:rPr>
            </w:pPr>
            <w:r>
              <w:rPr>
                <w:rFonts w:ascii="Arial" w:cs="Arial" w:eastAsia="Arial" w:hAnsi="Arial"/>
                <w:sz w:val="18"/>
                <w:szCs w:val="18"/>
                <w:color w:val="auto"/>
              </w:rPr>
              <w:t>Dividends ($0.74 per share)</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comprehensive loss, net of tax</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160" w:type="dxa"/>
            <w:vAlign w:val="bottom"/>
            <w:gridSpan w:val="2"/>
          </w:tcPr>
          <w:p>
            <w:pPr>
              <w:ind w:left="120"/>
              <w:spacing w:after="0"/>
              <w:rPr>
                <w:sz w:val="20"/>
                <w:szCs w:val="20"/>
                <w:color w:val="auto"/>
              </w:rPr>
            </w:pPr>
            <w:r>
              <w:rPr>
                <w:rFonts w:ascii="Arial" w:cs="Arial" w:eastAsia="Arial" w:hAnsi="Arial"/>
                <w:sz w:val="18"/>
                <w:szCs w:val="18"/>
                <w:color w:val="auto"/>
              </w:rPr>
              <w:t>Share-based compensation</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3"/>
              </w:rPr>
              <w:t>Shares issued, net of shares withheld for employee taxes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160" w:type="dxa"/>
            <w:vAlign w:val="bottom"/>
            <w:gridSpan w:val="2"/>
          </w:tcPr>
          <w:p>
            <w:pPr>
              <w:ind w:left="120"/>
              <w:spacing w:after="0"/>
              <w:rPr>
                <w:sz w:val="20"/>
                <w:szCs w:val="20"/>
                <w:color w:val="auto"/>
              </w:rPr>
            </w:pPr>
            <w:r>
              <w:rPr>
                <w:rFonts w:ascii="Arial" w:cs="Arial" w:eastAsia="Arial" w:hAnsi="Arial"/>
                <w:sz w:val="18"/>
                <w:szCs w:val="18"/>
                <w:color w:val="auto"/>
              </w:rPr>
              <w:t>Shares repurchased</w:t>
            </w: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Dividends ($0.78 per share)</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0"/>
        </w:trPr>
        <w:tc>
          <w:tcPr>
            <w:tcW w:w="4160" w:type="dxa"/>
            <w:vAlign w:val="bottom"/>
            <w:gridSpan w:val="2"/>
          </w:tcPr>
          <w:p>
            <w:pPr>
              <w:spacing w:after="0"/>
              <w:rPr>
                <w:sz w:val="20"/>
                <w:szCs w:val="20"/>
                <w:color w:val="auto"/>
              </w:rPr>
            </w:pPr>
            <w:r>
              <w:rPr>
                <w:rFonts w:ascii="Arial" w:cs="Arial" w:eastAsia="Arial" w:hAnsi="Arial"/>
                <w:sz w:val="18"/>
                <w:szCs w:val="18"/>
                <w:color w:val="auto"/>
              </w:rPr>
              <w:t>Balance at December 31, 2017</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20"/>
              <w:spacing w:after="0"/>
              <w:rPr>
                <w:sz w:val="20"/>
                <w:szCs w:val="20"/>
                <w:color w:val="auto"/>
              </w:rPr>
            </w:pPr>
            <w:r>
              <w:rPr>
                <w:rFonts w:ascii="Arial" w:cs="Arial" w:eastAsia="Arial" w:hAnsi="Arial"/>
                <w:sz w:val="18"/>
                <w:szCs w:val="18"/>
                <w:color w:val="auto"/>
              </w:rPr>
              <w:t>Other comprehensive loss, net of tax</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Share-based compensation</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20"/>
              <w:spacing w:after="0"/>
              <w:rPr>
                <w:sz w:val="20"/>
                <w:szCs w:val="20"/>
                <w:color w:val="auto"/>
              </w:rPr>
            </w:pPr>
            <w:r>
              <w:rPr>
                <w:rFonts w:ascii="Arial" w:cs="Arial" w:eastAsia="Arial" w:hAnsi="Arial"/>
                <w:sz w:val="17"/>
                <w:szCs w:val="17"/>
                <w:color w:val="auto"/>
                <w:w w:val="93"/>
              </w:rPr>
              <w:t>Shares issued, net of shares withheld for employee taxes</w:t>
            </w: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Shares repurchased</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160" w:type="dxa"/>
            <w:vAlign w:val="bottom"/>
            <w:gridSpan w:val="2"/>
          </w:tcPr>
          <w:p>
            <w:pPr>
              <w:ind w:left="120"/>
              <w:spacing w:after="0"/>
              <w:rPr>
                <w:sz w:val="20"/>
                <w:szCs w:val="20"/>
                <w:color w:val="auto"/>
              </w:rPr>
            </w:pPr>
            <w:r>
              <w:rPr>
                <w:rFonts w:ascii="Arial" w:cs="Arial" w:eastAsia="Arial" w:hAnsi="Arial"/>
                <w:sz w:val="18"/>
                <w:szCs w:val="18"/>
                <w:color w:val="auto"/>
              </w:rPr>
              <w:t>Dividends ($0.82 per share)</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7"/>
        </w:trPr>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80" w:hanging="677"/>
        <w:spacing w:after="0"/>
        <w:tabs>
          <w:tab w:leader="none" w:pos="6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 The Company consists of two segments, Ocean Transportation and Logistics. For financial information on the Company’s reportable segments for the three years ended December 31, 2018, see Note 3.</w:t>
      </w:r>
    </w:p>
    <w:p>
      <w:pPr>
        <w:spacing w:after="0" w:line="18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 xml:space="preserve">Ocean Transportation: </w:t>
      </w:r>
      <w:r>
        <w:rPr>
          <w:rFonts w:ascii="Arial" w:cs="Arial" w:eastAsia="Arial" w:hAnsi="Arial"/>
          <w:sz w:val="18"/>
          <w:szCs w:val="18"/>
          <w:color w:val="auto"/>
        </w:rPr>
        <w:t>Matson’s Ocean Transportation business is conducted through Matson Navigation Company, Inc.</w:t>
      </w:r>
      <w:r>
        <w:rPr>
          <w:rFonts w:ascii="Arial" w:cs="Arial" w:eastAsia="Arial" w:hAnsi="Arial"/>
          <w:sz w:val="18"/>
          <w:szCs w:val="18"/>
          <w:i w:val="1"/>
          <w:iCs w:val="1"/>
          <w:color w:val="auto"/>
        </w:rPr>
        <w:t xml:space="preserve"> </w:t>
      </w:r>
      <w:r>
        <w:rPr>
          <w:rFonts w:ascii="Arial" w:cs="Arial" w:eastAsia="Arial" w:hAnsi="Arial"/>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a premium, expedited service from China to Long Beach, California, and provides services to Okinawa, Japan and various islands in the South Pacific. In addition, subsidiaries of MatNav provide container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Matson has a 35 percent ownership interest in SSA Terminals, LLC (“SSAT”), a joint venture between Matson Ventures, Inc., a wholly-owned subsidiary of MatNav, and SSA Ventures, Inc. (“SSA”), a subsidiary of Carrix, Inc. (“Terminal Joint Venture”). SSAT provides terminal and stevedoring services to various carriers at seven terminal facilities on the U.S. West Coast, including four facilities which are used by MatNav. Matson records its share of income from the Terminal Joint Venture in costs and expenses in the Consolidated Statements of Income and Comprehensive Income, and within the Ocean Transportation segment due to the nature of SSAT’s operations.</w:t>
      </w:r>
    </w:p>
    <w:p>
      <w:pPr>
        <w:spacing w:after="0" w:line="19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 xml:space="preserve">Logistics: </w:t>
      </w:r>
      <w:r>
        <w:rPr>
          <w:rFonts w:ascii="Arial" w:cs="Arial" w:eastAsia="Arial" w:hAnsi="Arial"/>
          <w:sz w:val="17"/>
          <w:szCs w:val="17"/>
          <w:color w:val="auto"/>
        </w:rPr>
        <w:t>Matson’s Logistics business is conducted through Matson Logistics, Inc. (“Matson Logistics”), a wholly-owned</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of MatNav. Established in 1987, Matson Logistics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consolidation (“LCL”) and freight forwarding services (collectively “Freight Forwarding” services); (iii) warehousing and distribution services; and (iv) supply chain management, non-vessel operating common carrier (“NVOCC”) freight forwarding and other services.</w:t>
      </w:r>
    </w:p>
    <w:p>
      <w:pPr>
        <w:spacing w:after="0" w:line="17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 xml:space="preserve">Recent Acquisition: </w:t>
      </w:r>
      <w:r>
        <w:rPr>
          <w:rFonts w:ascii="Arial" w:cs="Arial" w:eastAsia="Arial" w:hAnsi="Arial"/>
          <w:sz w:val="18"/>
          <w:szCs w:val="18"/>
          <w:color w:val="auto"/>
        </w:rPr>
        <w:t>On August 4, 2016, Matson Logistics completed its acquisition of Span Intermediate, LLC (“Span</w:t>
      </w:r>
      <w:r>
        <w:rPr>
          <w:rFonts w:ascii="Arial" w:cs="Arial" w:eastAsia="Arial" w:hAnsi="Arial"/>
          <w:sz w:val="18"/>
          <w:szCs w:val="18"/>
          <w:i w:val="1"/>
          <w:iCs w:val="1"/>
          <w:color w:val="auto"/>
        </w:rPr>
        <w:t xml:space="preserve"> </w:t>
      </w:r>
      <w:r>
        <w:rPr>
          <w:rFonts w:ascii="Arial" w:cs="Arial" w:eastAsia="Arial" w:hAnsi="Arial"/>
          <w:sz w:val="18"/>
          <w:szCs w:val="18"/>
          <w:color w:val="auto"/>
        </w:rPr>
        <w:t>Alaska”), a market leading provider of LCL consolidation and freight forwarding services to Alaska (the “Span Alaska Acquisition”) (see Note 18).</w:t>
      </w:r>
    </w:p>
    <w:p>
      <w:pPr>
        <w:spacing w:after="0" w:line="393" w:lineRule="exact"/>
        <w:rPr>
          <w:sz w:val="20"/>
          <w:szCs w:val="20"/>
          <w:color w:val="auto"/>
        </w:rPr>
      </w:pPr>
    </w:p>
    <w:p>
      <w:pPr>
        <w:ind w:left="680" w:hanging="677"/>
        <w:spacing w:after="0"/>
        <w:tabs>
          <w:tab w:leader="none" w:pos="6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The Consolidated Financial Statements include the accounts of 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A controlling financial interest is one in which the Company has a majority voting interest or one in which the Company is the primary beneficiary of a variable interest entity. The Company accounts for its investment in the Terminal Joint Venture using the equity method of accounting (see Note 4). The Consolidated Financial Statements include the accounts and activities of Span Alaska from acquisition date on August 4, 2016 (see Note 18).</w:t>
      </w:r>
    </w:p>
    <w:p>
      <w:pPr>
        <w:spacing w:after="0" w:line="1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The period end for Matson, Inc. is December 31. The period end for MatNav occurred on the last Friday in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except for Matson Logistics Warehousing, Inc. whose period closed on December 31. Included in these Consolidated Financial Statements are 52 weeks in the 2018 and 2017 fiscal years, and 53 weeks in the 2016 fiscal year, for MatNav.</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i w:val="1"/>
          <w:iCs w:val="1"/>
          <w:color w:val="auto"/>
        </w:rPr>
        <w:t xml:space="preserve">Foreign Currency Transactions: </w:t>
      </w:r>
      <w:r>
        <w:rPr>
          <w:rFonts w:ascii="Arial" w:cs="Arial" w:eastAsia="Arial" w:hAnsi="Arial"/>
          <w:sz w:val="18"/>
          <w:szCs w:val="18"/>
          <w:color w:val="auto"/>
        </w:rPr>
        <w:t>The United States (U.S.) dollar is the functional currency for substantially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of the Company’s foreign subsidiaries. Foreign currency denominated assets and liabilities of the Company’s foreign subsidiaries are translated into U.S. dollars at exchange rates existing at the respective balance sheet dates. Translation adjustments resulting from fluctuations in exchange rates are recorded as a component of accumulated other comprehensive loss (gain) within shareholders’ equity. The Company translates the result of operations of its foreign subsidiaries at the average exchange rate during the respective periods. Gains and losses resulting from foreign currency transactions are included in selling, general and administrative costs in the Consolidated Statements of Income and Comprehensive Income.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the Consolidated Financial Statements in conformity with accounting principles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generally accepted in the U.S. requires management to make estimates and assumptions that affect the amounts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reported. Estimates and assumptions are used for, but not limited to: impairment of investments; impairment of long-lived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intangible assets and goodwill; capitalized interest; allowance for doubtful accounts; legal contingencies; uninsured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risks and related liabilities; accrual estimates; pension and post-retirement estimates; multi-employer withdrawal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income taxes. Future results could be materially affected if actual results differ from these estimates and assumptions.</w:t>
      </w:r>
    </w:p>
    <w:p>
      <w:pPr>
        <w:spacing w:after="0" w:line="23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Immaterial Correction of an Error in Previously Issued Financial Statements: </w:t>
      </w:r>
      <w:r>
        <w:rPr>
          <w:rFonts w:ascii="Arial" w:cs="Arial" w:eastAsia="Arial" w:hAnsi="Arial"/>
          <w:sz w:val="17"/>
          <w:szCs w:val="17"/>
          <w:color w:val="auto"/>
        </w:rPr>
        <w:t>Subsequent to the filing of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Annual Report on Form 10-K for the year ended December 31, 2017, the Company determined that it had incurred a partial withdrawal liability related to the Office &amp; Professional Employees International Union (“OPEIU”), Local 153 Pension Fund (the “Local 153 Fund”). The partial withdrawal liability resulted from a decline in the number of contribution base units related to the Local 153 Fund caused by Horizon Lines, Inc. (“Horizon”) terminating all of its operations in Puerto Rico during the first quarter of 2015, prior to the Company acquiring Horizon on May 29, 2015.</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Accordingly, the Company corrected this error by recording an increase in other long-term liabilities of $6.7 million,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reduction in deferred income taxes of $2.6 million, and a corresponding net adjustment to goodwill of $4.1 million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years ended December 31, 2015, 2016 and 2017. For the year ended December 31, 2017, the $2.6 million deferred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taxes adjustment was reduced by $1.0 million to reflect the remeasurement tax effects resulting from the Tax Cut and Jobs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 of 2017 (the “Tax Act”). This had the corresponding effect of increasing income taxes and decreasing net income by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$1.0 million during the year ended December 31, 2107. There was no impact to net income for any other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presented. The misstatement had no net impact on the Company’s Consolidated Statements of Cash Flows.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believes the correction of this error is immaterial to previously issued Consolidated Financial Statements for all prior periods.</w:t>
      </w:r>
    </w:p>
    <w:p>
      <w:pPr>
        <w:spacing w:after="0" w:line="2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Cash, Cash Equivalents and Restricted Cash: </w:t>
      </w:r>
      <w:r>
        <w:rPr>
          <w:rFonts w:ascii="Arial" w:cs="Arial" w:eastAsia="Arial" w:hAnsi="Arial"/>
          <w:sz w:val="18"/>
          <w:szCs w:val="18"/>
          <w:color w:val="auto"/>
        </w:rPr>
        <w:t>Cash equivalents consist of highly-liquid investments with original maturities</w:t>
      </w:r>
      <w:r>
        <w:rPr>
          <w:rFonts w:ascii="Arial" w:cs="Arial" w:eastAsia="Arial" w:hAnsi="Arial"/>
          <w:sz w:val="18"/>
          <w:szCs w:val="18"/>
          <w:i w:val="1"/>
          <w:iCs w:val="1"/>
          <w:color w:val="auto"/>
        </w:rPr>
        <w:t xml:space="preserve"> </w:t>
      </w:r>
      <w:r>
        <w:rPr>
          <w:rFonts w:ascii="Arial" w:cs="Arial" w:eastAsia="Arial" w:hAnsi="Arial"/>
          <w:sz w:val="18"/>
          <w:szCs w:val="18"/>
          <w:color w:val="auto"/>
        </w:rPr>
        <w:t>of three months or less. The Company carries these investments at cost, which approximates fair value. Outstanding checks in excess of funds on deposit totaled $16.4 million and $18.7 million at December 31, 2018 and 2017, respectively, and are included in current liabilities in the Consolidated Balance Sheets. Restricted cash relates to amounts that are subject to contractual restrictions and are not readily available. Restricted cash was $4.9 million at December 31, 2018, and is included in prepaid expenses and other assets in the Consolidated Balance Sheet. There were no restricted cash amounts at December 31, 2017.</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Accounts Receivable, net: </w:t>
      </w:r>
      <w:r>
        <w:rPr>
          <w:rFonts w:ascii="Arial" w:cs="Arial" w:eastAsia="Arial" w:hAnsi="Arial"/>
          <w:sz w:val="18"/>
          <w:szCs w:val="18"/>
          <w:color w:val="auto"/>
        </w:rPr>
        <w:t>Accounts receivable represents amounts due from trade customers arising in the normal course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Accounts receivable are shown net of allowance for doubtful accounts receivable in the Consolidated Balance Sheets. At December 31, 2018, and 2017, the Company had assigned $1.0 million and $134.8 million of eligible accounts receivable, respectively, to the Capital Construction Fund (see Note 7).</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Allowance for Doubtful Accounts</w:t>
      </w:r>
      <w:r>
        <w:rPr>
          <w:rFonts w:ascii="Arial" w:cs="Arial" w:eastAsia="Arial" w:hAnsi="Arial"/>
          <w:sz w:val="18"/>
          <w:szCs w:val="18"/>
          <w:color w:val="auto"/>
        </w:rPr>
        <w:t>: Allowance for doubtful accounts receivable is established by management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of collectability. Estimates of collectability are principally based on an evaluation of the current financial condition of the customer and the potential risks to collection, the customer’s payment history and other factors which are regularly monitored by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Changes in the allowance for doubtful accounts receivable for the three years ended December 31, 2018, 2017 and 2016 were as follows:</w:t>
      </w:r>
    </w:p>
    <w:tbl>
      <w:tblPr>
        <w:tblLayout w:type="fixed"/>
        <w:tblInd w:w="0" w:type="dxa"/>
        <w:tblCellMar>
          <w:top w:w="0" w:type="dxa"/>
          <w:left w:w="0" w:type="dxa"/>
          <w:bottom w:w="0" w:type="dxa"/>
          <w:right w:w="0" w:type="dxa"/>
        </w:tblCellMar>
      </w:tblPr>
      <w:tr>
        <w:trPr>
          <w:trHeight w:val="141"/>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(in millions)</w:t>
            </w:r>
          </w:p>
        </w:tc>
        <w:tc>
          <w:tcPr>
            <w:tcW w:w="160" w:type="dxa"/>
            <w:vAlign w:val="bottom"/>
          </w:tcPr>
          <w:p>
            <w:pPr>
              <w:spacing w:after="0"/>
              <w:rPr>
                <w:sz w:val="12"/>
                <w:szCs w:val="12"/>
                <w:color w:val="auto"/>
              </w:rPr>
            </w:pPr>
          </w:p>
        </w:tc>
        <w:tc>
          <w:tcPr>
            <w:tcW w:w="1140" w:type="dxa"/>
            <w:vAlign w:val="bottom"/>
            <w:gridSpan w:val="2"/>
          </w:tcPr>
          <w:p>
            <w:pPr>
              <w:ind w:left="100"/>
              <w:spacing w:after="0" w:line="141" w:lineRule="exact"/>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12"/>
                <w:szCs w:val="12"/>
                <w:color w:val="auto"/>
              </w:rPr>
            </w:pPr>
          </w:p>
        </w:tc>
        <w:tc>
          <w:tcPr>
            <w:tcW w:w="980" w:type="dxa"/>
            <w:vAlign w:val="bottom"/>
            <w:gridSpan w:val="2"/>
          </w:tcPr>
          <w:p>
            <w:pPr>
              <w:jc w:val="right"/>
              <w:ind w:right="380"/>
              <w:spacing w:after="0" w:line="141"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1020" w:type="dxa"/>
            <w:vAlign w:val="bottom"/>
            <w:gridSpan w:val="2"/>
          </w:tcPr>
          <w:p>
            <w:pPr>
              <w:jc w:val="right"/>
              <w:ind w:right="340"/>
              <w:spacing w:after="0" w:line="141" w:lineRule="exact"/>
              <w:rPr>
                <w:sz w:val="20"/>
                <w:szCs w:val="20"/>
                <w:color w:val="auto"/>
              </w:rPr>
            </w:pPr>
            <w:r>
              <w:rPr>
                <w:rFonts w:ascii="Arial" w:cs="Arial" w:eastAsia="Arial" w:hAnsi="Arial"/>
                <w:sz w:val="14"/>
                <w:szCs w:val="14"/>
                <w:b w:val="1"/>
                <w:bCs w:val="1"/>
                <w:color w:val="auto"/>
              </w:rPr>
              <w:t>Write-offs</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71"/>
        </w:trPr>
        <w:tc>
          <w:tcPr>
            <w:tcW w:w="4440" w:type="dxa"/>
            <w:vAlign w:val="bottom"/>
            <w:gridSpan w:val="3"/>
            <w:vMerge w:val="continue"/>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Beginning of Year</w:t>
            </w: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(Recovery) (1)</w:t>
            </w:r>
          </w:p>
        </w:tc>
        <w:tc>
          <w:tcPr>
            <w:tcW w:w="12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and Other</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End of Year</w:t>
            </w:r>
          </w:p>
        </w:tc>
        <w:tc>
          <w:tcPr>
            <w:tcW w:w="0" w:type="dxa"/>
            <w:vAlign w:val="bottom"/>
          </w:tcPr>
          <w:p>
            <w:pPr>
              <w:spacing w:after="0"/>
              <w:rPr>
                <w:sz w:val="1"/>
                <w:szCs w:val="1"/>
                <w:color w:val="auto"/>
              </w:rPr>
            </w:pPr>
          </w:p>
        </w:tc>
      </w:tr>
      <w:tr>
        <w:trPr>
          <w:trHeight w:val="210"/>
        </w:trPr>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2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2017</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7"/>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Expense is shown net of amounts recovered from previously reserved doubtful accounts.</w:t>
      </w:r>
    </w:p>
    <w:p>
      <w:pPr>
        <w:spacing w:after="0" w:line="208"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i w:val="1"/>
          <w:iCs w:val="1"/>
          <w:color w:val="auto"/>
        </w:rPr>
        <w:t xml:space="preserve">Prepaid Expenses and Other Assets: </w:t>
      </w:r>
      <w:r>
        <w:rPr>
          <w:rFonts w:ascii="Arial" w:cs="Arial" w:eastAsia="Arial" w:hAnsi="Arial"/>
          <w:sz w:val="18"/>
          <w:szCs w:val="18"/>
          <w:color w:val="auto"/>
        </w:rPr>
        <w:t>Prepaid expenses and other assets consist of the following at December 31,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2017: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Prepaid Expenses and Other Assets (in millions)</w:t>
            </w:r>
          </w:p>
        </w:tc>
        <w:tc>
          <w:tcPr>
            <w:tcW w:w="160" w:type="dxa"/>
            <w:vAlign w:val="bottom"/>
          </w:tcPr>
          <w:p>
            <w:pPr>
              <w:spacing w:after="0"/>
              <w:rPr>
                <w:sz w:val="14"/>
                <w:szCs w:val="14"/>
                <w:color w:val="auto"/>
              </w:rPr>
            </w:pPr>
          </w:p>
        </w:tc>
        <w:tc>
          <w:tcPr>
            <w:tcW w:w="1660" w:type="dxa"/>
            <w:vAlign w:val="bottom"/>
            <w:gridSpan w:val="5"/>
          </w:tcPr>
          <w:p>
            <w:pPr>
              <w:ind w:left="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24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receivables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Prepaid fuel</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insurance and insurance related receivables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Prepaid operating expenses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 - vessel construction obligations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r>
              <w:rPr>
                <w:rFonts w:ascii="Arial" w:cs="Arial" w:eastAsia="Arial" w:hAnsi="Arial"/>
                <w:sz w:val="18"/>
                <w:szCs w:val="18"/>
                <w:u w:val="single" w:color="auto"/>
                <w:color w:val="auto"/>
              </w:rPr>
              <w:t>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u w:val="single" w:color="auto"/>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Long-Term Assets: </w:t>
      </w:r>
      <w:r>
        <w:rPr>
          <w:rFonts w:ascii="Arial" w:cs="Arial" w:eastAsia="Arial" w:hAnsi="Arial"/>
          <w:sz w:val="18"/>
          <w:szCs w:val="18"/>
          <w:color w:val="auto"/>
        </w:rPr>
        <w:t>Other long-term assets consist of the following at December 31, 2018 and 2017:</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Long-Term Assets (in millions)</w:t>
            </w:r>
          </w:p>
        </w:tc>
        <w:tc>
          <w:tcPr>
            <w:tcW w:w="160" w:type="dxa"/>
            <w:vAlign w:val="bottom"/>
          </w:tcPr>
          <w:p>
            <w:pPr>
              <w:spacing w:after="0"/>
              <w:rPr>
                <w:sz w:val="14"/>
                <w:szCs w:val="14"/>
                <w:color w:val="auto"/>
              </w:rPr>
            </w:pPr>
          </w:p>
        </w:tc>
        <w:tc>
          <w:tcPr>
            <w:tcW w:w="1660" w:type="dxa"/>
            <w:vAlign w:val="bottom"/>
            <w:gridSpan w:val="6"/>
          </w:tcPr>
          <w:p>
            <w:pPr>
              <w:ind w:left="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24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receivables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Vessel and equipment spare parts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related receivables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Deferred Charges and other</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construction fund - cash on deposit (see Note 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4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r>
              <w:rPr>
                <w:rFonts w:ascii="Arial" w:cs="Arial" w:eastAsia="Arial" w:hAnsi="Arial"/>
                <w:sz w:val="18"/>
                <w:szCs w:val="18"/>
                <w:u w:val="single" w:color="auto"/>
                <w:color w:val="auto"/>
              </w:rPr>
              <w:t>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r>
              <w:rPr>
                <w:rFonts w:ascii="Arial" w:cs="Arial" w:eastAsia="Arial" w:hAnsi="Arial"/>
                <w:sz w:val="18"/>
                <w:szCs w:val="18"/>
                <w:u w:val="single" w:color="auto"/>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Impairment of Terminal Joint Venture Investment: </w:t>
      </w:r>
      <w:r>
        <w:rPr>
          <w:rFonts w:ascii="Arial" w:cs="Arial" w:eastAsia="Arial" w:hAnsi="Arial"/>
          <w:sz w:val="18"/>
          <w:szCs w:val="18"/>
          <w:color w:val="auto"/>
        </w:rPr>
        <w:t>The Company’s investment in its Terminal Joint Venture, a related party,</w:t>
      </w:r>
      <w:r>
        <w:rPr>
          <w:rFonts w:ascii="Arial" w:cs="Arial" w:eastAsia="Arial" w:hAnsi="Arial"/>
          <w:sz w:val="18"/>
          <w:szCs w:val="18"/>
          <w:i w:val="1"/>
          <w:iCs w:val="1"/>
          <w:color w:val="auto"/>
        </w:rPr>
        <w:t xml:space="preserve"> </w:t>
      </w:r>
      <w:r>
        <w:rPr>
          <w:rFonts w:ascii="Arial" w:cs="Arial" w:eastAsia="Arial" w:hAnsi="Arial"/>
          <w:sz w:val="18"/>
          <w:szCs w:val="18"/>
          <w:color w:val="auto"/>
        </w:rPr>
        <w:t>is reviewed for impairment annually, or whenever there is evidence that fair value may be below its carrying cost. No impairment was identified during the years ended December 31, 2018, 2017 and 2016.</w:t>
      </w:r>
    </w:p>
    <w:p>
      <w:pPr>
        <w:spacing w:after="0" w:line="18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Property and equipment are stated at cost. Certain costs incurred in the development of internal-use software are capitalized. Property and equipment is depreciated using the straight-line method over the estimated useful lives of the assets. The estimated useful lives of property and equipment range up to the following maximum life: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4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Life</w:t>
            </w:r>
          </w:p>
        </w:tc>
      </w:tr>
      <w:tr>
        <w:trPr>
          <w:trHeight w:val="210"/>
        </w:trPr>
        <w:tc>
          <w:tcPr>
            <w:tcW w:w="7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Vessels</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40 years</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30 years</w:t>
            </w: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Terminal facilities</w:t>
            </w: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35 years</w:t>
            </w:r>
          </w:p>
        </w:tc>
      </w:tr>
    </w:tbl>
    <w:p>
      <w:pPr>
        <w:spacing w:after="0" w:line="202"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i w:val="1"/>
          <w:iCs w:val="1"/>
          <w:color w:val="auto"/>
        </w:rPr>
        <w:t xml:space="preserve">Capitalized Interest: </w:t>
      </w:r>
      <w:r>
        <w:rPr>
          <w:rFonts w:ascii="Arial" w:cs="Arial" w:eastAsia="Arial" w:hAnsi="Arial"/>
          <w:sz w:val="17"/>
          <w:szCs w:val="17"/>
          <w:color w:val="auto"/>
        </w:rPr>
        <w:t>The Company entered into agreements with shipyards for the construction of four new vessels to be</w:t>
      </w:r>
      <w:r>
        <w:rPr>
          <w:rFonts w:ascii="Arial" w:cs="Arial" w:eastAsia="Arial" w:hAnsi="Arial"/>
          <w:sz w:val="17"/>
          <w:szCs w:val="17"/>
          <w:i w:val="1"/>
          <w:iCs w:val="1"/>
          <w:color w:val="auto"/>
        </w:rPr>
        <w:t xml:space="preserve"> </w:t>
      </w:r>
      <w:r>
        <w:rPr>
          <w:rFonts w:ascii="Arial" w:cs="Arial" w:eastAsia="Arial" w:hAnsi="Arial"/>
          <w:sz w:val="17"/>
          <w:szCs w:val="17"/>
          <w:color w:val="auto"/>
        </w:rPr>
        <w:t>utilized within the Company’s operations (see Note 5). The Company is funding the construction of these vessels through borrowings and cash flows generated by the Company. The Company determined that the construction of these vessels are considered qualifying assets for the purposes of capitalizing interest on these assets.</w:t>
      </w:r>
    </w:p>
    <w:p>
      <w:pPr>
        <w:spacing w:after="0" w:line="17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Company’s policy is to capitalize interest costs during the period the qualified assets are being readied for their intended use. The amount of capitalized interest is calculated based on the amount of payments incurred related to the construction of these vessels using a weighted average interest rate. The weighted average interest rate is determined using the Company’s average borrowings outstanding during the period. Capitalized interest is included in vessel construction in progress in property and equipment in the Company’s Consolidated Balance Sheets (see Note 5). During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years ended December 31, 2018, 2017 and 2016, the Company capitalized $18.7 million, $7.5 million and $2.1 million of interest related to the construction of new vessels, respectively.</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Deferred Dry-docking Costs: </w:t>
      </w:r>
      <w:r>
        <w:rPr>
          <w:rFonts w:ascii="Arial" w:cs="Arial" w:eastAsia="Arial" w:hAnsi="Arial"/>
          <w:sz w:val="17"/>
          <w:szCs w:val="17"/>
          <w:color w:val="auto"/>
        </w:rPr>
        <w:t>U.S. flagged vessels must meet specified seaworthiness standards established by U.S. Coast</w:t>
      </w:r>
      <w:r>
        <w:rPr>
          <w:rFonts w:ascii="Arial" w:cs="Arial" w:eastAsia="Arial" w:hAnsi="Arial"/>
          <w:sz w:val="17"/>
          <w:szCs w:val="17"/>
          <w:i w:val="1"/>
          <w:iCs w:val="1"/>
          <w:color w:val="auto"/>
        </w:rPr>
        <w:t xml:space="preserve"> </w:t>
      </w:r>
      <w:r>
        <w:rPr>
          <w:rFonts w:ascii="Arial" w:cs="Arial" w:eastAsia="Arial" w:hAnsi="Arial"/>
          <w:sz w:val="17"/>
          <w:szCs w:val="17"/>
          <w:color w:val="auto"/>
        </w:rPr>
        <w:t>Guard rules and classification society rules. These standards require U.S. flagged vessels to undergo two dry-docking inspections within a five-year period, with a maximum of 36 months between them. However, U.S. flagged vessels that are enrolled in the U.S. Coast Guard’s Underwater Survey in Lieu of Dry-docking (“UWILD”) program are allowed to have their Intermediate Survey dry-docking requirement met with a less costly underwater inspection. Non-U.S. flag vessels are required to meet applicable classification society rules and their own Port State standards for seaworthiness, which also mandate vessels to undergo two dry-docking inspections every five years.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responsible for maintaining its vessels in compliance with U.S. and international standards. As costs associated with dry-docking inspections provide future economic benefits to the Company through continued operation of the vessels, the costs are deferred and amortized until the next regulatory scheduled dry-docking, which is usually over a two to five-year period. Amortization of deferred dry-docking costs are charged to operating expenses of the Ocean Transportation segment in the Consolidated Statements of Income and Comprehensive Income. Routine vessel maintenance and repairs are charged to expense as incurred.</w:t>
      </w:r>
    </w:p>
    <w:p>
      <w:pPr>
        <w:spacing w:after="0" w:line="193"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i w:val="1"/>
          <w:iCs w:val="1"/>
          <w:color w:val="auto"/>
        </w:rPr>
        <w:t xml:space="preserve">Goodwill and Intangible Assets: </w:t>
      </w:r>
      <w:r>
        <w:rPr>
          <w:rFonts w:ascii="Arial" w:cs="Arial" w:eastAsia="Arial" w:hAnsi="Arial"/>
          <w:sz w:val="16"/>
          <w:szCs w:val="16"/>
          <w:color w:val="auto"/>
        </w:rPr>
        <w:t>Goodwill and intangible assets arise as a result of acquisitions made by the Company (see</w:t>
      </w:r>
      <w:r>
        <w:rPr>
          <w:rFonts w:ascii="Arial" w:cs="Arial" w:eastAsia="Arial" w:hAnsi="Arial"/>
          <w:sz w:val="16"/>
          <w:szCs w:val="16"/>
          <w:i w:val="1"/>
          <w:iCs w:val="1"/>
          <w:color w:val="auto"/>
        </w:rPr>
        <w:t xml:space="preserve"> </w:t>
      </w:r>
      <w:r>
        <w:rPr>
          <w:rFonts w:ascii="Arial" w:cs="Arial" w:eastAsia="Arial" w:hAnsi="Arial"/>
          <w:sz w:val="16"/>
          <w:szCs w:val="16"/>
          <w:color w:val="auto"/>
        </w:rPr>
        <w:t>Notes 6 and 18). Intangible assets consists of customer relationships which are being amortized using the straight-line method over the expected useful lives ranging from 3 to 21 years, and a trade name that has an indefinite life.</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Impairment of Long-Lived Assets, Intangible Assets and Goodwill</w:t>
      </w:r>
      <w:r>
        <w:rPr>
          <w:rFonts w:ascii="Arial" w:cs="Arial" w:eastAsia="Arial" w:hAnsi="Arial"/>
          <w:sz w:val="18"/>
          <w:szCs w:val="18"/>
          <w:color w:val="auto"/>
        </w:rPr>
        <w:t>: The Company evaluates its long-lived assets,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and goodwill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Long-lived Assets and Finite-lived Intangible Assets: Long-lived assets and finite-lived intangible assets are grouped at the lowest level for which identifiable cash flows are available. In evaluating impairment, the estimated future undiscounted cash flows generated by each of these asset groups is compared with the amount recorded for each asset group to determine if its carrying value is not recoverable. If this review determines that the amount recorded will not be recovered, the amount recorded for the asset group is reduced to its estimated fair value. No impairment charges of long-lived assets and finite-lived intangible assets were recorded for the years ended December 31, 2018, 2017 and 2016.</w:t>
      </w:r>
    </w:p>
    <w:p>
      <w:pPr>
        <w:spacing w:after="0" w:line="16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Indefinite-life Intangible Assets and Goodwill: In estimating the fair value of a reporting unit, the Company uses a combination of a discounted cash flow model and fair value based on market multiples of earnings before interest, taxes, depreciation and amortization. Based upon the Company’s evaluation of its indefinite-life intangible assets and goodwill for impairment, the Company determined that the fair value of each reporting unit exceeds book value. No impairment charges of indefinite-life intangible assets and goodwill were recorded for the years ended December 31, 2018, 2017 and 2016.</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Accruals and other liabilities: </w:t>
      </w:r>
      <w:r>
        <w:rPr>
          <w:rFonts w:ascii="Arial" w:cs="Arial" w:eastAsia="Arial" w:hAnsi="Arial"/>
          <w:sz w:val="17"/>
          <w:szCs w:val="17"/>
          <w:color w:val="auto"/>
        </w:rPr>
        <w:t>Accruals and other liabilities consist of the following at December 31, 2018 and 2017: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vMerge w:val="restart"/>
          </w:tcPr>
          <w:p>
            <w:pPr>
              <w:spacing w:after="0"/>
              <w:rPr>
                <w:sz w:val="20"/>
                <w:szCs w:val="20"/>
                <w:color w:val="auto"/>
              </w:rPr>
            </w:pPr>
            <w:r>
              <w:rPr>
                <w:rFonts w:ascii="Arial" w:cs="Arial" w:eastAsia="Arial" w:hAnsi="Arial"/>
                <w:sz w:val="14"/>
                <w:szCs w:val="14"/>
                <w:b w:val="1"/>
                <w:bCs w:val="1"/>
                <w:color w:val="auto"/>
              </w:rPr>
              <w:t>Accruals and Other Liabilities (in millions)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ind w:left="1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0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Payroll and vacation related accruals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Employee incentives and other related accruals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Uninsured risks and related liabilities - short term</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Deferred revenues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Interest on debt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Multi-employer withdrawal liabilities - short term (see Note 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Pension and post-retirement liabilities - short term (see Note 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short-term liabilities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r>
              <w:rPr>
                <w:rFonts w:ascii="Arial" w:cs="Arial" w:eastAsia="Arial" w:hAnsi="Arial"/>
                <w:sz w:val="18"/>
                <w:szCs w:val="18"/>
                <w:u w:val="single" w:color="auto"/>
                <w:color w:val="auto"/>
              </w:rPr>
              <w:t>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7060" w:type="dxa"/>
            <w:vAlign w:val="bottom"/>
          </w:tcPr>
          <w:p>
            <w:pPr>
              <w:ind w:left="444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7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long-term liabilities: </w:t>
      </w:r>
      <w:r>
        <w:rPr>
          <w:rFonts w:ascii="Arial" w:cs="Arial" w:eastAsia="Arial" w:hAnsi="Arial"/>
          <w:sz w:val="18"/>
          <w:szCs w:val="18"/>
          <w:color w:val="auto"/>
        </w:rPr>
        <w:t>Other long-term liabilities consist of the following at December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Other Long-Term Liabilities (in millions)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ind w:left="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1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Pension and post-retirement liabilities (see Note 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Multi-employer withdrawal liability (see Note 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Uninsured risks and related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Pension and Post-Retirement Plans: </w:t>
      </w:r>
      <w:r>
        <w:rPr>
          <w:rFonts w:ascii="Arial" w:cs="Arial" w:eastAsia="Arial" w:hAnsi="Arial"/>
          <w:sz w:val="18"/>
          <w:szCs w:val="18"/>
          <w:color w:val="auto"/>
        </w:rPr>
        <w:t>The Company is a member of the Pacific Maritime Association (“PMA”)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Hawaii Stevedoring Industry Committee, which negotiate multi-employer pension plans covering certain shoreside bargaining unit personnel. The Company directly negotiates multi-employer pension plans covering other bargaining unit personnel. Pension costs are accrued in accordance with contribution rates established by the PMA, the parties to a plan or the trustees of a plan. Several trusteed, non-contributory, single-employer defined benefit plans and defined contribution plans cover substantially all other employees.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estimation of the Company’s pension and post-retirement benefit expenses and liabilities requires that the Company make various assumptions. These assumptions include factors such as discount rates, expected long-term rate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Additional information about the Company’s pension and post-retirement plans is included in Note 11.</w:t>
      </w:r>
    </w:p>
    <w:p>
      <w:pPr>
        <w:spacing w:after="0" w:line="19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Uninsured Risks and Related Liabilities: </w:t>
      </w:r>
      <w:r>
        <w:rPr>
          <w:rFonts w:ascii="Arial" w:cs="Arial" w:eastAsia="Arial" w:hAnsi="Arial"/>
          <w:sz w:val="18"/>
          <w:szCs w:val="18"/>
          <w:color w:val="auto"/>
        </w:rPr>
        <w:t>The Company is uninsured for certain risks but when feasible, many risks are</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mitigated by insurance. The Company purchases insurance with deductibles or self-insured retentions. Such insurance includes, but is not limited to, employee health, workers’ compensation, marine liability, auto liability and physical damage to inland property, equipment and vessels. For certain risks, the Company elects to not purchase insurance because of excessive cost of insurance or the perceived remoteness of the risk. In addition, the Company retains all risk of loss that exceeds the limits of the Company’s insurance policies.</w:t>
      </w:r>
    </w:p>
    <w:p>
      <w:pPr>
        <w:spacing w:after="0" w:line="193"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When estimating its reserves for uninsured risks and related liabilities, the Company considers a number of factors, including historical claims experience, demographic factors, current trends, and analyses provided by independent third-</w:t>
      </w:r>
    </w:p>
    <w:p>
      <w:pPr>
        <w:ind w:right="160"/>
        <w:spacing w:after="0" w:line="261" w:lineRule="auto"/>
        <w:rPr>
          <w:sz w:val="20"/>
          <w:szCs w:val="20"/>
          <w:color w:val="auto"/>
        </w:rPr>
      </w:pPr>
      <w:r>
        <w:rPr>
          <w:rFonts w:ascii="Arial" w:cs="Arial" w:eastAsia="Arial" w:hAnsi="Arial"/>
          <w:sz w:val="18"/>
          <w:szCs w:val="18"/>
          <w:color w:val="auto"/>
        </w:rPr>
        <w:t>parties. Periodically, management reviews its assumptions and estimates used to determine the adequacy of the Company’s reserves for uninsured risks and related liabilities.</w:t>
      </w:r>
    </w:p>
    <w:p>
      <w:pPr>
        <w:spacing w:after="0" w:line="18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The Company recognizes operating lease expense on a straight-line basis over the lease term.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leases are more fully described in Note 9. The Company’s capital leases are de minimis and are included as part of the Company’s debt (see Note 8).</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i w:val="1"/>
          <w:iCs w:val="1"/>
          <w:color w:val="auto"/>
        </w:rPr>
        <w:t xml:space="preserve">Recognition of Revenues and Expenses: </w:t>
      </w:r>
      <w:r>
        <w:rPr>
          <w:rFonts w:ascii="Arial" w:cs="Arial" w:eastAsia="Arial" w:hAnsi="Arial"/>
          <w:sz w:val="16"/>
          <w:szCs w:val="16"/>
          <w:color w:val="auto"/>
        </w:rPr>
        <w:t>Revenue in the Company’s Consolidated Financial Statements is presented net of</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elimination of intercompany transactions. The following is a description of the Company’s principal revenue generating activities by segment, and the Company’s revenue recognition policy for each activity for the periods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Ocean Transportation (in millions) (1)</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Borders>
              <w:bottom w:val="single" w:sz="8" w:color="auto"/>
            </w:tcBorders>
            <w:gridSpan w:val="2"/>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Ocean Transportation services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1,599.3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1,531.8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Terminal and other related services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sales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Vessel management and related services</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1,641.</w:t>
            </w:r>
            <w:r>
              <w:rPr>
                <w:rFonts w:ascii="Arial" w:cs="Arial" w:eastAsia="Arial" w:hAnsi="Arial"/>
                <w:sz w:val="18"/>
                <w:szCs w:val="18"/>
                <w:u w:val="single" w:color="auto"/>
                <w:color w:val="auto"/>
                <w:w w:val="99"/>
              </w:rPr>
              <w:t>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1,571.</w:t>
            </w:r>
            <w:r>
              <w:rPr>
                <w:rFonts w:ascii="Arial" w:cs="Arial" w:eastAsia="Arial" w:hAnsi="Arial"/>
                <w:sz w:val="18"/>
                <w:szCs w:val="18"/>
                <w:u w:val="single" w:color="auto"/>
                <w:color w:val="auto"/>
                <w:w w:val="99"/>
              </w:rPr>
              <w:t>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1,541.</w:t>
            </w:r>
            <w:r>
              <w:rPr>
                <w:rFonts w:ascii="Arial" w:cs="Arial" w:eastAsia="Arial" w:hAnsi="Arial"/>
                <w:sz w:val="18"/>
                <w:szCs w:val="18"/>
                <w:u w:val="single" w:color="auto"/>
                <w:color w:val="auto"/>
                <w:w w:val="89"/>
              </w:rPr>
              <w:t>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180" w:hanging="317"/>
        <w:spacing w:after="0" w:line="253" w:lineRule="auto"/>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Ocean Transportation revenue transactions are primarily denominated in U.S. dollars except for less than 3 percent of Ocean Transportation services revenue and fuel sales revenue categories which are denominated in foreign currencies.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right="160" w:hanging="317"/>
        <w:spacing w:after="0" w:line="288" w:lineRule="auto"/>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general and administrative expenses, are charged to operating costs as incurred.</w:t>
      </w:r>
    </w:p>
    <w:p>
      <w:pPr>
        <w:ind w:left="320" w:hanging="317"/>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Terminal and other related services revenue is recognized as the services are performed.</w:t>
      </w:r>
    </w:p>
    <w:p>
      <w:pPr>
        <w:spacing w:after="0" w:line="9" w:lineRule="exact"/>
        <w:rPr>
          <w:rFonts w:ascii="Arial" w:cs="Arial" w:eastAsia="Arial" w:hAnsi="Arial"/>
          <w:sz w:val="18"/>
          <w:szCs w:val="18"/>
          <w:color w:val="auto"/>
        </w:rPr>
      </w:pPr>
    </w:p>
    <w:p>
      <w:pPr>
        <w:ind w:left="320" w:right="60" w:hanging="317"/>
        <w:spacing w:after="0" w:line="250"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Fuel sale revenue is recognized when the Company has completed delivery of the product to the customer in accordance with the terms and conditions of the contract.</w:t>
      </w:r>
    </w:p>
    <w:p>
      <w:pPr>
        <w:ind w:left="320" w:hanging="317"/>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Vessel management and related services revenue is recognized in proportion to the services completed.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Logistics (in millions) (1)</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Borders>
              <w:bottom w:val="single" w:sz="8" w:color="auto"/>
            </w:tcBorders>
            <w:gridSpan w:val="2"/>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Brokerage and Freight Forwarding services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Warehouse and distribution services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chain management and other services</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581.5</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r>
              <w:rPr>
                <w:rFonts w:ascii="Arial" w:cs="Arial" w:eastAsia="Arial" w:hAnsi="Arial"/>
                <w:sz w:val="18"/>
                <w:szCs w:val="18"/>
                <w:u w:val="single" w:color="auto"/>
                <w:color w:val="auto"/>
              </w:rPr>
              <w:t>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r>
              <w:rPr>
                <w:rFonts w:ascii="Arial" w:cs="Arial" w:eastAsia="Arial" w:hAnsi="Arial"/>
                <w:sz w:val="18"/>
                <w:szCs w:val="18"/>
                <w:u w:val="single" w:color="auto"/>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460" w:hanging="317"/>
        <w:spacing w:after="0" w:line="335" w:lineRule="auto"/>
        <w:tabs>
          <w:tab w:leader="none" w:pos="3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Logistics revenue transactions are primarily denominated in U.S. dollars except for less than 3 percent of transportation brokerage and freight forwarding services revenue, and supply chain management and other services revenue categories which are denominated in foreign currencies.</w:t>
      </w:r>
    </w:p>
    <w:p>
      <w:pPr>
        <w:spacing w:after="0" w:line="65" w:lineRule="exact"/>
        <w:rPr>
          <w:sz w:val="20"/>
          <w:szCs w:val="20"/>
          <w:color w:val="auto"/>
        </w:rPr>
      </w:pPr>
    </w:p>
    <w:p>
      <w:pPr>
        <w:ind w:left="320" w:right="80" w:hanging="317"/>
        <w:spacing w:after="0" w:line="284" w:lineRule="auto"/>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Transportation Brokerage and Freight Forwarding services revenue consists of amounts billed to customers for services provided. The primary costs include third-party purchased transportation services, labor and equipment costs. Revenue and the related purchased third-party transportation costs are recognized over the duration of a delivery based upon the relative transit time completed in each reporting period. Labor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p>
      <w:pPr>
        <w:spacing w:after="0" w:line="4" w:lineRule="exact"/>
        <w:rPr>
          <w:rFonts w:ascii="Arial" w:cs="Arial" w:eastAsia="Arial" w:hAnsi="Arial"/>
          <w:sz w:val="16"/>
          <w:szCs w:val="16"/>
          <w:color w:val="auto"/>
        </w:rPr>
      </w:pPr>
    </w:p>
    <w:p>
      <w:pPr>
        <w:ind w:left="320" w:right="180" w:hanging="317"/>
        <w:spacing w:after="0" w:line="265" w:lineRule="auto"/>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Warehousing and distribution services revenue consist of amounts billed to customers for storage, handling, and value-added packaging of customer merchandise. Storage revenue is recognized in the month the service is provided to the customer. Storage expenses are recognized as incurred. Other warehousing and distribution services revenue and expense are recognized in proportion to the services performed.</w:t>
      </w:r>
    </w:p>
    <w:p>
      <w:pPr>
        <w:ind w:left="320" w:right="460" w:hanging="317"/>
        <w:spacing w:after="0" w:line="261"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Supply chain management and other services revenue and related costs are recognized in proportion to the services performed.</w:t>
      </w:r>
    </w:p>
    <w:p>
      <w:pPr>
        <w:spacing w:after="0" w:line="184" w:lineRule="exact"/>
        <w:rPr>
          <w:sz w:val="20"/>
          <w:szCs w:val="20"/>
          <w:color w:val="auto"/>
        </w:rPr>
      </w:pPr>
    </w:p>
    <w:p>
      <w:pPr>
        <w:jc w:val="both"/>
        <w:ind w:right="520"/>
        <w:spacing w:after="0" w:line="288" w:lineRule="auto"/>
        <w:rPr>
          <w:sz w:val="20"/>
          <w:szCs w:val="20"/>
          <w:color w:val="auto"/>
        </w:rPr>
      </w:pPr>
      <w:r>
        <w:rPr>
          <w:rFonts w:ascii="Arial" w:cs="Arial" w:eastAsia="Arial" w:hAnsi="Arial"/>
          <w:sz w:val="16"/>
          <w:szCs w:val="16"/>
          <w:color w:val="auto"/>
        </w:rPr>
        <w:t>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w:t>
      </w:r>
    </w:p>
    <w:p>
      <w:pPr>
        <w:spacing w:after="0" w:line="255" w:lineRule="auto"/>
        <w:rPr>
          <w:sz w:val="20"/>
          <w:szCs w:val="20"/>
          <w:color w:val="auto"/>
        </w:rPr>
      </w:pPr>
      <w:r>
        <w:rPr>
          <w:rFonts w:ascii="Arial" w:cs="Arial" w:eastAsia="Arial" w:hAnsi="Arial"/>
          <w:sz w:val="18"/>
          <w:szCs w:val="18"/>
          <w:color w:val="auto"/>
        </w:rPr>
        <w:t>year. The Company expenses sales commissions and contract acquisition costs as incurred because the amounts are generally immaterial. These expenses are included in selling, general and administration expenses in the Consolidated Statements of Income and Comprehensive Income.</w:t>
      </w:r>
    </w:p>
    <w:p>
      <w:pPr>
        <w:spacing w:after="0" w:line="1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Customer Concentration: </w:t>
      </w:r>
      <w:r>
        <w:rPr>
          <w:rFonts w:ascii="Arial" w:cs="Arial" w:eastAsia="Arial" w:hAnsi="Arial"/>
          <w:sz w:val="18"/>
          <w:szCs w:val="18"/>
          <w:color w:val="auto"/>
        </w:rPr>
        <w:t>The Ocean Transportation segment serves customers in numerous industries and carries a wide</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cargo, mitigating its dependence upon any single customer or single type of cargo. In 2018, 2017 and 2016, the 10 largest Ocean Transportation customers accounted for approximately 24 percent, 23 percent and 24 percent of Ocean Transportation revenue, respectively. None of these customers individually account for more than 10 percent of Ocean Transportation operating revenues.</w:t>
      </w:r>
    </w:p>
    <w:p>
      <w:pPr>
        <w:spacing w:after="0" w:line="18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Logistics segment serves customers in numerous industries and geographical locations. In 2018, 2017 and 2016, the 10 largest logistics customers accounted for approximately 23 percent, 19 percent and 22 percent of Logistics revenue, respectively. None of these customers individually account for more than 10 percent of Logistics operating revenues.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Company recognizes dividends as a liability when approved by the Board of Directors.</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i w:val="1"/>
          <w:iCs w:val="1"/>
          <w:color w:val="auto"/>
        </w:rPr>
        <w:t xml:space="preserve">Share-Based Compensation: </w:t>
      </w:r>
      <w:r>
        <w:rPr>
          <w:rFonts w:ascii="Arial" w:cs="Arial" w:eastAsia="Arial" w:hAnsi="Arial"/>
          <w:sz w:val="16"/>
          <w:szCs w:val="16"/>
          <w:color w:val="auto"/>
        </w:rPr>
        <w:t>The Company records compensation expense for all share-based awards made to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and directors. The Company’s various stock-based compensation plans are more fully described in Note 15.</w:t>
      </w:r>
    </w:p>
    <w:p>
      <w:pPr>
        <w:spacing w:after="0" w:line="12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The Company makes certain estimates and judgments in determining income tax expense for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 purposes. These estimates and judgments are applied in the calculation of taxable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income, tax credits, tax benefits and deductions, and in the calculation of certain deferred tax assets and liabilities, which arise from differences in the timing of recognition of revenue, costs and expenses for tax purposes. Deferred tax assets and liabilities are adjusted to the extent necessary to reflect tax rates expected to be in effect when the temporary differences reverse.</w:t>
      </w:r>
    </w:p>
    <w:p>
      <w:pPr>
        <w:spacing w:after="0" w:line="187"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The Company records a valuation allowance if, based on the weight of available evidence, management believes that it is more likely than not that some portion or all of a recorded deferred tax asset would not be realized in future</w:t>
      </w:r>
    </w:p>
    <w:p>
      <w:pPr>
        <w:ind w:right="360"/>
        <w:spacing w:after="0" w:line="261" w:lineRule="auto"/>
        <w:rPr>
          <w:sz w:val="20"/>
          <w:szCs w:val="20"/>
          <w:color w:val="auto"/>
        </w:rPr>
      </w:pPr>
      <w:r>
        <w:rPr>
          <w:rFonts w:ascii="Arial" w:cs="Arial" w:eastAsia="Arial" w:hAnsi="Arial"/>
          <w:sz w:val="18"/>
          <w:szCs w:val="18"/>
          <w:color w:val="auto"/>
        </w:rPr>
        <w:t>periods. Significant changes to these estimates may result in an increase or decrease to the Company’s income taxes in a subsequent period. The Company’s income taxes are more fully described in Note 10.</w:t>
      </w:r>
    </w:p>
    <w:p>
      <w:pPr>
        <w:spacing w:after="0" w:line="18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Rounding: </w:t>
      </w:r>
      <w:r>
        <w:rPr>
          <w:rFonts w:ascii="Arial" w:cs="Arial" w:eastAsia="Arial" w:hAnsi="Arial"/>
          <w:sz w:val="18"/>
          <w:szCs w:val="18"/>
          <w:color w:val="auto"/>
        </w:rPr>
        <w:t>Amounts in the Consolidated Financial Statements and Notes to the Consolidated Financial Statements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rounded to millions, except for per-share calculations and percentages which were determined based on amounts before rounding. Accordingly, a recalculation of some per-share amounts and percentages, if based on the reported data, may be slightly different.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r>
        <w:rPr>
          <w:rFonts w:ascii="Arial" w:cs="Arial" w:eastAsia="Arial" w:hAnsi="Arial"/>
          <w:sz w:val="18"/>
          <w:szCs w:val="18"/>
          <w:color w:val="auto"/>
        </w:rPr>
        <w:t>:</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Leases (Topic 842) </w:t>
      </w:r>
      <w:r>
        <w:rPr>
          <w:rFonts w:ascii="Arial" w:cs="Arial" w:eastAsia="Arial" w:hAnsi="Arial"/>
          <w:sz w:val="18"/>
          <w:szCs w:val="18"/>
          <w:color w:val="auto"/>
        </w:rPr>
        <w:t>(“ASU 2016-02”)</w:t>
      </w:r>
      <w:r>
        <w:rPr>
          <w:rFonts w:ascii="Arial" w:cs="Arial" w:eastAsia="Arial" w:hAnsi="Arial"/>
          <w:sz w:val="18"/>
          <w:szCs w:val="18"/>
          <w:i w:val="1"/>
          <w:iCs w:val="1"/>
          <w:color w:val="auto"/>
        </w:rPr>
        <w:t xml:space="preserve">: </w:t>
      </w:r>
      <w:r>
        <w:rPr>
          <w:rFonts w:ascii="Arial" w:cs="Arial" w:eastAsia="Arial" w:hAnsi="Arial"/>
          <w:sz w:val="18"/>
          <w:szCs w:val="18"/>
          <w:color w:val="auto"/>
        </w:rPr>
        <w:t>In February 2016, the Financial Accounting Standards Board (“FASB”) issued ASU</w:t>
      </w:r>
      <w:r>
        <w:rPr>
          <w:rFonts w:ascii="Arial" w:cs="Arial" w:eastAsia="Arial" w:hAnsi="Arial"/>
          <w:sz w:val="18"/>
          <w:szCs w:val="18"/>
          <w:i w:val="1"/>
          <w:iCs w:val="1"/>
          <w:color w:val="auto"/>
        </w:rPr>
        <w:t xml:space="preserve"> </w:t>
      </w:r>
      <w:r>
        <w:rPr>
          <w:rFonts w:ascii="Arial" w:cs="Arial" w:eastAsia="Arial" w:hAnsi="Arial"/>
          <w:sz w:val="18"/>
          <w:szCs w:val="18"/>
          <w:color w:val="auto"/>
        </w:rPr>
        <w:t>2016-02 which requires lessees to record operating and finance leases on their balance sheet and disclose information related to such arrangements. ASU 2016-02 states that a lessee would recognize a lease liability for the lease payment obligation, and a right-of-use asset for the underlying leased asset for the period of the lease term. For an operating lease, the recognition of lease expense in the income statement is expected to be similar to current practice. The new standard is effective for interim and annual periods beginning on or after December 15, 2018. A modified retrospective transition approach is required.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adopt ASU 2016-02 effective January 1, 2019 and plans to make the following elections:</w:t>
      </w:r>
    </w:p>
    <w:p>
      <w:pPr>
        <w:spacing w:after="0" w:line="225" w:lineRule="exact"/>
        <w:rPr>
          <w:sz w:val="20"/>
          <w:szCs w:val="20"/>
          <w:color w:val="auto"/>
        </w:rPr>
      </w:pPr>
    </w:p>
    <w:p>
      <w:pPr>
        <w:ind w:left="320" w:right="260" w:hanging="317"/>
        <w:spacing w:after="0" w:line="291" w:lineRule="auto"/>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Apply the transition requirements at the effective date of January 1, 2019, with the effects, if any, of initially applying ASU 2016-02 to be recognized as a cumulative-effect adjustment to retained earnings in the period of adoption;</w:t>
      </w:r>
    </w:p>
    <w:p>
      <w:pPr>
        <w:ind w:left="320" w:right="960" w:hanging="317"/>
        <w:spacing w:after="0" w:line="250" w:lineRule="auto"/>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package of practical expedient permitted under the transition guidance which allows the historical lease classification and initial direct costs to be carried forward;</w:t>
      </w:r>
    </w:p>
    <w:p>
      <w:pPr>
        <w:ind w:left="320" w:right="100" w:hanging="317"/>
        <w:spacing w:after="0" w:line="250" w:lineRule="auto"/>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Elect the short-term lease exception which allows the Company to exclude leases with an initial term of one year or less from recognition;</w:t>
      </w:r>
    </w:p>
    <w:p>
      <w:pPr>
        <w:ind w:left="320" w:hanging="317"/>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Elect to separate non-lease components; and</w:t>
      </w:r>
    </w:p>
    <w:p>
      <w:pPr>
        <w:spacing w:after="0" w:line="9" w:lineRule="exact"/>
        <w:rPr>
          <w:rFonts w:ascii="Arial" w:cs="Arial" w:eastAsia="Arial" w:hAnsi="Arial"/>
          <w:sz w:val="18"/>
          <w:szCs w:val="18"/>
          <w:color w:val="auto"/>
        </w:rPr>
      </w:pPr>
    </w:p>
    <w:p>
      <w:pPr>
        <w:ind w:left="320" w:right="520" w:hanging="317"/>
        <w:spacing w:after="0" w:line="255" w:lineRule="auto"/>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Elect to use a portfolio approach in applying discount rates to leases based upon the lease terms in the following categories: (i) one to five years; (ii) six to ten years; (iii) eleven to fifteen years; and (iv) sixteen years and greater, regardless of the type of asset.</w:t>
      </w:r>
    </w:p>
    <w:p>
      <w:pPr>
        <w:spacing w:after="0" w:line="19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plans to use its estimated incremental borrowing rate based on information available at the date of adoption in calculating the present value of its existing lease payments. The incremental borrowing rate will be determined using the U.S. Treasury rate adjusted to account for the Company’s credit rating and the collateralized nature of operating leases.</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estimates that upon adoption, it will initially record a right-of-use asset of approximately $252.9 million, and a corresponding current and long-term lease liability of approximately $54.2 million and $206.4 million, respectively. The Company will also record a cumulative-effect adjustment of approximately $5.9 million to increase beginning retained earnings at January 1, 2019, as a result of adopting ASU 2016-02. The Company does not believe that the adoption of ASU 2016-02 will have any significant impact on the Company’s current earnings, liquidity or existing debt covenant requirements. The Company’s finance leases and sub-lease income are nominal to the Company’s Consolidated Financial Statements.</w:t>
      </w:r>
    </w:p>
    <w:p>
      <w:pPr>
        <w:spacing w:after="0" w:line="189" w:lineRule="exact"/>
        <w:rPr>
          <w:sz w:val="20"/>
          <w:szCs w:val="20"/>
          <w:color w:val="auto"/>
        </w:rPr>
      </w:pPr>
    </w:p>
    <w:p>
      <w:pPr>
        <w:spacing w:after="0" w:line="220" w:lineRule="exact"/>
        <w:rPr>
          <w:sz w:val="20"/>
          <w:szCs w:val="20"/>
          <w:color w:val="auto"/>
        </w:rPr>
      </w:pP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(“ASU 2016-13”)</w:t>
      </w:r>
      <w:r>
        <w:rPr>
          <w:rFonts w:ascii="Arial" w:cs="Arial" w:eastAsia="Arial" w:hAnsi="Arial"/>
          <w:sz w:val="17"/>
          <w:szCs w:val="17"/>
          <w:i w:val="1"/>
          <w:iCs w:val="1"/>
          <w:color w:val="auto"/>
        </w:rPr>
        <w:t xml:space="preserve">: </w:t>
      </w:r>
      <w:r>
        <w:rPr>
          <w:rFonts w:ascii="Arial" w:cs="Arial" w:eastAsia="Arial" w:hAnsi="Arial"/>
          <w:sz w:val="17"/>
          <w:szCs w:val="17"/>
          <w:color w:val="auto"/>
        </w:rPr>
        <w:t>In June 2016, the FASB issued ASU 2016</w:t>
      </w:r>
      <w:r>
        <w:rPr>
          <w:rFonts w:ascii="MS PGothic" w:cs="MS PGothic" w:eastAsia="MS PGothic" w:hAnsi="MS PGothic"/>
          <w:sz w:val="17"/>
          <w:szCs w:val="17"/>
          <w:color w:val="auto"/>
        </w:rPr>
        <w:t>‑</w:t>
      </w:r>
      <w:r>
        <w:rPr>
          <w:rFonts w:ascii="Arial" w:cs="Arial" w:eastAsia="Arial" w:hAnsi="Arial"/>
          <w:sz w:val="17"/>
          <w:szCs w:val="17"/>
          <w:color w:val="auto"/>
        </w:rPr>
        <w:t>13</w:t>
      </w:r>
      <w:r>
        <w:rPr>
          <w:rFonts w:ascii="Arial" w:cs="Arial" w:eastAsia="Arial" w:hAnsi="Arial"/>
          <w:sz w:val="17"/>
          <w:szCs w:val="17"/>
          <w:i w:val="1"/>
          <w:iCs w:val="1"/>
          <w:color w:val="auto"/>
        </w:rPr>
        <w:t xml:space="preserve"> </w:t>
      </w:r>
      <w:r>
        <w:rPr>
          <w:rFonts w:ascii="Arial" w:cs="Arial" w:eastAsia="Arial" w:hAnsi="Arial"/>
          <w:sz w:val="17"/>
          <w:szCs w:val="17"/>
          <w:color w:val="auto"/>
        </w:rPr>
        <w:t>which amends the current approach to estimate credit losses on certain financial assets, including trade and other receivables, available-for-sale securities and other financial instruments. ASU 2016</w:t>
      </w:r>
      <w:r>
        <w:rPr>
          <w:rFonts w:ascii="MS PGothic" w:cs="MS PGothic" w:eastAsia="MS PGothic" w:hAnsi="MS PGothic"/>
          <w:sz w:val="17"/>
          <w:szCs w:val="17"/>
          <w:color w:val="auto"/>
        </w:rPr>
        <w:t>‑</w:t>
      </w:r>
      <w:r>
        <w:rPr>
          <w:rFonts w:ascii="Arial" w:cs="Arial" w:eastAsia="Arial" w:hAnsi="Arial"/>
          <w:sz w:val="17"/>
          <w:szCs w:val="17"/>
          <w:color w:val="auto"/>
        </w:rPr>
        <w:t>13 requires entities to establish a valuation allowance for the expected lifetime losses of certain financial instruments. Subsequent changes in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20" w:lineRule="exact"/>
        <w:rPr>
          <w:sz w:val="20"/>
          <w:szCs w:val="20"/>
          <w:color w:val="auto"/>
        </w:rPr>
      </w:pPr>
      <w:r>
        <w:rPr>
          <w:rFonts w:ascii="Arial" w:cs="Arial" w:eastAsia="Arial" w:hAnsi="Arial"/>
          <w:sz w:val="18"/>
          <w:szCs w:val="18"/>
          <w:color w:val="auto"/>
        </w:rPr>
        <w:t>the valuation allowance are recorded in current earnings and reversal of previous losses is permitted. The new standard is effective for interim and annual periods beginning on or after December 15, 2019, and early adoption is permitted. The Company is in the process of evaluating this new standard, but does not expect the adoption of ASU 2016</w:t>
      </w:r>
      <w:r>
        <w:rPr>
          <w:rFonts w:ascii="MS PGothic" w:cs="MS PGothic" w:eastAsia="MS PGothic" w:hAnsi="MS PGothic"/>
          <w:sz w:val="18"/>
          <w:szCs w:val="18"/>
          <w:color w:val="auto"/>
        </w:rPr>
        <w:t>‑</w:t>
      </w:r>
      <w:r>
        <w:rPr>
          <w:rFonts w:ascii="Arial" w:cs="Arial" w:eastAsia="Arial" w:hAnsi="Arial"/>
          <w:sz w:val="18"/>
          <w:szCs w:val="18"/>
          <w:color w:val="auto"/>
        </w:rPr>
        <w:t>13 to have a significant impact on the Company’s Consolidated Financial Statements.</w:t>
      </w:r>
    </w:p>
    <w:p>
      <w:pPr>
        <w:spacing w:after="0" w:line="2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Revenues from Contracts with Customers (Topic 606) (“ASU 2014-09”): </w:t>
      </w:r>
      <w:r>
        <w:rPr>
          <w:rFonts w:ascii="Arial" w:cs="Arial" w:eastAsia="Arial" w:hAnsi="Arial"/>
          <w:sz w:val="18"/>
          <w:szCs w:val="18"/>
          <w:color w:val="auto"/>
        </w:rPr>
        <w:t>The Company adopted ASU 2014-09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2018 using the modified retrospective method. Prior to adopting ASU 2014-09, the Company performed a review of its revenue contracts and evaluated the Company’s current accounting policies and procedures for recognizing revenues in the Company’s Consolidated Financial Statements, and compared these to the new requirements of ASU 2014-09. In addition, the Company identified the performance obligations and consideration applicable under each contract.</w:t>
      </w:r>
    </w:p>
    <w:p>
      <w:pPr>
        <w:spacing w:after="0" w:line="19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Based upon this evaluation, the Company determined that the impact of adopting ASU 2014-09 was de minimis because the analysis of the Company’s contracts under ASU 2014-09 supports the recognition of revenue over time as the service is performed, which is consistent with the Company’s current revenue recognition accounting policy. The majority of the Company’s contracts require the Company to provide ocean and logistics transportation services to its customers. Such services are provided by the Company over a period of time, generally, when cargo is being delivered from source to destination point, or as the service is being performed. These performance obligations are completed in a short period of time due to the nature of the services provided by the Company. Under the new standard, revenues from the majority of the Company’s contracts will continue to be recognized over time as the customer simultaneously receives and consumes the benefit of these services as described in ASU 2014-09.</w:t>
      </w:r>
    </w:p>
    <w:p>
      <w:pPr>
        <w:spacing w:after="0" w:line="18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Income Statement – Reporting Comprehensive Income (Topic 220) </w:t>
      </w:r>
      <w:r>
        <w:rPr>
          <w:rFonts w:ascii="Arial" w:cs="Arial" w:eastAsia="Arial" w:hAnsi="Arial"/>
          <w:sz w:val="18"/>
          <w:szCs w:val="18"/>
          <w:color w:val="auto"/>
        </w:rPr>
        <w:t>(“ASU 2018-02”): ASU 2018-02 allows a reclassification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accumulated other comprehensive income (loss) to retained earnings for the remeasurement tax effects resulting from the Tax Act. The Company elected to early adopt ASU 2018-02 during the three months ended March 31, 2018, and recorded a reclassification adjustment of $6.0 million between accumulated other comprehensive income (loss) and retained earnings (see Note 13).</w:t>
      </w:r>
    </w:p>
    <w:p>
      <w:pPr>
        <w:spacing w:after="0" w:line="18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Compensation – Retirement Benefits (Topic 715), Improving the Presentation of Net Periodic Pension Cost and Benefit Cost </w:t>
      </w:r>
      <w:r>
        <w:rPr>
          <w:rFonts w:ascii="Arial" w:cs="Arial" w:eastAsia="Arial" w:hAnsi="Arial"/>
          <w:sz w:val="17"/>
          <w:szCs w:val="17"/>
          <w:color w:val="auto"/>
        </w:rPr>
        <w:t>(“ASU 2017-07”): ASU 2017-07 requires employers that sponsor defined benefit pension and post-retirement plans to present the service cost component of net benefit cost in the same income statement line item as other employee compensation costs arising from services rendered, and that only the service cost component will be eligible for capitalization. The other components of the net periodic benefit cost must be presented separately from the line item that includes the service cost component and outside of the income from operations subtotal.</w:t>
      </w:r>
    </w:p>
    <w:p>
      <w:pPr>
        <w:spacing w:after="0" w:line="178" w:lineRule="exact"/>
        <w:rPr>
          <w:sz w:val="20"/>
          <w:szCs w:val="20"/>
          <w:color w:val="auto"/>
        </w:rPr>
      </w:pPr>
    </w:p>
    <w:p>
      <w:pPr>
        <w:ind w:right="220"/>
        <w:spacing w:after="0" w:line="219" w:lineRule="exact"/>
        <w:rPr>
          <w:sz w:val="20"/>
          <w:szCs w:val="20"/>
          <w:color w:val="auto"/>
        </w:rPr>
      </w:pPr>
      <w:r>
        <w:rPr>
          <w:rFonts w:ascii="Arial" w:cs="Arial" w:eastAsia="Arial" w:hAnsi="Arial"/>
          <w:sz w:val="18"/>
          <w:szCs w:val="18"/>
          <w:color w:val="auto"/>
        </w:rPr>
        <w:t>The Company adopted ASU 2017-07 during the three months ended March 31, 2018. To conform prior year amounts to current period presentation as required by ASU 2017-07, the Company recorded retrospective adjustments and reclassified $2.1 million of income and $2.1 million of expense from costs and expenses, to other income (expense), net in the Consolidated Statement of Income and Comprehensive Income for the years ended December 31, 2017 and 2016, respectively. There was no change to income before income taxes for all years presented as a result of adopting ASU 2017</w:t>
      </w:r>
      <w:r>
        <w:rPr>
          <w:rFonts w:ascii="MS PGothic" w:cs="MS PGothic" w:eastAsia="MS PGothic" w:hAnsi="MS PGothic"/>
          <w:sz w:val="18"/>
          <w:szCs w:val="18"/>
          <w:color w:val="auto"/>
        </w:rPr>
        <w:t>‑</w:t>
      </w:r>
      <w:r>
        <w:rPr>
          <w:rFonts w:ascii="Arial" w:cs="Arial" w:eastAsia="Arial" w:hAnsi="Arial"/>
          <w:sz w:val="18"/>
          <w:szCs w:val="18"/>
          <w:color w:val="auto"/>
        </w:rPr>
        <w:t>07.</w:t>
      </w:r>
    </w:p>
    <w:p>
      <w:pPr>
        <w:spacing w:after="0" w:line="20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Simplifying the Test for Goodwill Impairment (“</w:t>
      </w:r>
      <w:r>
        <w:rPr>
          <w:rFonts w:ascii="Arial" w:cs="Arial" w:eastAsia="Arial" w:hAnsi="Arial"/>
          <w:sz w:val="18"/>
          <w:szCs w:val="18"/>
          <w:color w:val="auto"/>
        </w:rPr>
        <w:t>ASU 2017-04”)</w:t>
      </w:r>
      <w:r>
        <w:rPr>
          <w:rFonts w:ascii="Arial" w:cs="Arial" w:eastAsia="Arial" w:hAnsi="Arial"/>
          <w:sz w:val="18"/>
          <w:szCs w:val="18"/>
          <w:i w:val="1"/>
          <w:iCs w:val="1"/>
          <w:color w:val="auto"/>
        </w:rPr>
        <w:t xml:space="preserve">: </w:t>
      </w:r>
      <w:r>
        <w:rPr>
          <w:rFonts w:ascii="Arial" w:cs="Arial" w:eastAsia="Arial" w:hAnsi="Arial"/>
          <w:sz w:val="18"/>
          <w:szCs w:val="18"/>
          <w:color w:val="auto"/>
        </w:rPr>
        <w:t>ASU 2017-04 simplifies the subsequent measurement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by eliminating step two from the goodwill impairment test. The Company early adopted ASU 2017-04 during the three months ended December 31, 2018. The adoption of this ASU had no impact on the Company’s Consolidated Financial Statements.</w:t>
      </w:r>
    </w:p>
    <w:p>
      <w:pPr>
        <w:spacing w:after="0" w:line="399" w:lineRule="exact"/>
        <w:rPr>
          <w:sz w:val="20"/>
          <w:szCs w:val="20"/>
          <w:color w:val="auto"/>
        </w:rPr>
      </w:pPr>
    </w:p>
    <w:p>
      <w:pPr>
        <w:ind w:left="780" w:hanging="777"/>
        <w:spacing w:after="0"/>
        <w:tabs>
          <w:tab w:leader="none" w:pos="7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consists of two reportable segments, Ocean Transportation and Logistics, which are further described in Note</w:t>
      </w:r>
    </w:p>
    <w:p>
      <w:pPr>
        <w:spacing w:after="0" w:line="46" w:lineRule="exact"/>
        <w:rPr>
          <w:sz w:val="20"/>
          <w:szCs w:val="20"/>
          <w:color w:val="auto"/>
        </w:rPr>
      </w:pPr>
    </w:p>
    <w:p>
      <w:pPr>
        <w:ind w:left="4440" w:right="840" w:hanging="4437"/>
        <w:spacing w:after="0" w:line="511" w:lineRule="auto"/>
        <w:tabs>
          <w:tab w:leader="none" w:pos="2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Reportable segments are measured based on operating income. In arrangements where the customer purchases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ocean transportation and logistics services, the revenues are allocated to each reportable segment based upon the contractual amounts for each type of service. The Company’s Terminal Joint Venture segment has been aggregated into the Company’s Ocean Transportation segment due to the operations of the Terminal Joint Venture being an integral part of the Company’s Ocean Transportation business (see Note 4). Included in the reportable segment information below are 52 weeks in the 2018 and 2017 fiscal years, and 53 weeks in the 2016 fiscal year.</w:t>
      </w:r>
    </w:p>
    <w:p>
      <w:pPr>
        <w:spacing w:after="0" w:line="17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Company’s Ocean Transportation segment provides ocean transportation services to the Logistics segment, and the Logistics segment provides logistics services to the Ocean Transportation segment. Accordingly, inter-segment revenue of $95.4 million, $81.3 million and $62.0 million for the years ended December 31, 2018, 2017 and 2016, respectively, have been eliminated from Logistics’ operating revenues due to the nature of how those services were performed.</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Reportable segment financial information for the years ended December 31, 2018, 2017 and 2016, and identifiable asset segment information at December 31, 2018 and 2017,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200"/>
              <w:spacing w:after="0"/>
              <w:rPr>
                <w:sz w:val="20"/>
                <w:szCs w:val="20"/>
                <w:color w:val="auto"/>
              </w:rPr>
            </w:pPr>
            <w:r>
              <w:rPr>
                <w:rFonts w:ascii="Arial" w:cs="Arial" w:eastAsia="Arial" w:hAnsi="Arial"/>
                <w:sz w:val="18"/>
                <w:szCs w:val="18"/>
                <w:color w:val="auto"/>
              </w:rPr>
              <w:t>Ocean Transportation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9"/>
              </w:rPr>
              <w:t>1,641.3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1,571.8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Operating Revenue</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2,222.8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2,046.9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200"/>
              <w:spacing w:after="0"/>
              <w:rPr>
                <w:sz w:val="20"/>
                <w:szCs w:val="20"/>
                <w:color w:val="auto"/>
              </w:rPr>
            </w:pPr>
            <w:r>
              <w:rPr>
                <w:rFonts w:ascii="Arial" w:cs="Arial" w:eastAsia="Arial" w:hAnsi="Arial"/>
                <w:sz w:val="18"/>
                <w:szCs w:val="18"/>
                <w:color w:val="auto"/>
              </w:rPr>
              <w:t>Ocean Transportation (1)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131.1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126.4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Logistics (2)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gridSpan w:val="2"/>
          </w:tcPr>
          <w:p>
            <w:pPr>
              <w:ind w:left="420"/>
              <w:spacing w:after="0"/>
              <w:rPr>
                <w:sz w:val="20"/>
                <w:szCs w:val="20"/>
                <w:color w:val="auto"/>
              </w:rPr>
            </w:pPr>
            <w:r>
              <w:rPr>
                <w:rFonts w:ascii="Arial" w:cs="Arial" w:eastAsia="Arial" w:hAnsi="Arial"/>
                <w:sz w:val="18"/>
                <w:szCs w:val="18"/>
                <w:color w:val="auto"/>
              </w:rPr>
              <w:t>Total Operating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taxes (3)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200"/>
              <w:spacing w:after="0"/>
              <w:rPr>
                <w:sz w:val="20"/>
                <w:szCs w:val="20"/>
                <w:color w:val="auto"/>
              </w:rPr>
            </w:pPr>
            <w:r>
              <w:rPr>
                <w:rFonts w:ascii="Arial" w:cs="Arial" w:eastAsia="Arial" w:hAnsi="Arial"/>
                <w:sz w:val="18"/>
                <w:szCs w:val="18"/>
                <w:color w:val="auto"/>
              </w:rPr>
              <w:t>Ocean Transportation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385.4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305.3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Capital Expenditures</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Ocean Transportation</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Logistics</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Deferred dry-docking amortization - Ocean Transportation</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Depreciation and Amortization</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220" w:hanging="317"/>
        <w:spacing w:after="0" w:line="230" w:lineRule="auto"/>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Ocean Transportation segment information includes $36.8 million, $28.2 million, and $15.8 million of equity in income from the Company’s equity investment in SSAT for the years ended December 31, 2018, 2017, and 2016, respectively.</w:t>
      </w:r>
    </w:p>
    <w:p>
      <w:pPr>
        <w:ind w:left="320" w:hanging="317"/>
        <w:spacing w:after="0" w:line="221" w:lineRule="auto"/>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Logistics segment information includes the operations of Span Alaska acquired as of August 4, 2016.</w:t>
      </w:r>
    </w:p>
    <w:p>
      <w:pPr>
        <w:ind w:left="320" w:hanging="317"/>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Income taxes and net income were adjusted for an immaterial correction of an error for the year ended December 31, 2017 (see Note 2).</w:t>
      </w:r>
    </w:p>
    <w:tbl>
      <w:tblPr>
        <w:tblLayout w:type="fixed"/>
        <w:tblInd w:w="0" w:type="dxa"/>
        <w:tblCellMar>
          <w:top w:w="0" w:type="dxa"/>
          <w:left w:w="0" w:type="dxa"/>
          <w:bottom w:w="0" w:type="dxa"/>
          <w:right w:w="0" w:type="dxa"/>
        </w:tblCellMar>
      </w:tblPr>
      <w:tr>
        <w:trPr>
          <w:trHeight w:val="156"/>
        </w:trPr>
        <w:tc>
          <w:tcPr>
            <w:tcW w:w="22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234"/>
              <w:spacing w:after="0" w:line="157" w:lineRule="exact"/>
              <w:rPr>
                <w:sz w:val="20"/>
                <w:szCs w:val="20"/>
                <w:color w:val="auto"/>
              </w:rPr>
            </w:pPr>
            <w:r>
              <w:rPr>
                <w:rFonts w:ascii="Arial" w:cs="Arial" w:eastAsia="Arial" w:hAnsi="Arial"/>
                <w:sz w:val="14"/>
                <w:szCs w:val="14"/>
                <w:b w:val="1"/>
                <w:bCs w:val="1"/>
                <w:color w:val="auto"/>
              </w:rPr>
              <w:t>As of December 31,</w:t>
            </w:r>
          </w:p>
        </w:tc>
      </w:tr>
      <w:tr>
        <w:trPr>
          <w:trHeight w:val="196"/>
        </w:trPr>
        <w:tc>
          <w:tcPr>
            <w:tcW w:w="72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660" w:type="dxa"/>
            <w:vAlign w:val="bottom"/>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2017</w:t>
            </w:r>
          </w:p>
        </w:tc>
      </w:tr>
      <w:tr>
        <w:trPr>
          <w:trHeight w:val="210"/>
        </w:trPr>
        <w:tc>
          <w:tcPr>
            <w:tcW w:w="7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16"/>
        </w:trPr>
        <w:tc>
          <w:tcPr>
            <w:tcW w:w="7260" w:type="dxa"/>
            <w:vAlign w:val="bottom"/>
            <w:gridSpan w:val="3"/>
          </w:tcPr>
          <w:p>
            <w:pPr>
              <w:ind w:left="220"/>
              <w:spacing w:after="0"/>
              <w:rPr>
                <w:sz w:val="20"/>
                <w:szCs w:val="20"/>
                <w:color w:val="auto"/>
              </w:rPr>
            </w:pPr>
            <w:r>
              <w:rPr>
                <w:rFonts w:ascii="Arial" w:cs="Arial" w:eastAsia="Arial" w:hAnsi="Arial"/>
                <w:sz w:val="18"/>
                <w:szCs w:val="18"/>
                <w:color w:val="auto"/>
              </w:rPr>
              <w:t>Ocean Transportation (1) (2)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2,071.6</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6"/>
              </w:rPr>
              <w:t>1,941.5</w:t>
            </w:r>
          </w:p>
        </w:tc>
      </w:tr>
      <w:tr>
        <w:trPr>
          <w:trHeight w:val="216"/>
        </w:trPr>
        <w:tc>
          <w:tcPr>
            <w:tcW w:w="7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r>
      <w:tr>
        <w:trPr>
          <w:trHeight w:val="217"/>
        </w:trPr>
        <w:tc>
          <w:tcPr>
            <w:tcW w:w="7260" w:type="dxa"/>
            <w:vAlign w:val="bottom"/>
            <w:gridSpan w:val="3"/>
          </w:tcPr>
          <w:p>
            <w:pPr>
              <w:ind w:left="440"/>
              <w:spacing w:after="0"/>
              <w:rPr>
                <w:sz w:val="20"/>
                <w:szCs w:val="20"/>
                <w:color w:val="auto"/>
              </w:rPr>
            </w:pPr>
            <w:r>
              <w:rPr>
                <w:rFonts w:ascii="Arial" w:cs="Arial" w:eastAsia="Arial" w:hAnsi="Arial"/>
                <w:sz w:val="18"/>
                <w:szCs w:val="18"/>
                <w:color w:val="auto"/>
              </w:rPr>
              <w:t>Total Assets (2)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2,430.4</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2,251.6</w:t>
            </w:r>
          </w:p>
        </w:tc>
      </w:tr>
      <w:tr>
        <w:trPr>
          <w:trHeight w:val="115"/>
        </w:trPr>
        <w:tc>
          <w:tcPr>
            <w:tcW w:w="2280" w:type="dxa"/>
            <w:vAlign w:val="bottom"/>
            <w:tcBorders>
              <w:bottom w:val="single" w:sz="8" w:color="auto"/>
            </w:tcBorders>
          </w:tcPr>
          <w:p>
            <w:pPr>
              <w:spacing w:after="0"/>
              <w:rPr>
                <w:sz w:val="10"/>
                <w:szCs w:val="10"/>
                <w:color w:val="auto"/>
              </w:rPr>
            </w:pPr>
          </w:p>
        </w:tc>
        <w:tc>
          <w:tcPr>
            <w:tcW w:w="4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r>
    </w:tbl>
    <w:p>
      <w:pPr>
        <w:spacing w:after="0" w:line="89" w:lineRule="exact"/>
        <w:rPr>
          <w:sz w:val="20"/>
          <w:szCs w:val="20"/>
          <w:color w:val="auto"/>
        </w:rPr>
      </w:pPr>
    </w:p>
    <w:p>
      <w:pPr>
        <w:ind w:left="320" w:right="120" w:hanging="317"/>
        <w:spacing w:after="0" w:line="230" w:lineRule="auto"/>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Ocean Transportation segment includes $87.0 million and $93.2 million related to the Company’s equity investment in SSAT as of December 31, 2018 and 2017, respectively.</w:t>
      </w:r>
    </w:p>
    <w:p>
      <w:pPr>
        <w:ind w:left="320" w:hanging="317"/>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as of December 31, 2017 have been adjusted for an immaterial correction of an error (see Note 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80" w:hanging="677"/>
        <w:spacing w:after="0"/>
        <w:tabs>
          <w:tab w:leader="none" w:pos="6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TERMINAL JOINT VENTURE</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accounts for its 35 percent ownership interest in the Terminal Joint Venture using the equity method of accounting. The Company records its share of income from the Terminal Joint Venture in costs and expenses within the Ocean Transportation segment due to operations of the Terminal Joint Venture being an integral part of the Company’s Ocean Transportation business. The Company’s investment in the Terminal Joint Venture was $87.0 million and $93.2 million at December 31, 2018 and 2017, respectively.</w:t>
      </w:r>
    </w:p>
    <w:p>
      <w:pPr>
        <w:spacing w:after="0" w:line="188" w:lineRule="exact"/>
        <w:rPr>
          <w:sz w:val="20"/>
          <w:szCs w:val="20"/>
          <w:color w:val="auto"/>
        </w:rPr>
      </w:pPr>
    </w:p>
    <w:p>
      <w:pPr>
        <w:ind w:right="620"/>
        <w:spacing w:after="0" w:line="338" w:lineRule="auto"/>
        <w:rPr>
          <w:sz w:val="20"/>
          <w:szCs w:val="20"/>
          <w:color w:val="auto"/>
        </w:rPr>
      </w:pPr>
      <w:r>
        <w:rPr>
          <w:rFonts w:ascii="Arial" w:cs="Arial" w:eastAsia="Arial" w:hAnsi="Arial"/>
          <w:sz w:val="16"/>
          <w:szCs w:val="16"/>
          <w:color w:val="auto"/>
        </w:rPr>
        <w:t>The Company’s share of income recorded in the Consolidated Statements of Income and Comprehensive Income and dividends received by the Company during the years ended December 31, 2018, 2017 and 2016 are as follows:</w:t>
      </w:r>
    </w:p>
    <w:tbl>
      <w:tblPr>
        <w:tblLayout w:type="fixed"/>
        <w:tblInd w:w="0" w:type="dxa"/>
        <w:tblCellMar>
          <w:top w:w="0" w:type="dxa"/>
          <w:left w:w="0" w:type="dxa"/>
          <w:bottom w:w="0" w:type="dxa"/>
          <w:right w:w="0" w:type="dxa"/>
        </w:tblCellMar>
      </w:tblPr>
      <w:tr>
        <w:trPr>
          <w:trHeight w:val="171"/>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8"/>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5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Company's share of net income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36.8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Distributions received</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120"/>
              <w:spacing w:after="0"/>
              <w:rPr>
                <w:sz w:val="20"/>
                <w:szCs w:val="20"/>
                <w:color w:val="auto"/>
              </w:rPr>
            </w:pPr>
            <w:r>
              <w:rPr>
                <w:rFonts w:ascii="Arial" w:cs="Arial" w:eastAsia="Arial" w:hAnsi="Arial"/>
                <w:sz w:val="18"/>
                <w:szCs w:val="18"/>
                <w:color w:val="auto"/>
                <w:w w:val="96"/>
              </w:rPr>
              <w:t>42.0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Ocean Transportation segment operating costs include $213.4 million, $181.3 million and $177.8 million for the years ended December 31, 2018, 2017 and 2016, respectively, for terminal services provided by SSAT. Accounts payable and accrued liabilities in the Consolidated Balance Sheets include $59.2 million and $22.8 million for terminal services payable to SSAT at December 31, 2018 and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condensed balance sheets of SSAT at December 31, 2018 and 2017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Condensed Balance Sheets (in millions)</w:t>
            </w:r>
          </w:p>
        </w:tc>
        <w:tc>
          <w:tcPr>
            <w:tcW w:w="140" w:type="dxa"/>
            <w:vAlign w:val="bottom"/>
          </w:tcPr>
          <w:p>
            <w:pPr>
              <w:spacing w:after="0"/>
              <w:rPr>
                <w:sz w:val="14"/>
                <w:szCs w:val="14"/>
                <w:color w:val="auto"/>
              </w:rPr>
            </w:pPr>
          </w:p>
        </w:tc>
        <w:tc>
          <w:tcPr>
            <w:tcW w:w="1560" w:type="dxa"/>
            <w:vAlign w:val="bottom"/>
            <w:gridSpan w:val="5"/>
          </w:tcPr>
          <w:p>
            <w:pPr>
              <w:ind w:left="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36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Non-current assets</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60" w:type="dxa"/>
            <w:vAlign w:val="bottom"/>
            <w:gridSpan w:val="2"/>
          </w:tcPr>
          <w:p>
            <w:pPr>
              <w:ind w:left="1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A summary of the condensed statements of operating income and net income of SSAT for years ended December 31, 2018, 2017 and 2016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Condensed Statements of Operating Income and Net Income (in millions)</w:t>
            </w: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w w:val="83"/>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1,074.2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740.9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706.5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60" w:type="dxa"/>
            <w:vAlign w:val="bottom"/>
            <w:gridSpan w:val="3"/>
          </w:tcPr>
          <w:p>
            <w:pPr>
              <w:ind w:left="120"/>
              <w:spacing w:after="0"/>
              <w:rPr>
                <w:sz w:val="20"/>
                <w:szCs w:val="20"/>
                <w:color w:val="auto"/>
              </w:rPr>
            </w:pPr>
            <w:r>
              <w:rPr>
                <w:rFonts w:ascii="Arial" w:cs="Arial" w:eastAsia="Arial" w:hAnsi="Arial"/>
                <w:sz w:val="18"/>
                <w:szCs w:val="18"/>
                <w:color w:val="auto"/>
              </w:rPr>
              <w:t>Net Income (1)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60" w:hanging="357"/>
        <w:spacing w:after="0"/>
        <w:tabs>
          <w:tab w:leader="none" w:pos="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earnings from equity method investments held by SSAT less earnings allocated to non-controlling interests.</w:t>
      </w:r>
    </w:p>
    <w:p>
      <w:pPr>
        <w:spacing w:after="0" w:line="200" w:lineRule="exact"/>
        <w:rPr>
          <w:sz w:val="20"/>
          <w:szCs w:val="20"/>
          <w:color w:val="auto"/>
        </w:rPr>
      </w:pPr>
    </w:p>
    <w:p>
      <w:pPr>
        <w:spacing w:after="0" w:line="261" w:lineRule="exact"/>
        <w:rPr>
          <w:sz w:val="20"/>
          <w:szCs w:val="20"/>
          <w:color w:val="auto"/>
        </w:rPr>
      </w:pPr>
    </w:p>
    <w:p>
      <w:pPr>
        <w:ind w:left="680" w:hanging="677"/>
        <w:spacing w:after="0"/>
        <w:tabs>
          <w:tab w:leader="none" w:pos="6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Property and equipment at December 31, 2018 and 2017, and depreciation expense for the years ended December 31, 2018, 2017 and 2016 is as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w w:val="93"/>
              </w:rPr>
              <w:t>As of December 31, 2018</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w w:val="93"/>
              </w:rPr>
              <w:t>As of December 31, 2017</w:t>
            </w: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Net Book Value</w:t>
            </w:r>
          </w:p>
        </w:tc>
        <w:tc>
          <w:tcPr>
            <w:tcW w:w="200" w:type="dxa"/>
            <w:vAlign w:val="bottom"/>
          </w:tcPr>
          <w:p>
            <w:pPr>
              <w:spacing w:after="0"/>
              <w:rPr>
                <w:sz w:val="10"/>
                <w:szCs w:val="10"/>
                <w:color w:val="auto"/>
              </w:rPr>
            </w:pPr>
          </w:p>
        </w:tc>
        <w:tc>
          <w:tcPr>
            <w:tcW w:w="7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0"/>
                <w:szCs w:val="10"/>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Net Book Value</w:t>
            </w:r>
          </w:p>
        </w:tc>
        <w:tc>
          <w:tcPr>
            <w:tcW w:w="0" w:type="dxa"/>
            <w:vAlign w:val="bottom"/>
          </w:tcPr>
          <w:p>
            <w:pPr>
              <w:spacing w:after="0"/>
              <w:rPr>
                <w:sz w:val="1"/>
                <w:szCs w:val="1"/>
                <w:color w:val="auto"/>
              </w:rPr>
            </w:pPr>
          </w:p>
        </w:tc>
      </w:tr>
      <w:tr>
        <w:trPr>
          <w:trHeight w:val="171"/>
        </w:trPr>
        <w:tc>
          <w:tcPr>
            <w:tcW w:w="2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Depreciation</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Depreciation</w:t>
            </w:r>
          </w:p>
        </w:tc>
        <w:tc>
          <w:tcPr>
            <w:tcW w:w="1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Vessels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1,489.2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642.1</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$ 1,433.6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893.2</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Containers and equipment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362.9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8"/>
              </w:rPr>
              <w:t>Terminal facilities and other property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Vessel construction in progress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487.2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Other construction in progress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80" w:type="dxa"/>
            <w:vAlign w:val="bottom"/>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2,615.2</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1,248.6</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1,366.6</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$ 2,444.2</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1,278.5</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1,165.</w:t>
            </w:r>
            <w:r>
              <w:rPr>
                <w:rFonts w:ascii="Arial" w:cs="Arial" w:eastAsia="Arial" w:hAnsi="Arial"/>
                <w:sz w:val="18"/>
                <w:szCs w:val="18"/>
                <w:u w:val="single" w:color="auto"/>
                <w:color w:val="auto"/>
                <w:w w:val="93"/>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2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58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Vessel construction in progress represents progress payments for the construction of four new vessels, and other related costs. During the year ended December 31, 2018, the construction of the first vessel was completed and the vessel was placed into service resulting in approximately $233.0 million, including $12.8 million of capitalized interest, transferred from Vessel construction in progress category to Vessels category within Property and Equipment. As of December 31, 2018 and 2017, vessel construction in progress costs included capitalized interest of $16.3 million and $10.4 million, respectively.</w:t>
      </w:r>
    </w:p>
    <w:p>
      <w:pPr>
        <w:spacing w:after="0" w:line="15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Property and equipment includes assets subject to capital leases with a net book value of $0.1 million and $4.9 million, net of accumulated depreciation of $0.7 million and $3.8 million at December 31, 2018 and 2017, respectively. Depreciation of assets subject to capital leases recorded in the Consolidated Statement of Income and Comprehensive Income was $0.5 million, $1.5 million and $1.2 million for the years ended December 31, 2018, 2017 and 2016, respectively.</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6.</w:t>
            </w:r>
          </w:p>
        </w:tc>
        <w:tc>
          <w:tcPr>
            <w:tcW w:w="5620" w:type="dxa"/>
            <w:vAlign w:val="bottom"/>
          </w:tcPr>
          <w:p>
            <w:pPr>
              <w:ind w:left="280"/>
              <w:spacing w:after="0"/>
              <w:rPr>
                <w:sz w:val="20"/>
                <w:szCs w:val="20"/>
                <w:color w:val="auto"/>
              </w:rPr>
            </w:pPr>
            <w:r>
              <w:rPr>
                <w:rFonts w:ascii="Arial" w:cs="Arial" w:eastAsia="Arial" w:hAnsi="Arial"/>
                <w:sz w:val="18"/>
                <w:szCs w:val="18"/>
                <w:b w:val="1"/>
                <w:bCs w:val="1"/>
                <w:color w:val="auto"/>
              </w:rPr>
              <w:t>GOODWILL AND INTANGIBLE ASSETS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20" w:type="dxa"/>
            <w:vAlign w:val="bottom"/>
            <w:gridSpan w:val="2"/>
          </w:tcPr>
          <w:p>
            <w:pPr>
              <w:spacing w:after="0"/>
              <w:rPr>
                <w:sz w:val="20"/>
                <w:szCs w:val="20"/>
                <w:color w:val="auto"/>
              </w:rPr>
            </w:pPr>
            <w:r>
              <w:rPr>
                <w:rFonts w:ascii="Arial" w:cs="Arial" w:eastAsia="Arial" w:hAnsi="Arial"/>
                <w:sz w:val="18"/>
                <w:szCs w:val="18"/>
                <w:color w:val="auto"/>
                <w:w w:val="92"/>
              </w:rPr>
              <w:t>Goodwill by segment as of December 31, 2018 and 2017 consist of the following:</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Ocean</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6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Logistics</w:t>
            </w:r>
          </w:p>
        </w:tc>
        <w:tc>
          <w:tcPr>
            <w:tcW w:w="1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6020" w:type="dxa"/>
            <w:vAlign w:val="bottom"/>
            <w:gridSpan w:val="2"/>
            <w:vMerge w:val="continue"/>
          </w:tcPr>
          <w:p>
            <w:pPr>
              <w:spacing w:after="0"/>
              <w:rPr>
                <w:sz w:val="14"/>
                <w:szCs w:val="14"/>
                <w:color w:val="auto"/>
              </w:rPr>
            </w:pPr>
          </w:p>
        </w:tc>
        <w:tc>
          <w:tcPr>
            <w:tcW w:w="1220" w:type="dxa"/>
            <w:vAlign w:val="bottom"/>
            <w:gridSpan w:val="4"/>
          </w:tcPr>
          <w:p>
            <w:pPr>
              <w:ind w:left="200"/>
              <w:spacing w:after="0"/>
              <w:rPr>
                <w:sz w:val="20"/>
                <w:szCs w:val="20"/>
                <w:color w:val="auto"/>
              </w:rPr>
            </w:pPr>
            <w:r>
              <w:rPr>
                <w:rFonts w:ascii="Arial" w:cs="Arial" w:eastAsia="Arial" w:hAnsi="Arial"/>
                <w:sz w:val="14"/>
                <w:szCs w:val="14"/>
                <w:b w:val="1"/>
                <w:bCs w:val="1"/>
                <w:color w:val="auto"/>
              </w:rPr>
              <w:t>Transportation</w:t>
            </w: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02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105.2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327.8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by segment as of December 31, 2018 and 2017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4"/>
                <w:szCs w:val="14"/>
                <w:b w:val="1"/>
                <w:bCs w:val="1"/>
                <w:color w:val="auto"/>
              </w:rPr>
              <w:t>As of December 31, 2018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4"/>
                <w:szCs w:val="14"/>
                <w:b w:val="1"/>
                <w:bCs w:val="1"/>
                <w:color w:val="auto"/>
              </w:rPr>
              <w:t>As of December 31, 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62"/>
              <w:spacing w:after="0"/>
              <w:rPr>
                <w:sz w:val="20"/>
                <w:szCs w:val="20"/>
                <w:color w:val="auto"/>
              </w:rPr>
            </w:pPr>
            <w:r>
              <w:rPr>
                <w:rFonts w:ascii="Arial" w:cs="Arial" w:eastAsia="Arial" w:hAnsi="Arial"/>
                <w:sz w:val="14"/>
                <w:szCs w:val="14"/>
                <w:b w:val="1"/>
                <w:bCs w:val="1"/>
                <w:color w:val="auto"/>
                <w:w w:val="88"/>
              </w:rPr>
              <w:t>Gross</w:t>
            </w:r>
          </w:p>
        </w:tc>
        <w:tc>
          <w:tcPr>
            <w:tcW w:w="1040" w:type="dxa"/>
            <w:vAlign w:val="bottom"/>
            <w:gridSpan w:val="4"/>
          </w:tcPr>
          <w:p>
            <w:pPr>
              <w:ind w:left="160"/>
              <w:spacing w:after="0"/>
              <w:rPr>
                <w:sz w:val="20"/>
                <w:szCs w:val="20"/>
                <w:color w:val="auto"/>
              </w:rPr>
            </w:pPr>
            <w:r>
              <w:rPr>
                <w:rFonts w:ascii="Arial" w:cs="Arial" w:eastAsia="Arial" w:hAnsi="Arial"/>
                <w:sz w:val="14"/>
                <w:szCs w:val="14"/>
                <w:b w:val="1"/>
                <w:bCs w:val="1"/>
                <w:color w:val="auto"/>
                <w:w w:val="97"/>
              </w:rPr>
              <w:t>Accumulated</w:t>
            </w:r>
          </w:p>
        </w:tc>
        <w:tc>
          <w:tcPr>
            <w:tcW w:w="60" w:type="dxa"/>
            <w:vAlign w:val="bottom"/>
          </w:tcPr>
          <w:p>
            <w:pPr>
              <w:spacing w:after="0"/>
              <w:rPr>
                <w:sz w:val="15"/>
                <w:szCs w:val="15"/>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Net Book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62"/>
              <w:spacing w:after="0"/>
              <w:rPr>
                <w:sz w:val="20"/>
                <w:szCs w:val="20"/>
                <w:color w:val="auto"/>
              </w:rPr>
            </w:pPr>
            <w:r>
              <w:rPr>
                <w:rFonts w:ascii="Arial" w:cs="Arial" w:eastAsia="Arial" w:hAnsi="Arial"/>
                <w:sz w:val="14"/>
                <w:szCs w:val="14"/>
                <w:b w:val="1"/>
                <w:bCs w:val="1"/>
                <w:color w:val="auto"/>
                <w:w w:val="88"/>
              </w:rPr>
              <w:t>Gross</w:t>
            </w:r>
          </w:p>
        </w:tc>
        <w:tc>
          <w:tcPr>
            <w:tcW w:w="1100" w:type="dxa"/>
            <w:vAlign w:val="bottom"/>
            <w:gridSpan w:val="4"/>
          </w:tcPr>
          <w:p>
            <w:pPr>
              <w:ind w:left="14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5"/>
                <w:szCs w:val="15"/>
                <w:color w:val="auto"/>
              </w:rPr>
            </w:pPr>
          </w:p>
        </w:tc>
        <w:tc>
          <w:tcPr>
            <w:tcW w:w="6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88"/>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7"/>
                <w:szCs w:val="7"/>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3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Ocean Transportation - Customer relationships</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80" w:type="dxa"/>
            <w:vAlign w:val="bottom"/>
          </w:tcPr>
          <w:p>
            <w:pPr>
              <w:spacing w:after="0"/>
              <w:rPr>
                <w:sz w:val="20"/>
                <w:szCs w:val="20"/>
                <w:color w:val="auto"/>
              </w:rPr>
            </w:pPr>
            <w:r>
              <w:rPr>
                <w:rFonts w:ascii="Arial" w:cs="Arial" w:eastAsia="Arial" w:hAnsi="Arial"/>
                <w:sz w:val="16"/>
                <w:szCs w:val="16"/>
                <w:color w:val="auto"/>
              </w:rPr>
              <w:t>Logistics: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Customer relationships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20"/>
              <w:spacing w:after="0"/>
              <w:rPr>
                <w:sz w:val="20"/>
                <w:szCs w:val="20"/>
                <w:color w:val="auto"/>
              </w:rPr>
            </w:pPr>
            <w:r>
              <w:rPr>
                <w:rFonts w:ascii="Arial" w:cs="Arial" w:eastAsia="Arial" w:hAnsi="Arial"/>
                <w:sz w:val="16"/>
                <w:szCs w:val="16"/>
                <w:color w:val="auto"/>
              </w:rPr>
              <w:t>Trade name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Logistics</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214.0</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Ocean Transportation intangible assets of $140.6 million relates to customer relationships acquired as part of the acquisition of Horizon Lines, Inc. (“Horizon”) on May 29, 2015, and is being amortized over 21 years. Logistics intangible assets include $79.3 million of customer relationships which are being amortized over 20 years, and $27.3 million of an indefinite life trade name, acquired as part of the Span Alaska Acquisition (see Note 18). The remaining Logistics customer relationships of $10.8 million are being amortized over a period of up to 13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related amortization expense for 2018, 2017, and 2016,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center"/>
              <w:ind w:left="342"/>
              <w:spacing w:after="0"/>
              <w:rPr>
                <w:sz w:val="20"/>
                <w:szCs w:val="20"/>
                <w:color w:val="auto"/>
              </w:rPr>
            </w:pPr>
            <w:r>
              <w:rPr>
                <w:rFonts w:ascii="Arial" w:cs="Arial" w:eastAsia="Arial" w:hAnsi="Arial"/>
                <w:sz w:val="14"/>
                <w:szCs w:val="14"/>
                <w:b w:val="1"/>
                <w:bCs w:val="1"/>
                <w:color w:val="auto"/>
                <w:w w:val="92"/>
              </w:rPr>
              <w:t>Years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20" w:type="dxa"/>
            <w:vAlign w:val="bottom"/>
            <w:tcBorders>
              <w:bottom w:val="single" w:sz="8" w:color="auto"/>
            </w:tcBorders>
            <w:vMerge w:val="continue"/>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7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3020" w:type="dxa"/>
            <w:vAlign w:val="bottom"/>
          </w:tcPr>
          <w:p>
            <w:pPr>
              <w:spacing w:after="0"/>
              <w:rPr>
                <w:sz w:val="24"/>
                <w:szCs w:val="24"/>
                <w:color w:val="auto"/>
              </w:rPr>
            </w:pPr>
          </w:p>
        </w:tc>
        <w:tc>
          <w:tcPr>
            <w:tcW w:w="2700" w:type="dxa"/>
            <w:vAlign w:val="bottom"/>
          </w:tcPr>
          <w:p>
            <w:pPr>
              <w:jc w:val="right"/>
              <w:ind w:right="101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30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As of December 31, 2018, estimated amortization expense related to customer relationships intangible assets during the next five years and thereafter are as follows:</w:t>
      </w:r>
    </w:p>
    <w:tbl>
      <w:tblPr>
        <w:tblLayout w:type="fixed"/>
        <w:tblInd w:w="0" w:type="dxa"/>
        <w:tblCellMar>
          <w:top w:w="0" w:type="dxa"/>
          <w:left w:w="0" w:type="dxa"/>
          <w:bottom w:w="0" w:type="dxa"/>
          <w:right w:w="0" w:type="dxa"/>
        </w:tblCellMar>
      </w:tblPr>
      <w:tr>
        <w:trPr>
          <w:trHeight w:val="141"/>
        </w:trPr>
        <w:tc>
          <w:tcPr>
            <w:tcW w:w="7600" w:type="dxa"/>
            <w:vAlign w:val="bottom"/>
            <w:vMerge w:val="restart"/>
          </w:tcPr>
          <w:p>
            <w:pPr>
              <w:spacing w:after="0"/>
              <w:rPr>
                <w:sz w:val="20"/>
                <w:szCs w:val="20"/>
                <w:color w:val="auto"/>
              </w:rPr>
            </w:pPr>
            <w:r>
              <w:rPr>
                <w:rFonts w:ascii="Arial" w:cs="Arial" w:eastAsia="Arial" w:hAnsi="Arial"/>
                <w:sz w:val="14"/>
                <w:szCs w:val="14"/>
                <w:b w:val="1"/>
                <w:bCs w:val="1"/>
                <w:color w:val="auto"/>
              </w:rPr>
              <w:t>Year (in millions)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4"/>
              </w:rPr>
              <w:t>Customer</w:t>
            </w:r>
          </w:p>
        </w:tc>
        <w:tc>
          <w:tcPr>
            <w:tcW w:w="0" w:type="dxa"/>
            <w:vAlign w:val="bottom"/>
          </w:tcPr>
          <w:p>
            <w:pPr>
              <w:spacing w:after="0"/>
              <w:rPr>
                <w:sz w:val="1"/>
                <w:szCs w:val="1"/>
                <w:color w:val="auto"/>
              </w:rPr>
            </w:pPr>
          </w:p>
        </w:tc>
      </w:tr>
      <w:tr>
        <w:trPr>
          <w:trHeight w:val="171"/>
        </w:trPr>
        <w:tc>
          <w:tcPr>
            <w:tcW w:w="7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Relationships</w:t>
            </w:r>
          </w:p>
        </w:tc>
        <w:tc>
          <w:tcPr>
            <w:tcW w:w="0" w:type="dxa"/>
            <w:vAlign w:val="bottom"/>
          </w:tcPr>
          <w:p>
            <w:pPr>
              <w:spacing w:after="0"/>
              <w:rPr>
                <w:sz w:val="1"/>
                <w:szCs w:val="1"/>
                <w:color w:val="auto"/>
              </w:rPr>
            </w:pPr>
          </w:p>
        </w:tc>
      </w:tr>
      <w:tr>
        <w:trPr>
          <w:trHeight w:val="210"/>
        </w:trPr>
        <w:tc>
          <w:tcPr>
            <w:tcW w:w="7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680" w:hanging="677"/>
        <w:spacing w:after="0"/>
        <w:tabs>
          <w:tab w:leader="none" w:pos="6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CAPITAL CONSTRUCTION FUND</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is party to an agreement with the U.S. Department of Transportation, Maritime Administration (“MARAD”) that established a Capital Construction Fund (“CCF”) program under provisions of the Merchant Marine Act of 1936, as amended (the “Merchant Marine Act”). The CCF program was created to assist owners and operators of U.S. flag vessels in raising capital necessary for the modernization and expansion of the U.S. merchant marine fleet. CCF funds may be used for the acquisition, construction, or reconstruction of vessels, and for repayment of existing vessel indebtedness through the deferment of federal income taxes on certain deposits of monies and other property placed into the CCF. Qualified withdrawals from the CCF must be used for investment in vessels built in the U.S. and used between covered U.S. ports as described by the Merchant Marine Act, and for other qualifying expenditures (see Item 1 of Part 1 for additional information on Maritime Laws and the Jones Act). Participants of the CCF must also meet certain U.S. citizenship requirements.</w:t>
      </w:r>
    </w:p>
    <w:p>
      <w:pPr>
        <w:spacing w:after="0" w:line="16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Deposits into the CCF are limited by certain applicable earnings and other conditions. Such deposits, once made, are available as tax deductions in the Company’s income tax provision. Qualified withdrawals from the CCF do not give rise to a current income tax liability, but reduce the depreciable basis of the vessels or certain related equipment for income tax purposes. However, if withdrawals are made from the CCF for general corporate purposes or other non-qualified purposes, or upon termination of the agreement, they are taxable with interest payable from the year of deposit.</w:t>
      </w:r>
    </w:p>
    <w:p>
      <w:pPr>
        <w:spacing w:after="0" w:line="15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Deposits not committed for qualified purposes within 25 years from the date of deposit will be treated as non-qualified withdrawals over the subsequent five years. Under the terms of the CCF agreement, the Company may designate certain qualified earnings as “accrued deposits” or may designate, as obligations of the CCF, qualified withdrawals to reimburse qualified expenditures initially made with operating funds. Such accrued deposits to, and withdrawals from, the CCF are reflected in the Consolidated Balance Sheets either as obligations of the Company’s current assets or as receivables from the CCF.</w:t>
      </w:r>
    </w:p>
    <w:p>
      <w:pPr>
        <w:spacing w:after="0" w:line="193"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As of December 31, 2018 and 2017, $1.0 million and $134.8 million, respectively, of eligible accounts receivable were assigned to the CCF. Due to the nature of the assignment of eligible accounts receivable into the CCF, such assigned amounts are classified as part of accounts receivable in the Consolidated Balance Sheets. At December 31, 2017, the Company had $0.9 million on deposit in the CCF invested in a money market fund which is classified as other long-term assets in the Company’s Consolidated Balance Sheets. The amount on deposit in the CCF at December 31, 2018 was nominal.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80" w:type="dxa"/>
            <w:vAlign w:val="bottom"/>
          </w:tcPr>
          <w:p>
            <w:pPr>
              <w:spacing w:after="0"/>
              <w:rPr>
                <w:sz w:val="20"/>
                <w:szCs w:val="20"/>
                <w:color w:val="auto"/>
              </w:rPr>
            </w:pPr>
            <w:r>
              <w:rPr>
                <w:rFonts w:ascii="Arial" w:cs="Arial" w:eastAsia="Arial" w:hAnsi="Arial"/>
                <w:sz w:val="18"/>
                <w:szCs w:val="18"/>
                <w:b w:val="1"/>
                <w:bCs w:val="1"/>
                <w:color w:val="auto"/>
              </w:rPr>
              <w:t>8.</w:t>
            </w:r>
          </w:p>
        </w:tc>
        <w:tc>
          <w:tcPr>
            <w:tcW w:w="7080" w:type="dxa"/>
            <w:vAlign w:val="bottom"/>
            <w:gridSpan w:val="2"/>
          </w:tcPr>
          <w:p>
            <w:pPr>
              <w:ind w:left="500"/>
              <w:spacing w:after="0"/>
              <w:rPr>
                <w:sz w:val="20"/>
                <w:szCs w:val="20"/>
                <w:color w:val="auto"/>
              </w:rPr>
            </w:pPr>
            <w:r>
              <w:rPr>
                <w:rFonts w:ascii="Arial" w:cs="Arial" w:eastAsia="Arial" w:hAnsi="Arial"/>
                <w:sz w:val="18"/>
                <w:szCs w:val="18"/>
                <w:b w:val="1"/>
                <w:bCs w:val="1"/>
                <w:color w:val="auto"/>
              </w:rPr>
              <w:t>DEBT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60" w:type="dxa"/>
            <w:vAlign w:val="bottom"/>
            <w:gridSpan w:val="3"/>
          </w:tcPr>
          <w:p>
            <w:pPr>
              <w:spacing w:after="0"/>
              <w:rPr>
                <w:sz w:val="20"/>
                <w:szCs w:val="20"/>
                <w:color w:val="auto"/>
              </w:rPr>
            </w:pPr>
            <w:r>
              <w:rPr>
                <w:rFonts w:ascii="Arial" w:cs="Arial" w:eastAsia="Arial" w:hAnsi="Arial"/>
                <w:sz w:val="18"/>
                <w:szCs w:val="18"/>
                <w:color w:val="auto"/>
              </w:rPr>
              <w:t>At December 31, 2018 and 2017, the Company’s debt consisted of the following:</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6"/>
            <w:vMerge w:val="restart"/>
          </w:tcPr>
          <w:p>
            <w:pPr>
              <w:jc w:val="right"/>
              <w:ind w:right="32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62"/>
        </w:trPr>
        <w:tc>
          <w:tcPr>
            <w:tcW w:w="7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60" w:type="dxa"/>
            <w:vAlign w:val="bottom"/>
            <w:tcBorders>
              <w:bottom w:val="single" w:sz="8" w:color="auto"/>
            </w:tcBorders>
            <w:gridSpan w:val="3"/>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Private Placement Term Loans: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080" w:type="dxa"/>
            <w:vAlign w:val="bottom"/>
            <w:gridSpan w:val="2"/>
          </w:tcPr>
          <w:p>
            <w:pPr>
              <w:ind w:left="40"/>
              <w:spacing w:after="0"/>
              <w:rPr>
                <w:sz w:val="20"/>
                <w:szCs w:val="20"/>
                <w:color w:val="auto"/>
              </w:rPr>
            </w:pPr>
            <w:r>
              <w:rPr>
                <w:rFonts w:ascii="Arial" w:cs="Arial" w:eastAsia="Arial" w:hAnsi="Arial"/>
                <w:sz w:val="18"/>
                <w:szCs w:val="18"/>
                <w:color w:val="auto"/>
              </w:rPr>
              <w:t>5.79 %, payable through 2020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3.66 %, payable through 2023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080" w:type="dxa"/>
            <w:vAlign w:val="bottom"/>
            <w:gridSpan w:val="2"/>
          </w:tcPr>
          <w:p>
            <w:pPr>
              <w:ind w:left="40"/>
              <w:spacing w:after="0"/>
              <w:rPr>
                <w:sz w:val="20"/>
                <w:szCs w:val="20"/>
                <w:color w:val="auto"/>
              </w:rPr>
            </w:pPr>
            <w:r>
              <w:rPr>
                <w:rFonts w:ascii="Arial" w:cs="Arial" w:eastAsia="Arial" w:hAnsi="Arial"/>
                <w:sz w:val="18"/>
                <w:szCs w:val="18"/>
                <w:color w:val="auto"/>
              </w:rPr>
              <w:t>4.16 %, payable through 2027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3.37 %, payable through 2027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080" w:type="dxa"/>
            <w:vAlign w:val="bottom"/>
            <w:gridSpan w:val="2"/>
          </w:tcPr>
          <w:p>
            <w:pPr>
              <w:ind w:left="40"/>
              <w:spacing w:after="0"/>
              <w:rPr>
                <w:sz w:val="20"/>
                <w:szCs w:val="20"/>
                <w:color w:val="auto"/>
              </w:rPr>
            </w:pPr>
            <w:r>
              <w:rPr>
                <w:rFonts w:ascii="Arial" w:cs="Arial" w:eastAsia="Arial" w:hAnsi="Arial"/>
                <w:sz w:val="18"/>
                <w:szCs w:val="18"/>
                <w:color w:val="auto"/>
              </w:rPr>
              <w:t>3.14 %, payable through 2031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4.31 %, payable through 2032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080" w:type="dxa"/>
            <w:vAlign w:val="bottom"/>
            <w:gridSpan w:val="2"/>
          </w:tcPr>
          <w:p>
            <w:pPr>
              <w:ind w:left="40"/>
              <w:spacing w:after="0"/>
              <w:rPr>
                <w:sz w:val="20"/>
                <w:szCs w:val="20"/>
                <w:color w:val="auto"/>
              </w:rPr>
            </w:pPr>
            <w:r>
              <w:rPr>
                <w:rFonts w:ascii="Arial" w:cs="Arial" w:eastAsia="Arial" w:hAnsi="Arial"/>
                <w:sz w:val="18"/>
                <w:szCs w:val="18"/>
                <w:color w:val="auto"/>
              </w:rPr>
              <w:t>4.35 %, payable through 2044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3.92 %, payable through 2045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3"/>
          </w:tcPr>
          <w:p>
            <w:pPr>
              <w:spacing w:after="0"/>
              <w:rPr>
                <w:sz w:val="20"/>
                <w:szCs w:val="20"/>
                <w:color w:val="auto"/>
              </w:rPr>
            </w:pPr>
            <w:r>
              <w:rPr>
                <w:rFonts w:ascii="Arial" w:cs="Arial" w:eastAsia="Arial" w:hAnsi="Arial"/>
                <w:sz w:val="18"/>
                <w:szCs w:val="18"/>
                <w:color w:val="auto"/>
              </w:rPr>
              <w:t>Title XI Bonds: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5.34 %, payable through 2028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080" w:type="dxa"/>
            <w:vAlign w:val="bottom"/>
            <w:gridSpan w:val="2"/>
          </w:tcPr>
          <w:p>
            <w:pPr>
              <w:ind w:left="40"/>
              <w:spacing w:after="0"/>
              <w:rPr>
                <w:sz w:val="20"/>
                <w:szCs w:val="20"/>
                <w:color w:val="auto"/>
              </w:rPr>
            </w:pPr>
            <w:r>
              <w:rPr>
                <w:rFonts w:ascii="Arial" w:cs="Arial" w:eastAsia="Arial" w:hAnsi="Arial"/>
                <w:sz w:val="18"/>
                <w:szCs w:val="18"/>
                <w:color w:val="auto"/>
              </w:rPr>
              <w:t>5.27 %, payable through 2029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facility, maturity date of June 29, 2022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Capital leases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3"/>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7"/>
        </w:trPr>
        <w:tc>
          <w:tcPr>
            <w:tcW w:w="726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 Long-term Debt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826.3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Company’s debt:</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Private Placement Term Loans</w:t>
      </w:r>
      <w:r>
        <w:rPr>
          <w:rFonts w:ascii="Arial" w:cs="Arial" w:eastAsia="Arial" w:hAnsi="Arial"/>
          <w:sz w:val="18"/>
          <w:szCs w:val="18"/>
          <w:color w:val="auto"/>
        </w:rPr>
        <w:t>: The 5.79 percent notes payable through 2020 are amortized by semi-annual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of $3.5 million plus interest.</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During the second quarter of 2012, the Company issued $170.0 million of unsecured notes, which funded in three tranches, $77.5 million at an interest rate of 3.66 percent, $55.0 million at an interest rate of 4.16 percent, and $37.5 million at an interest rate of 4.31 percent (the “2012 Notes”). Interest is payable semi-annually. The 2012 Notes began to amortize in 2015 with aggregate semi-annual payments of $4.6 million which continued through 2016, followed by $8.4 million in 2017 through mid-year 2023, $3.8 million through mid-year 2027, and $1.2 million thereafter.</w:t>
      </w:r>
    </w:p>
    <w:p>
      <w:pPr>
        <w:spacing w:after="0" w:line="17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January 2014, the Company issued $100.0 million of 30-year senior unsecured notes at an interest rate of 4.35 percent, payable semi-annually (the “2014 Notes”). The 2014 Notes will begin to amortize in 2021, with annual principal payments of $5.0 million in 2021, $7.5 million in 2022 and 2023, $10.0 million from 2024 to 2027, and $8.0 million in 2028. Starting in 2029, and in each year thereafter until 2044, annual principal payments will be $2.0 million.</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July 2015, the Company issued $75.0 million of 30-year senior unsecured notes at an interest rate of 3.92 percent, payable semi-annually (the “2015 Notes”). The 2015 Notes began to amortize in 2017, with annual principal payments of approximately $1.8 million through 2019. During the years 2020 to 2026, the annual principal payments will range between approximately $1.3 million and $8.0 million. Starting in 2027, and in each year thereafter, the annual principal payments will be approximately $1.5 million.</w:t>
      </w:r>
    </w:p>
    <w:p>
      <w:pPr>
        <w:spacing w:after="0" w:line="188"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September 2016, the Company issued $200.0 million of 15-year senior unsecured notes (the “Series D Notes”) at an interest rate of 3.14 percent, payable semi-annually. The Series D Notes will begin to amortize in 2019, with semi-annual principal payments of $6.0 million in 2019, and $9.2 million during the years 2020 to 2023. Starting in 2024, and in each year thereafter through maturity in 2031, the semi-annual principal payments will be $7.15 million.</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December 2016, the Company issued $75 million of 11-year senior unsecured notes at an interest rate of 3.37 percent, payable semi-annual (the "Series A Notes"). The Series A Notes will begin to amortize in 2021, with principal payments of $5.8 million in 2021 and $11.5 million per year, paid semi-annually, from 2022 through 2027.</w:t>
      </w:r>
    </w:p>
    <w:p>
      <w:pPr>
        <w:spacing w:after="0" w:line="16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i w:val="1"/>
          <w:iCs w:val="1"/>
          <w:color w:val="auto"/>
        </w:rPr>
        <w:t xml:space="preserve">Title XI Bonds: </w:t>
      </w:r>
      <w:r>
        <w:rPr>
          <w:rFonts w:ascii="Arial" w:cs="Arial" w:eastAsia="Arial" w:hAnsi="Arial"/>
          <w:sz w:val="17"/>
          <w:szCs w:val="17"/>
          <w:color w:val="auto"/>
        </w:rPr>
        <w:t>In September 2003, the Company issued $55.0 million in U.S. Government guaranteed vessel finance bonds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(Title XI) to partially finance the delivery of </w:t>
      </w:r>
      <w:r>
        <w:rPr>
          <w:rFonts w:ascii="Arial" w:cs="Arial" w:eastAsia="Arial" w:hAnsi="Arial"/>
          <w:sz w:val="17"/>
          <w:szCs w:val="17"/>
          <w:i w:val="1"/>
          <w:iCs w:val="1"/>
          <w:color w:val="auto"/>
        </w:rPr>
        <w:t>MV Manukai</w:t>
      </w:r>
      <w:r>
        <w:rPr>
          <w:rFonts w:ascii="Arial" w:cs="Arial" w:eastAsia="Arial" w:hAnsi="Arial"/>
          <w:sz w:val="17"/>
          <w:szCs w:val="17"/>
          <w:color w:val="auto"/>
        </w:rPr>
        <w:t>. The secured bonds have a final maturity 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September 2028 with a coupon of 5.34 percent. The bonds are amortized by semi-annual payments of $1.1 million plus interest. In August 2004, the Company issued $55.0 million of U.S. Government guaranteed vessel finance bonds (Title XI) to partially finance the delivery of </w:t>
      </w:r>
      <w:r>
        <w:rPr>
          <w:rFonts w:ascii="Arial" w:cs="Arial" w:eastAsia="Arial" w:hAnsi="Arial"/>
          <w:sz w:val="17"/>
          <w:szCs w:val="17"/>
          <w:i w:val="1"/>
          <w:iCs w:val="1"/>
          <w:color w:val="auto"/>
        </w:rPr>
        <w:t>MV Maunawili</w:t>
      </w:r>
      <w:r>
        <w:rPr>
          <w:rFonts w:ascii="Arial" w:cs="Arial" w:eastAsia="Arial" w:hAnsi="Arial"/>
          <w:sz w:val="17"/>
          <w:szCs w:val="17"/>
          <w:color w:val="auto"/>
        </w:rPr>
        <w:t>. The secured bonds have a final maturity in July 2029 with a coupon of 5.27 percent. The bonds are amortized by semi-annual payments of $1.1 million plus interest.</w:t>
      </w:r>
    </w:p>
    <w:p>
      <w:pPr>
        <w:spacing w:after="0" w:line="17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Revolving Credit Facility: </w:t>
      </w:r>
      <w:r>
        <w:rPr>
          <w:rFonts w:ascii="Arial" w:cs="Arial" w:eastAsia="Arial" w:hAnsi="Arial"/>
          <w:sz w:val="16"/>
          <w:szCs w:val="16"/>
          <w:color w:val="auto"/>
        </w:rPr>
        <w:t>On June 29, 2017 (the “Closing Date”), the Company entered into an amended and restated credit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that provides the Company with additional sources of liquidity for working capital, capital expenditures and investment opportunities, and amends and restates the Company’s previously amended and restated credit agreement (the “Credit Agreement” or the “revolving credit facility”). The Credit Agreement expires on June 29, 2022, and provides for committed aggregate borrowing of up to $650 million, with an uncommitted option to increase the aggregate borrowing by up to $250 million. The aggregate borrowing within the Credit Agreement includes a $100 million sublimit for the issuance of standby and commercial letters of credit, and a $50 million sublimit for swing line loans. The Company may prepay any amounts outstanding under the Credit Agreement without premium or penalty. All obligations of the Company under the Credit Agreement are guaranteed by Matson’s principal operating subsidiary MatNav and by certain other subsidiaries.</w:t>
      </w:r>
    </w:p>
    <w:p>
      <w:pPr>
        <w:spacing w:after="0" w:line="16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Depending on the Company’s consolidated net leverage ratio, borrowings under the Credit Agreement bear interest at either LIBOR plus a margin of between 1.00 percent and 1.75 percent or the base rate plus a margin of between zero percent and 0.75 percent. Letters of credit are subject to fees based on the Company’s consolidated net leverage ratio at a rate of between</w:t>
      </w:r>
    </w:p>
    <w:p>
      <w:pPr>
        <w:ind w:right="700"/>
        <w:spacing w:after="0" w:line="261" w:lineRule="auto"/>
        <w:rPr>
          <w:sz w:val="20"/>
          <w:szCs w:val="20"/>
          <w:color w:val="auto"/>
        </w:rPr>
      </w:pPr>
      <w:r>
        <w:rPr>
          <w:rFonts w:ascii="Arial" w:cs="Arial" w:eastAsia="Arial" w:hAnsi="Arial"/>
          <w:sz w:val="18"/>
          <w:szCs w:val="18"/>
          <w:color w:val="auto"/>
        </w:rPr>
        <w:t>1.00 percent and 1.75 percent. The Company also pays a commitment fee of between 0.15 percent and 0.30 percent depending on the Company’s consolidated net leverage ratio.</w:t>
      </w:r>
    </w:p>
    <w:p>
      <w:pPr>
        <w:spacing w:after="0" w:line="184"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As of December 31, 2018, the Company had $304.0 million of remaining availability under the Credit Agreement. The Company used $7.9 million of the sub-limit for letters of credit outstanding as of December 31, 2018. Based upon the Company’s consolidated net leverage ratio, the interest rate applicable to revolving credit facility borrowings was approximately 3.92 percent at December 31, 2018.</w:t>
      </w:r>
    </w:p>
    <w:p>
      <w:pPr>
        <w:spacing w:after="0" w:line="187"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i w:val="1"/>
          <w:iCs w:val="1"/>
          <w:color w:val="auto"/>
        </w:rPr>
        <w:t xml:space="preserve">Amendments to Existing Private Placement Term Loan Facilities and New Shelf Facilities (“Private Loan Facilities”): </w:t>
      </w:r>
      <w:r>
        <w:rPr>
          <w:rFonts w:ascii="Arial" w:cs="Arial" w:eastAsia="Arial" w:hAnsi="Arial"/>
          <w:sz w:val="16"/>
          <w:szCs w:val="16"/>
          <w:color w:val="auto"/>
        </w:rPr>
        <w:t>On</w:t>
      </w:r>
      <w:r>
        <w:rPr>
          <w:rFonts w:ascii="Arial" w:cs="Arial" w:eastAsia="Arial" w:hAnsi="Arial"/>
          <w:sz w:val="16"/>
          <w:szCs w:val="16"/>
          <w:i w:val="1"/>
          <w:iCs w:val="1"/>
          <w:color w:val="auto"/>
        </w:rPr>
        <w:t xml:space="preserve"> </w:t>
      </w:r>
      <w:r>
        <w:rPr>
          <w:rFonts w:ascii="Arial" w:cs="Arial" w:eastAsia="Arial" w:hAnsi="Arial"/>
          <w:sz w:val="16"/>
          <w:szCs w:val="16"/>
          <w:color w:val="auto"/>
        </w:rPr>
        <w:t>June 29, 2017, the Company and the holders of the Company’s term loans entered into amendments (collectively, the “2017 Amendments”) to each of the term loan agreements and amendments thereto, previously issued prior to the Closing</w:t>
      </w:r>
    </w:p>
    <w:p>
      <w:pPr>
        <w:ind w:right="60"/>
        <w:spacing w:after="0" w:line="254" w:lineRule="auto"/>
        <w:rPr>
          <w:sz w:val="20"/>
          <w:szCs w:val="20"/>
          <w:color w:val="auto"/>
        </w:rPr>
      </w:pPr>
      <w:r>
        <w:rPr>
          <w:rFonts w:ascii="Arial" w:cs="Arial" w:eastAsia="Arial" w:hAnsi="Arial"/>
          <w:sz w:val="18"/>
          <w:szCs w:val="18"/>
          <w:color w:val="auto"/>
        </w:rPr>
        <w:t>Date. The 2017 Amendments provide for amendments to certain covenants and other terms, including (at the Company’s option under certain circumstances) adjustments to the required consolidated leverage ratio, and, in connection with the exercise of such option, the payment of additional interest for certain pre-defined periods. Interest rates and other substantive terms remained unchanged.</w:t>
      </w:r>
    </w:p>
    <w:p>
      <w:pPr>
        <w:spacing w:after="0" w:line="19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i w:val="1"/>
          <w:iCs w:val="1"/>
          <w:color w:val="auto"/>
        </w:rPr>
        <w:t>Debt Covenants</w:t>
      </w:r>
      <w:r>
        <w:rPr>
          <w:rFonts w:ascii="Arial" w:cs="Arial" w:eastAsia="Arial" w:hAnsi="Arial"/>
          <w:sz w:val="16"/>
          <w:szCs w:val="16"/>
          <w:color w:val="auto"/>
        </w:rPr>
        <w:t>: The Credit Agreement and Private Loan Facilities (collectively, the “Agreements”) contain affirmative,</w:t>
      </w:r>
      <w:r>
        <w:rPr>
          <w:rFonts w:ascii="Arial" w:cs="Arial" w:eastAsia="Arial" w:hAnsi="Arial"/>
          <w:sz w:val="16"/>
          <w:szCs w:val="16"/>
          <w:i w:val="1"/>
          <w:iCs w:val="1"/>
          <w:color w:val="auto"/>
        </w:rPr>
        <w:t xml:space="preserve"> </w:t>
      </w:r>
      <w:r>
        <w:rPr>
          <w:rFonts w:ascii="Arial" w:cs="Arial" w:eastAsia="Arial" w:hAnsi="Arial"/>
          <w:sz w:val="16"/>
          <w:szCs w:val="16"/>
          <w:color w:val="auto"/>
        </w:rPr>
        <w:t>negative and financial covenants customary for financings of this type, including, among other things, limitations on certain other indebtedness, loans and investments, liens, mergers, asset sales, and transactions with affiliates as defined within the Agreements. The Agreements also contain customary events of default. A brief description of the principal covenants contained in the Agreements includes, but is not limited to the following (as defined within the Agreements):</w:t>
      </w:r>
    </w:p>
    <w:p>
      <w:pPr>
        <w:spacing w:after="0" w:line="158" w:lineRule="exact"/>
        <w:rPr>
          <w:sz w:val="20"/>
          <w:szCs w:val="20"/>
          <w:color w:val="auto"/>
        </w:rPr>
      </w:pPr>
    </w:p>
    <w:p>
      <w:pPr>
        <w:ind w:left="320" w:right="20" w:hanging="317"/>
        <w:spacing w:after="0" w:line="258" w:lineRule="auto"/>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Minimum Consolidated Interest Coverage Ratio as of the end of any fiscal quarter is not permitted to be less than 3.50 to 1.0;</w:t>
      </w:r>
    </w:p>
    <w:p>
      <w:pPr>
        <w:spacing w:after="0" w:line="1" w:lineRule="exact"/>
        <w:rPr>
          <w:rFonts w:ascii="Arial" w:cs="Arial" w:eastAsia="Arial" w:hAnsi="Arial"/>
          <w:sz w:val="18"/>
          <w:szCs w:val="18"/>
          <w:color w:val="auto"/>
        </w:rPr>
      </w:pPr>
    </w:p>
    <w:p>
      <w:pPr>
        <w:ind w:left="320" w:hanging="317"/>
        <w:spacing w:after="0" w:line="250" w:lineRule="auto"/>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Maximum Consolidated Leverage Ratio as of the end of any fiscal quarter is not permitted to exceed 3.25 to 1.0, subject to the Company’s election of specific exceptions in which the Maximum Consolidated Leverage Ratio is not permitted to exceed 3.75 to 1.0 for certain pre-defined periods as described in the Agreements;</w:t>
      </w:r>
    </w:p>
    <w:p>
      <w:pPr>
        <w:spacing w:after="0" w:line="1" w:lineRule="exact"/>
        <w:rPr>
          <w:rFonts w:ascii="Arial" w:cs="Arial" w:eastAsia="Arial" w:hAnsi="Arial"/>
          <w:sz w:val="18"/>
          <w:szCs w:val="18"/>
          <w:color w:val="auto"/>
        </w:rPr>
      </w:pPr>
    </w:p>
    <w:p>
      <w:pPr>
        <w:ind w:left="320" w:right="180" w:hanging="317"/>
        <w:spacing w:after="0" w:line="254" w:lineRule="auto"/>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principal amount of Priority Debt: (i) is not permitted to exceed 20 percent of Consolidated Tangible Assets at any time (subject to a reduction to 17.5 percent upon the earlier of December 31, 2017, or upon the occurrence of certain events), and; (ii) the principal amount of Priority Debt that is not Title XI Priority Debt at any time is not permitted to exceed 10 percent of Consolidated Tangible Assets.</w:t>
      </w:r>
    </w:p>
    <w:p>
      <w:pPr>
        <w:spacing w:after="0" w:line="19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Principal covenants generally will restrict the incurrence of liens except for permitted liens, which include, without limitation, liens securing Title XI Debt up to certain thresholds, as defined within the agreements. The Company was in compliance with these covenants as of December 31, 2018.</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The Company’s capital lease obligations represent leasing of containers and other equipment, and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current and long-term debt in the Company’s Consolidated Balance Sheets.</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 xml:space="preserve">Debt Guarantees: </w:t>
      </w:r>
      <w:r>
        <w:rPr>
          <w:rFonts w:ascii="Arial" w:cs="Arial" w:eastAsia="Arial" w:hAnsi="Arial"/>
          <w:sz w:val="18"/>
          <w:szCs w:val="18"/>
          <w:color w:val="auto"/>
        </w:rPr>
        <w:t>All of the Company’s debt as of December 31, 2018 was unsecured, except for $46.2 million in Title XI</w:t>
      </w:r>
      <w:r>
        <w:rPr>
          <w:rFonts w:ascii="Arial" w:cs="Arial" w:eastAsia="Arial" w:hAnsi="Arial"/>
          <w:sz w:val="18"/>
          <w:szCs w:val="18"/>
          <w:i w:val="1"/>
          <w:iCs w:val="1"/>
          <w:color w:val="auto"/>
        </w:rPr>
        <w:t xml:space="preserve"> </w:t>
      </w:r>
      <w:r>
        <w:rPr>
          <w:rFonts w:ascii="Arial" w:cs="Arial" w:eastAsia="Arial" w:hAnsi="Arial"/>
          <w:sz w:val="18"/>
          <w:szCs w:val="18"/>
          <w:color w:val="auto"/>
        </w:rPr>
        <w:t>bonds, all of which are guaranteed by the Company’s significant subsidiaries. All of the Company’s debt is fixed rate debt except for borrowings under the revolving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Debt Maturities: </w:t>
      </w:r>
      <w:r>
        <w:rPr>
          <w:rFonts w:ascii="Arial" w:cs="Arial" w:eastAsia="Arial" w:hAnsi="Arial"/>
          <w:sz w:val="18"/>
          <w:szCs w:val="18"/>
          <w:color w:val="auto"/>
        </w:rPr>
        <w:t>At December 31, 2018, debt maturities during the next five years and thereafter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tcPr>
          <w:p>
            <w:pPr>
              <w:spacing w:after="0"/>
              <w:rPr>
                <w:sz w:val="20"/>
                <w:szCs w:val="20"/>
                <w:color w:val="auto"/>
              </w:rPr>
            </w:pPr>
            <w:r>
              <w:rPr>
                <w:rFonts w:ascii="Arial" w:cs="Arial" w:eastAsia="Arial" w:hAnsi="Arial"/>
                <w:sz w:val="14"/>
                <w:szCs w:val="14"/>
                <w:b w:val="1"/>
                <w:bCs w:val="1"/>
                <w:color w:val="auto"/>
              </w:rPr>
              <w:t>Year (in millions)</w:t>
            </w:r>
          </w:p>
        </w:tc>
        <w:tc>
          <w:tcPr>
            <w:tcW w:w="28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10"/>
        </w:trPr>
        <w:tc>
          <w:tcPr>
            <w:tcW w:w="7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294.9</w:t>
            </w:r>
          </w:p>
        </w:tc>
        <w:tc>
          <w:tcPr>
            <w:tcW w:w="12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18"/>
                <w:szCs w:val="18"/>
                <w:color w:val="auto"/>
              </w:rPr>
            </w:pPr>
          </w:p>
        </w:tc>
      </w:tr>
      <w:tr>
        <w:trPr>
          <w:trHeight w:val="216"/>
        </w:trPr>
        <w:tc>
          <w:tcPr>
            <w:tcW w:w="7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w:t>
            </w:r>
          </w:p>
        </w:tc>
        <w:tc>
          <w:tcPr>
            <w:tcW w:w="120" w:type="dxa"/>
            <w:vAlign w:val="bottom"/>
            <w:tcBorders>
              <w:bottom w:val="single" w:sz="8" w:color="CCEEFF"/>
            </w:tcBorders>
          </w:tcPr>
          <w:p>
            <w:pPr>
              <w:spacing w:after="0"/>
              <w:rPr>
                <w:sz w:val="18"/>
                <w:szCs w:val="18"/>
                <w:color w:val="auto"/>
              </w:rPr>
            </w:pPr>
          </w:p>
        </w:tc>
      </w:tr>
      <w:tr>
        <w:trPr>
          <w:trHeight w:val="217"/>
        </w:trPr>
        <w:tc>
          <w:tcPr>
            <w:tcW w:w="7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27" w:lineRule="exact"/>
        <w:rPr>
          <w:sz w:val="20"/>
          <w:szCs w:val="20"/>
          <w:color w:val="auto"/>
        </w:rPr>
      </w:pPr>
    </w:p>
    <w:p>
      <w:pPr>
        <w:ind w:left="680" w:hanging="677"/>
        <w:spacing w:after="0"/>
        <w:tabs>
          <w:tab w:leader="none" w:pos="6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has a variety of different types of operating leases, the specific terms and conditions of which vary from lease to lease. Certain operating lease agreements include terms such as (i) renewal and early termination options; (ii) early buy-out and purchase options; and (iii) rent escalation clauses. The lease agreements also include provisions for the maintenance of the leased asset and payment of lease related costs. The Company reviews the specific terms and conditions of each lease and, as appropriate, notifies the lessor of any intent to exercise any option in accordance with the terms of the lease. In the normal course of business, the Company expects to be able to renew or replace most of its operating leases by other similar leases as they expire. Except for the vessel lease guaranty described below, the Company’s leases do not contain any residual value guarantees. The lease type and estimated maximum terms of the Company’s operating leases are as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60" w:type="dxa"/>
            <w:vAlign w:val="bottom"/>
            <w:gridSpan w:val="2"/>
          </w:tcPr>
          <w:p>
            <w:pPr>
              <w:spacing w:after="0"/>
              <w:rPr>
                <w:sz w:val="20"/>
                <w:szCs w:val="20"/>
                <w:color w:val="auto"/>
              </w:rPr>
            </w:pPr>
            <w:r>
              <w:rPr>
                <w:rFonts w:ascii="Arial" w:cs="Arial" w:eastAsia="Arial" w:hAnsi="Arial"/>
                <w:sz w:val="14"/>
                <w:szCs w:val="14"/>
                <w:b w:val="1"/>
                <w:bCs w:val="1"/>
                <w:color w:val="auto"/>
              </w:rPr>
              <w:t>Lease Type: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r>
      <w:tr>
        <w:trPr>
          <w:trHeight w:val="210"/>
        </w:trPr>
        <w:tc>
          <w:tcPr>
            <w:tcW w:w="8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 and terminal leases</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65 years</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Vessel charter leases</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 equipment and other leases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 years</w:t>
            </w:r>
          </w:p>
        </w:tc>
      </w:tr>
    </w:tbl>
    <w:p>
      <w:pPr>
        <w:spacing w:after="0" w:line="202"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Rent expense recorded in costs and expenses in the Consolidated Statements of Income and Comprehensive Income from operating leases and other non-lease agreements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10"/>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3620" w:type="dxa"/>
            <w:vAlign w:val="bottom"/>
            <w:tcBorders>
              <w:bottom w:val="single" w:sz="8" w:color="auto"/>
            </w:tcBorders>
            <w:vMerge w:val="continue"/>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14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Real estate and terminal leases</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Vessel charter leases</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Operations equipment and other leases</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rent expense</w:t>
            </w:r>
          </w:p>
        </w:tc>
        <w:tc>
          <w:tcPr>
            <w:tcW w:w="26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54.9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128.</w:t>
            </w:r>
            <w:r>
              <w:rPr>
                <w:rFonts w:ascii="Arial" w:cs="Arial" w:eastAsia="Arial" w:hAnsi="Arial"/>
                <w:sz w:val="18"/>
                <w:szCs w:val="18"/>
                <w:u w:val="single" w:color="auto"/>
                <w:color w:val="auto"/>
              </w:rPr>
              <w:t>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140" w:type="dxa"/>
            <w:vAlign w:val="bottom"/>
            <w:gridSpan w:val="5"/>
          </w:tcPr>
          <w:p>
            <w:pPr>
              <w:spacing w:after="0"/>
              <w:rPr>
                <w:sz w:val="20"/>
                <w:szCs w:val="20"/>
                <w:color w:val="auto"/>
              </w:rPr>
            </w:pPr>
            <w:r>
              <w:rPr>
                <w:rFonts w:ascii="Arial" w:cs="Arial" w:eastAsia="Arial" w:hAnsi="Arial"/>
                <w:sz w:val="18"/>
                <w:szCs w:val="18"/>
                <w:color w:val="auto"/>
                <w:w w:val="89"/>
              </w:rPr>
              <w:t>Future minimum payments under operating lease agreements at December 31, 2018 are as follows: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(in millions)</w:t>
            </w:r>
          </w:p>
        </w:tc>
        <w:tc>
          <w:tcPr>
            <w:tcW w:w="2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2020</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2022</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minimum lease payments</w:t>
            </w:r>
          </w:p>
        </w:tc>
        <w:tc>
          <w:tcPr>
            <w:tcW w:w="26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635"/>
        </w:trPr>
        <w:tc>
          <w:tcPr>
            <w:tcW w:w="3620" w:type="dxa"/>
            <w:vAlign w:val="bottom"/>
          </w:tcPr>
          <w:p>
            <w:pPr>
              <w:spacing w:after="0"/>
              <w:rPr>
                <w:sz w:val="24"/>
                <w:szCs w:val="24"/>
                <w:color w:val="auto"/>
              </w:rPr>
            </w:pPr>
          </w:p>
        </w:tc>
        <w:tc>
          <w:tcPr>
            <w:tcW w:w="2620" w:type="dxa"/>
            <w:vAlign w:val="bottom"/>
          </w:tcPr>
          <w:p>
            <w:pPr>
              <w:jc w:val="right"/>
              <w:ind w:right="153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36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Charter and Buyer-Lessor Guaranty</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Vessel Charter: </w:t>
      </w:r>
      <w:r>
        <w:rPr>
          <w:rFonts w:ascii="Arial" w:cs="Arial" w:eastAsia="Arial" w:hAnsi="Arial"/>
          <w:sz w:val="16"/>
          <w:szCs w:val="16"/>
          <w:color w:val="auto"/>
        </w:rPr>
        <w:t>On November 26, 2018, a wholly-owned subsidiary of the Company entered into agreements whereby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vessel, </w:t>
      </w:r>
      <w:r>
        <w:rPr>
          <w:rFonts w:ascii="Arial" w:cs="Arial" w:eastAsia="Arial" w:hAnsi="Arial"/>
          <w:sz w:val="16"/>
          <w:szCs w:val="16"/>
          <w:i w:val="1"/>
          <w:iCs w:val="1"/>
          <w:color w:val="auto"/>
        </w:rPr>
        <w:t>MV Maunalei</w:t>
      </w:r>
      <w:r>
        <w:rPr>
          <w:rFonts w:ascii="Arial" w:cs="Arial" w:eastAsia="Arial" w:hAnsi="Arial"/>
          <w:sz w:val="16"/>
          <w:szCs w:val="16"/>
          <w:color w:val="auto"/>
        </w:rPr>
        <w:t xml:space="preserve">, owned by the subsidiary, was sold for $106.0 million and subsequently leased back from the buyer-lessor under a Bareboat Charter Agreement (the “Charter”). The transaction qualified for sale and leaseback treatment under ASC 840, </w:t>
      </w:r>
      <w:r>
        <w:rPr>
          <w:rFonts w:ascii="Arial" w:cs="Arial" w:eastAsia="Arial" w:hAnsi="Arial"/>
          <w:sz w:val="16"/>
          <w:szCs w:val="16"/>
          <w:i w:val="1"/>
          <w:iCs w:val="1"/>
          <w:color w:val="auto"/>
        </w:rPr>
        <w:t>Leases</w:t>
      </w:r>
      <w:r>
        <w:rPr>
          <w:rFonts w:ascii="Arial" w:cs="Arial" w:eastAsia="Arial" w:hAnsi="Arial"/>
          <w:sz w:val="16"/>
          <w:szCs w:val="16"/>
          <w:color w:val="auto"/>
        </w:rPr>
        <w:t>, with the Charter treated as an operating lease for accounting purposes. Lease payments are approximately $3.0 million per quarter, and the base term of the Charter is five years with a two year end-of-term renewal option. Total future minimum lease payments were $59.9 million at December 31, 2018, and are included in the future minimum payments table above. The Company recorded a net deferred gain of $2.3 million related to this sale and leaseback during the year ended December 31, 2018, and is included in other long-term liabilities in the Consolidated Balance Sheet.</w:t>
      </w:r>
    </w:p>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Prior to the expiration of the base term of the Charter, the subsidiary may, at its option, elect to: (i) purchase the vessel at the option price; (ii) exercise the option to renew the Charter for an additional two years; or (iii) remarket the vessel to sell to a third-party on behalf of the buyer-lessor. The purchase option price is $68.9 million after the base term and $58.3 million after the extended term. The Charter also includes a maximum residual value guarantee amount of $50.9 million after five years, or $47.7 million after the extended term. Proceeds from the sale of the vessel reduces the subsidiary’s residual value guarantee.</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Buyer-Lessor Guaranty: </w:t>
      </w:r>
      <w:r>
        <w:rPr>
          <w:rFonts w:ascii="Arial" w:cs="Arial" w:eastAsia="Arial" w:hAnsi="Arial"/>
          <w:sz w:val="18"/>
          <w:szCs w:val="18"/>
          <w:color w:val="auto"/>
        </w:rPr>
        <w:t>Matson, Inc. provided the buyer-lessor with a guaranty of all obligations of the wholly-owned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related to the Charter as defined in the guaranty agreement.</w:t>
      </w:r>
    </w:p>
    <w:p>
      <w:pPr>
        <w:spacing w:after="0" w:line="247" w:lineRule="exact"/>
        <w:rPr>
          <w:sz w:val="20"/>
          <w:szCs w:val="20"/>
          <w:color w:val="auto"/>
        </w:rPr>
      </w:pPr>
    </w:p>
    <w:p>
      <w:pPr>
        <w:ind w:left="720" w:hanging="717"/>
        <w:spacing w:after="0"/>
        <w:tabs>
          <w:tab w:leader="none" w:pos="7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On December 22, 2017, the Tax Act was signed into law and included numerous changes in existing tax law,</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 reduction in the federal corporate income tax rate from 35 percent to 21 percent. The rate reduction and other changes took effect on January 1, 2018. Other changes such as remeasurement of deferred tax assets and liabilities were effective as of the fourth quarter of 2017. Also, on December 22, 2017, the Securities Exchange Commission (“SEC”) staff issued Staff Accounting Bulletin No. 118 (“SAB 118”), which provides guidance on accounting for the tax effects of the Tax Act. SAB 118 provides a measurement period that should not extend beyond one year from the Tax Act enactment date for companies to complete the accounting under ASC 740. As of December 31, 2018, the Company has completed its assessment of the impact of the Tax Act.</w:t>
      </w:r>
    </w:p>
    <w:p>
      <w:pPr>
        <w:spacing w:after="0" w:line="16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connection with the Company’s analysis of the impact of the Tax Act, the Company recorded a net tax benefit of $154.0 million related to the remeasurement and other discrete adjustments to the Company’s deferred tax assets and liabilities during the year ended December 31, 2017. In addition, the Company recorded a non-cash tax adjustment of $2.9 million that increased current income taxes during the year ended December 31, 2018. This adjustment related to the application of an estimated 6.2 percent sequestration on alternative minimum tax (AMT) refunds for the years 2018 to 2021. On January 19, 2019, the Internal Revenue Service issued new guidance indicating that sequestration would not apply to refundable AMT credits. In accordance with this new guidance, the Company will record a non-cash adjustment of $2.9 million that will reduce current income taxes during the three months ending March 31,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Income taxes for the years ended December 31, 2018, 2017 and 2016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8"/>
          </w:tcPr>
          <w:p>
            <w:pPr>
              <w:ind w:left="2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ind w:left="120"/>
              <w:spacing w:after="0"/>
              <w:rPr>
                <w:sz w:val="20"/>
                <w:szCs w:val="20"/>
                <w:color w:val="auto"/>
              </w:rPr>
            </w:pPr>
            <w:r>
              <w:rPr>
                <w:rFonts w:ascii="Arial" w:cs="Arial" w:eastAsia="Arial" w:hAnsi="Arial"/>
                <w:sz w:val="18"/>
                <w:szCs w:val="18"/>
                <w:color w:val="auto"/>
              </w:rPr>
              <w:t>Federal</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240" w:type="dxa"/>
            <w:vAlign w:val="bottom"/>
            <w:gridSpan w:val="2"/>
          </w:tcPr>
          <w:p>
            <w:pPr>
              <w:ind w:left="120"/>
              <w:spacing w:after="0"/>
              <w:rPr>
                <w:sz w:val="20"/>
                <w:szCs w:val="20"/>
                <w:color w:val="auto"/>
              </w:rPr>
            </w:pPr>
            <w:r>
              <w:rPr>
                <w:rFonts w:ascii="Arial" w:cs="Arial" w:eastAsia="Arial" w:hAnsi="Arial"/>
                <w:sz w:val="18"/>
                <w:szCs w:val="18"/>
                <w:color w:val="auto"/>
              </w:rPr>
              <w:t>Discrete adjustments related to the Tax Act (1)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tax expense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ind w:left="120"/>
              <w:spacing w:after="0"/>
              <w:rPr>
                <w:sz w:val="20"/>
                <w:szCs w:val="20"/>
                <w:color w:val="auto"/>
              </w:rPr>
            </w:pPr>
            <w:r>
              <w:rPr>
                <w:rFonts w:ascii="Arial" w:cs="Arial" w:eastAsia="Arial" w:hAnsi="Arial"/>
                <w:sz w:val="18"/>
                <w:szCs w:val="18"/>
                <w:color w:val="auto"/>
              </w:rPr>
              <w:t>Remeasurement and discrete adjustments related to the Tax Act (2)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(154.0)</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(129.6)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40" w:type="dxa"/>
            <w:vAlign w:val="bottom"/>
            <w:gridSpan w:val="2"/>
          </w:tcPr>
          <w:p>
            <w:pPr>
              <w:spacing w:after="0"/>
              <w:rPr>
                <w:sz w:val="20"/>
                <w:szCs w:val="20"/>
                <w:color w:val="auto"/>
              </w:rPr>
            </w:pPr>
            <w:r>
              <w:rPr>
                <w:rFonts w:ascii="Arial" w:cs="Arial" w:eastAsia="Arial" w:hAnsi="Arial"/>
                <w:sz w:val="18"/>
                <w:szCs w:val="18"/>
                <w:color w:val="auto"/>
              </w:rPr>
              <w:t>Total income taxes</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(105.8)</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6240" w:type="dxa"/>
            <w:vAlign w:val="bottom"/>
            <w:gridSpan w:val="2"/>
          </w:tcPr>
          <w:p>
            <w:pPr>
              <w:ind w:left="444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22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right="560" w:hanging="317"/>
        <w:spacing w:after="0" w:line="230" w:lineRule="auto"/>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Current income taxes for the year ended December 31, 2018 includes a non-cash income tax expense of $2.9 million, which relates to discrete adjustments as a result of applying the provisions of the Tax Act.</w:t>
      </w:r>
    </w:p>
    <w:p>
      <w:pPr>
        <w:ind w:left="320" w:right="40" w:hanging="317"/>
        <w:spacing w:after="0" w:line="314" w:lineRule="auto"/>
        <w:tabs>
          <w:tab w:leader="none" w:pos="3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Deferred income taxes for the year ended December 31, 2017 includes a non-cash income tax benefit of $154.0 million, which relates to the remeasurement of the Company’s deferred tax assets and liabilities and other discrete adjustments as a result of applying the provisions of the Tax Act.</w:t>
      </w:r>
    </w:p>
    <w:p>
      <w:pPr>
        <w:spacing w:after="0" w:line="361" w:lineRule="exact"/>
        <w:rPr>
          <w:sz w:val="20"/>
          <w:szCs w:val="20"/>
          <w:color w:val="auto"/>
        </w:rPr>
      </w:pPr>
    </w:p>
    <w:p>
      <w:pPr>
        <w:ind w:right="500"/>
        <w:spacing w:after="0" w:line="258" w:lineRule="auto"/>
        <w:rPr>
          <w:sz w:val="20"/>
          <w:szCs w:val="20"/>
          <w:color w:val="auto"/>
        </w:rPr>
      </w:pPr>
      <w:r>
        <w:rPr>
          <w:rFonts w:ascii="Arial" w:cs="Arial" w:eastAsia="Arial" w:hAnsi="Arial"/>
          <w:sz w:val="18"/>
          <w:szCs w:val="18"/>
          <w:color w:val="auto"/>
        </w:rPr>
        <w:t>Income taxes for the years ended December 31, 2018, 2017, and 2016, differs from amounts computed by applying the statutory federal rate to income before income taxes for the following reasons: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right"/>
              <w:ind w:right="35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280" w:type="dxa"/>
            <w:vAlign w:val="bottom"/>
            <w:tcBorders>
              <w:bottom w:val="single" w:sz="8" w:color="auto"/>
            </w:tcBorders>
          </w:tcPr>
          <w:p>
            <w:pPr>
              <w:spacing w:after="0"/>
              <w:rPr>
                <w:sz w:val="12"/>
                <w:szCs w:val="12"/>
                <w:color w:val="auto"/>
              </w:rPr>
            </w:pPr>
          </w:p>
        </w:tc>
        <w:tc>
          <w:tcPr>
            <w:tcW w:w="42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r>
      <w:tr>
        <w:trPr>
          <w:trHeight w:val="210"/>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federal income tax expense</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State income tax</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3.4 %</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2.6 %</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1.4 %</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Foreign taxes</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0.6 %</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0.1 %</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0.4 %</w:t>
            </w: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Remeasurement and discrete adjustments related to the Tax Act (1)</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2.0 %</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3"/>
              </w:rPr>
              <w:t>(123.0)%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Share-based payments</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0.1 %</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(1.4)%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 net</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0.8 %</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17"/>
        </w:trPr>
        <w:tc>
          <w:tcPr>
            <w:tcW w:w="6740" w:type="dxa"/>
            <w:vAlign w:val="bottom"/>
            <w:gridSpan w:val="3"/>
          </w:tcPr>
          <w:p>
            <w:pPr>
              <w:ind w:left="120"/>
              <w:spacing w:after="0"/>
              <w:rPr>
                <w:sz w:val="20"/>
                <w:szCs w:val="20"/>
                <w:color w:val="auto"/>
              </w:rPr>
            </w:pPr>
            <w:r>
              <w:rPr>
                <w:rFonts w:ascii="Arial" w:cs="Arial" w:eastAsia="Arial" w:hAnsi="Arial"/>
                <w:sz w:val="18"/>
                <w:szCs w:val="18"/>
                <w:color w:val="auto"/>
              </w:rPr>
              <w:t>Effective income tax rate</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108"/>
        </w:trPr>
        <w:tc>
          <w:tcPr>
            <w:tcW w:w="2280" w:type="dxa"/>
            <w:vAlign w:val="bottom"/>
            <w:tcBorders>
              <w:bottom w:val="single" w:sz="8" w:color="auto"/>
            </w:tcBorders>
          </w:tcPr>
          <w:p>
            <w:pPr>
              <w:spacing w:after="0"/>
              <w:rPr>
                <w:sz w:val="9"/>
                <w:szCs w:val="9"/>
                <w:color w:val="auto"/>
              </w:rPr>
            </w:pPr>
          </w:p>
        </w:tc>
        <w:tc>
          <w:tcPr>
            <w:tcW w:w="4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89" w:lineRule="exact"/>
        <w:rPr>
          <w:sz w:val="20"/>
          <w:szCs w:val="20"/>
          <w:color w:val="auto"/>
        </w:rPr>
      </w:pPr>
    </w:p>
    <w:p>
      <w:pPr>
        <w:jc w:val="both"/>
        <w:ind w:left="320" w:right="40" w:hanging="317"/>
        <w:spacing w:after="0" w:line="267" w:lineRule="auto"/>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Effective income tax rate for the year ended December 31, 2018 and 2017 includes the impact of a non-cash income tax expense of $2.9 million, or 2.0 percent, and a non-cash income tax benefit of $154.0 million, or (123.0 percent), respectively, related to the remeasurement of the Company’s deferred assets and liabilities and other discrete adjustments as a result of applying the provisions of the Tax Act.</w:t>
      </w:r>
    </w:p>
    <w:p>
      <w:pPr>
        <w:spacing w:after="0" w:line="196" w:lineRule="exact"/>
        <w:rPr>
          <w:sz w:val="20"/>
          <w:szCs w:val="20"/>
          <w:color w:val="auto"/>
        </w:rPr>
      </w:pPr>
    </w:p>
    <w:p>
      <w:pPr>
        <w:ind w:right="500"/>
        <w:spacing w:after="0" w:line="258" w:lineRule="auto"/>
        <w:rPr>
          <w:sz w:val="20"/>
          <w:szCs w:val="20"/>
          <w:color w:val="auto"/>
        </w:rPr>
      </w:pPr>
      <w:r>
        <w:rPr>
          <w:rFonts w:ascii="Arial" w:cs="Arial" w:eastAsia="Arial" w:hAnsi="Arial"/>
          <w:sz w:val="18"/>
          <w:szCs w:val="18"/>
          <w:color w:val="auto"/>
        </w:rPr>
        <w:t>The tax effects of temporary differences that gave rise to significant portions of the deferred tax assets and deferred tax liabilities at December 31, 2018 and 2017,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5"/>
          </w:tcPr>
          <w:p>
            <w:pPr>
              <w:ind w:left="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1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20"/>
              <w:spacing w:after="0"/>
              <w:rPr>
                <w:sz w:val="20"/>
                <w:szCs w:val="20"/>
                <w:color w:val="auto"/>
              </w:rPr>
            </w:pPr>
            <w:r>
              <w:rPr>
                <w:rFonts w:ascii="Arial" w:cs="Arial" w:eastAsia="Arial" w:hAnsi="Arial"/>
                <w:sz w:val="18"/>
                <w:szCs w:val="18"/>
                <w:color w:val="auto"/>
              </w:rPr>
              <w:t>Benefit plans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 net operating losses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20"/>
              <w:spacing w:after="0"/>
              <w:rPr>
                <w:sz w:val="20"/>
                <w:szCs w:val="20"/>
                <w:color w:val="auto"/>
              </w:rPr>
            </w:pPr>
            <w:r>
              <w:rPr>
                <w:rFonts w:ascii="Arial" w:cs="Arial" w:eastAsia="Arial" w:hAnsi="Arial"/>
                <w:sz w:val="18"/>
                <w:szCs w:val="18"/>
                <w:color w:val="auto"/>
              </w:rPr>
              <w:t>Insurance reserves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net operating losses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20"/>
              <w:spacing w:after="0"/>
              <w:rPr>
                <w:sz w:val="20"/>
                <w:szCs w:val="20"/>
                <w:color w:val="auto"/>
              </w:rPr>
            </w:pPr>
            <w:r>
              <w:rPr>
                <w:rFonts w:ascii="Arial" w:cs="Arial" w:eastAsia="Arial" w:hAnsi="Arial"/>
                <w:sz w:val="18"/>
                <w:szCs w:val="18"/>
                <w:color w:val="auto"/>
              </w:rPr>
              <w:t>Foreign losses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State alternative minimum tax credits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tcPr>
          <w:p>
            <w:pPr>
              <w:ind w:left="220"/>
              <w:spacing w:after="0"/>
              <w:rPr>
                <w:sz w:val="20"/>
                <w:szCs w:val="20"/>
                <w:color w:val="auto"/>
              </w:rPr>
            </w:pPr>
            <w:r>
              <w:rPr>
                <w:rFonts w:ascii="Arial" w:cs="Arial" w:eastAsia="Arial" w:hAnsi="Arial"/>
                <w:sz w:val="18"/>
                <w:szCs w:val="18"/>
                <w:color w:val="auto"/>
              </w:rPr>
              <w:t>Total deferred tax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Valuation allowance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tax assets, net of valuation allowance</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Basis differences for property and equipment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20"/>
              <w:spacing w:after="0"/>
              <w:rPr>
                <w:sz w:val="20"/>
                <w:szCs w:val="20"/>
                <w:color w:val="auto"/>
              </w:rPr>
            </w:pPr>
            <w:r>
              <w:rPr>
                <w:rFonts w:ascii="Arial" w:cs="Arial" w:eastAsia="Arial" w:hAnsi="Arial"/>
                <w:sz w:val="18"/>
                <w:szCs w:val="18"/>
                <w:color w:val="auto"/>
              </w:rPr>
              <w:t>Lease financing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Construction Fund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20"/>
              <w:spacing w:after="0"/>
              <w:rPr>
                <w:sz w:val="20"/>
                <w:szCs w:val="20"/>
                <w:color w:val="auto"/>
              </w:rPr>
            </w:pPr>
            <w:r>
              <w:rPr>
                <w:rFonts w:ascii="Arial" w:cs="Arial" w:eastAsia="Arial" w:hAnsi="Arial"/>
                <w:sz w:val="18"/>
                <w:szCs w:val="18"/>
                <w:color w:val="auto"/>
              </w:rPr>
              <w:t>Intangibles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20"/>
              <w:spacing w:after="0"/>
              <w:rPr>
                <w:sz w:val="20"/>
                <w:szCs w:val="20"/>
                <w:color w:val="auto"/>
              </w:rPr>
            </w:pPr>
            <w:r>
              <w:rPr>
                <w:rFonts w:ascii="Arial" w:cs="Arial" w:eastAsia="Arial" w:hAnsi="Arial"/>
                <w:sz w:val="18"/>
                <w:szCs w:val="18"/>
                <w:color w:val="auto"/>
              </w:rPr>
              <w:t>Terminal Joint Venture investment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tax liabilities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liability, net</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Company’s income taxes payable has been reduced by the tax benefits from share-based compensation. The Company receives an income tax benefit for exercised stock options calculated as the difference between the fair market value of the stock issued at the time of exercise and the option exercise price, tax-effected. The Company also receives an income tax benefit for non-vested stock when it vests, measured at the fair market value of the stock at the time of vesting, tax-effected. The net tax benefits from share-based transactions were $2.2 million for 2016, and the portion of the tax benefit related to the excess of the amount reported as the tax deduction over expense was reflected as an increase to additional paid-in-capital in the 2016 Consolidated Statements of Shareholders’ Equity.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i w:val="1"/>
          <w:iCs w:val="1"/>
          <w:color w:val="auto"/>
        </w:rPr>
        <w:t xml:space="preserve">Valuation Allowance: </w:t>
      </w:r>
      <w:r>
        <w:rPr>
          <w:rFonts w:ascii="Arial" w:cs="Arial" w:eastAsia="Arial" w:hAnsi="Arial"/>
          <w:sz w:val="17"/>
          <w:szCs w:val="17"/>
          <w:color w:val="auto"/>
        </w:rPr>
        <w:t>Valuation allowances recorded against the Company’s foreign income tax net operating losses</w:t>
      </w:r>
      <w:r>
        <w:rPr>
          <w:rFonts w:ascii="Arial" w:cs="Arial" w:eastAsia="Arial" w:hAnsi="Arial"/>
          <w:sz w:val="17"/>
          <w:szCs w:val="17"/>
          <w:i w:val="1"/>
          <w:iCs w:val="1"/>
          <w:color w:val="auto"/>
        </w:rPr>
        <w:t xml:space="preserve"> </w:t>
      </w:r>
      <w:r>
        <w:rPr>
          <w:rFonts w:ascii="Arial" w:cs="Arial" w:eastAsia="Arial" w:hAnsi="Arial"/>
          <w:sz w:val="17"/>
          <w:szCs w:val="17"/>
          <w:color w:val="auto"/>
        </w:rPr>
        <w:t>(“NOLs”) and a portion of the state income tax NOLs were $11.5 million and $13.0 million as of December 31, 2018 and 2017, respectively. The Company believes that it is more likely than not that the benefit from these amounts will not be realized. The Company recorded adjustments to its valuation allowance of ($1.1) million, $1.7 million and $0.4 million during the years ended December 31, 2018, 2017 and 2016, respectively.</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Net Operating Losses and Tax Credit Carryforwards: </w:t>
      </w:r>
      <w:r>
        <w:rPr>
          <w:rFonts w:ascii="Arial" w:cs="Arial" w:eastAsia="Arial" w:hAnsi="Arial"/>
          <w:sz w:val="18"/>
          <w:szCs w:val="18"/>
          <w:color w:val="auto"/>
        </w:rPr>
        <w:t>The Company’s NOLs and tax credit carryforwards at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and 2017,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860" w:type="dxa"/>
            <w:vAlign w:val="bottom"/>
          </w:tcPr>
          <w:p>
            <w:pPr>
              <w:spacing w:after="0"/>
              <w:rPr>
                <w:sz w:val="20"/>
                <w:szCs w:val="20"/>
                <w:color w:val="auto"/>
              </w:rPr>
            </w:pPr>
            <w:r>
              <w:rPr>
                <w:rFonts w:ascii="Arial" w:cs="Arial" w:eastAsia="Arial" w:hAnsi="Arial"/>
                <w:sz w:val="14"/>
                <w:szCs w:val="14"/>
                <w:b w:val="1"/>
                <w:bCs w:val="1"/>
                <w:color w:val="auto"/>
              </w:rPr>
              <w:t>Expiration Date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r>
      <w:tr>
        <w:trPr>
          <w:trHeight w:val="210"/>
        </w:trPr>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Federal income tax NOLs</w:t>
            </w:r>
          </w:p>
        </w:tc>
        <w:tc>
          <w:tcPr>
            <w:tcW w:w="10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Various dates beginning in 2027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U.S. State income tax NOLs</w:t>
            </w:r>
          </w:p>
        </w:tc>
        <w:tc>
          <w:tcPr>
            <w:tcW w:w="2860" w:type="dxa"/>
            <w:vAlign w:val="bottom"/>
          </w:tcPr>
          <w:p>
            <w:pPr>
              <w:spacing w:after="0"/>
              <w:rPr>
                <w:sz w:val="20"/>
                <w:szCs w:val="20"/>
                <w:color w:val="auto"/>
              </w:rPr>
            </w:pPr>
            <w:r>
              <w:rPr>
                <w:rFonts w:ascii="Arial" w:cs="Arial" w:eastAsia="Arial" w:hAnsi="Arial"/>
                <w:sz w:val="18"/>
                <w:szCs w:val="18"/>
                <w:color w:val="auto"/>
              </w:rPr>
              <w:t>Various dates beginning in 2032</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189.2</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192.3</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income tax NOLs</w:t>
            </w: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No expiration date</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U.S. State alternative minimum tax credit</w:t>
            </w:r>
          </w:p>
        </w:tc>
        <w:tc>
          <w:tcPr>
            <w:tcW w:w="2860" w:type="dxa"/>
            <w:vAlign w:val="bottom"/>
          </w:tcPr>
          <w:p>
            <w:pPr>
              <w:spacing w:after="0"/>
              <w:rPr>
                <w:sz w:val="20"/>
                <w:szCs w:val="20"/>
                <w:color w:val="auto"/>
              </w:rPr>
            </w:pPr>
            <w:r>
              <w:rPr>
                <w:rFonts w:ascii="Arial" w:cs="Arial" w:eastAsia="Arial" w:hAnsi="Arial"/>
                <w:sz w:val="18"/>
                <w:szCs w:val="18"/>
                <w:color w:val="auto"/>
              </w:rPr>
              <w:t>No expiration date</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U.S. federal and state income tax NOLs in the Company’s filed income tax returns include unrecognized tax</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benefits. The deferred tax assets recognized for those NOLs are presented net of these unrecognized tax benefits. As a result of changes in tax legislation, the use of a portion of the Company’s domestic NOL and tax credit carryforwards may be limited in future periods. Further, a portion of the federal and state income tax NOLs and tax credit carryforwards may expire before being applied to reduce future income tax liabilities.</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Unrecognized Tax Benefits: </w:t>
      </w:r>
      <w:r>
        <w:rPr>
          <w:rFonts w:ascii="Arial" w:cs="Arial" w:eastAsia="Arial" w:hAnsi="Arial"/>
          <w:sz w:val="18"/>
          <w:szCs w:val="18"/>
          <w:color w:val="auto"/>
        </w:rPr>
        <w:t>Total unrecognized benefits represent the amount that, if recognized, would favorably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incomes taxes and effective tax rate in future periods. The Company does not expect a material change in gross unrecognized benefits in the next twelve months. A reconciliation of the beginning and ending amount of gross unrecognized tax benefits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gridSpan w:val="3"/>
          </w:tcPr>
          <w:p>
            <w:pPr>
              <w:spacing w:after="0"/>
              <w:rPr>
                <w:sz w:val="20"/>
                <w:szCs w:val="20"/>
                <w:color w:val="auto"/>
              </w:rPr>
            </w:pPr>
            <w:r>
              <w:rPr>
                <w:rFonts w:ascii="Arial" w:cs="Arial" w:eastAsia="Arial" w:hAnsi="Arial"/>
                <w:sz w:val="14"/>
                <w:szCs w:val="14"/>
                <w:b w:val="1"/>
                <w:bCs w:val="1"/>
                <w:color w:val="auto"/>
              </w:rPr>
              <w:t>Unrecognized Tax Benefits (in millions)</w:t>
            </w: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Amount</w:t>
            </w:r>
          </w:p>
        </w:tc>
      </w:tr>
      <w:tr>
        <w:trPr>
          <w:trHeight w:val="210"/>
        </w:trPr>
        <w:tc>
          <w:tcPr>
            <w:tcW w:w="7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gridSpan w:val="3"/>
          </w:tcPr>
          <w:p>
            <w:pPr>
              <w:ind w:left="220"/>
              <w:spacing w:after="0"/>
              <w:rPr>
                <w:sz w:val="20"/>
                <w:szCs w:val="20"/>
                <w:color w:val="auto"/>
              </w:rPr>
            </w:pPr>
            <w:r>
              <w:rPr>
                <w:rFonts w:ascii="Arial" w:cs="Arial" w:eastAsia="Arial" w:hAnsi="Arial"/>
                <w:sz w:val="18"/>
                <w:szCs w:val="18"/>
                <w:color w:val="auto"/>
              </w:rPr>
              <w:t>Changes in tax positions of prior years, net</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8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Reductions for lapse of statute of limitations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r>
      <w:tr>
        <w:trPr>
          <w:trHeight w:val="210"/>
        </w:trPr>
        <w:tc>
          <w:tcPr>
            <w:tcW w:w="8220" w:type="dxa"/>
            <w:vAlign w:val="bottom"/>
            <w:gridSpan w:val="3"/>
          </w:tcPr>
          <w:p>
            <w:pPr>
              <w:spacing w:after="0"/>
              <w:rPr>
                <w:sz w:val="20"/>
                <w:szCs w:val="20"/>
                <w:color w:val="auto"/>
              </w:rPr>
            </w:pPr>
            <w:r>
              <w:rPr>
                <w:rFonts w:ascii="Arial" w:cs="Arial" w:eastAsia="Arial" w:hAnsi="Arial"/>
                <w:sz w:val="18"/>
                <w:szCs w:val="18"/>
                <w:color w:val="auto"/>
              </w:rPr>
              <w:t>Balance at December 31, 2016</w:t>
            </w: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r>
      <w:tr>
        <w:trPr>
          <w:trHeight w:val="216"/>
        </w:trPr>
        <w:tc>
          <w:tcPr>
            <w:tcW w:w="8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Changes in tax positions of prior years,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r>
      <w:tr>
        <w:trPr>
          <w:trHeight w:val="216"/>
        </w:trPr>
        <w:tc>
          <w:tcPr>
            <w:tcW w:w="8220" w:type="dxa"/>
            <w:vAlign w:val="bottom"/>
            <w:gridSpan w:val="3"/>
          </w:tcPr>
          <w:p>
            <w:pPr>
              <w:ind w:left="220"/>
              <w:spacing w:after="0"/>
              <w:rPr>
                <w:sz w:val="20"/>
                <w:szCs w:val="20"/>
                <w:color w:val="auto"/>
              </w:rPr>
            </w:pPr>
            <w:r>
              <w:rPr>
                <w:rFonts w:ascii="Arial" w:cs="Arial" w:eastAsia="Arial" w:hAnsi="Arial"/>
                <w:sz w:val="18"/>
                <w:szCs w:val="18"/>
                <w:color w:val="auto"/>
              </w:rPr>
              <w:t>Reductions for lapse of statute of limitations</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r>
      <w:tr>
        <w:trPr>
          <w:trHeight w:val="216"/>
        </w:trPr>
        <w:tc>
          <w:tcPr>
            <w:tcW w:w="8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Revaluation of unrecognized tax benefits due to the Tax Act (1)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r>
      <w:tr>
        <w:trPr>
          <w:trHeight w:val="210"/>
        </w:trPr>
        <w:tc>
          <w:tcPr>
            <w:tcW w:w="8220" w:type="dxa"/>
            <w:vAlign w:val="bottom"/>
            <w:gridSpan w:val="3"/>
          </w:tcPr>
          <w:p>
            <w:pPr>
              <w:spacing w:after="0"/>
              <w:rPr>
                <w:sz w:val="20"/>
                <w:szCs w:val="20"/>
                <w:color w:val="auto"/>
              </w:rPr>
            </w:pPr>
            <w:r>
              <w:rPr>
                <w:rFonts w:ascii="Arial" w:cs="Arial" w:eastAsia="Arial" w:hAnsi="Arial"/>
                <w:sz w:val="18"/>
                <w:szCs w:val="18"/>
                <w:color w:val="auto"/>
              </w:rPr>
              <w:t>Balance at December 31, 2017</w:t>
            </w: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r>
      <w:tr>
        <w:trPr>
          <w:trHeight w:val="216"/>
        </w:trPr>
        <w:tc>
          <w:tcPr>
            <w:tcW w:w="8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Changes in tax positions of prior years,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r>
      <w:tr>
        <w:trPr>
          <w:trHeight w:val="216"/>
        </w:trPr>
        <w:tc>
          <w:tcPr>
            <w:tcW w:w="8220" w:type="dxa"/>
            <w:vAlign w:val="bottom"/>
            <w:gridSpan w:val="3"/>
          </w:tcPr>
          <w:p>
            <w:pPr>
              <w:ind w:left="220"/>
              <w:spacing w:after="0"/>
              <w:rPr>
                <w:sz w:val="20"/>
                <w:szCs w:val="20"/>
                <w:color w:val="auto"/>
              </w:rPr>
            </w:pPr>
            <w:r>
              <w:rPr>
                <w:rFonts w:ascii="Arial" w:cs="Arial" w:eastAsia="Arial" w:hAnsi="Arial"/>
                <w:sz w:val="18"/>
                <w:szCs w:val="18"/>
                <w:color w:val="auto"/>
              </w:rPr>
              <w:t>Reductions for lapse of statute of limitations</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r>
      <w:tr>
        <w:trPr>
          <w:trHeight w:val="217"/>
        </w:trPr>
        <w:tc>
          <w:tcPr>
            <w:tcW w:w="82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5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r>
    </w:tbl>
    <w:p>
      <w:pPr>
        <w:ind w:left="320" w:hanging="317"/>
        <w:spacing w:after="0" w:line="224" w:lineRule="auto"/>
        <w:tabs>
          <w:tab w:leader="none" w:pos="320" w:val="left"/>
        </w:tabs>
        <w:numPr>
          <w:ilvl w:val="0"/>
          <w:numId w:val="49"/>
        </w:numPr>
        <w:rPr>
          <w:rFonts w:ascii="Arial" w:cs="Arial" w:eastAsia="Arial" w:hAnsi="Arial"/>
          <w:sz w:val="29"/>
          <w:szCs w:val="29"/>
          <w:color w:val="auto"/>
          <w:vertAlign w:val="superscript"/>
        </w:rPr>
      </w:pPr>
      <w:r>
        <w:rPr>
          <w:rFonts w:ascii="Arial" w:cs="Arial" w:eastAsia="Arial" w:hAnsi="Arial"/>
          <w:sz w:val="14"/>
          <w:szCs w:val="14"/>
          <w:color w:val="auto"/>
        </w:rPr>
        <w:t>Amount relates to the impact of applying the Tax Act during the year ended December 31, 2017.</w:t>
      </w:r>
    </w:p>
    <w:p>
      <w:pPr>
        <w:spacing w:after="0" w:line="21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Included in the balance of unrecognized tax benefits at December 31, 2018 are potential benefits of $13.7 million that, if recognized, would affect the Company’s income taxes and effective tax rate. The Company recognizes potential accrued interest and penalties related to unrecognized tax benefits in income taxes. To the extent interest and penalties are not ultimately assessed with respect to the settlement of uncertain tax positions, amounts accrued will be reduced and reflected as a reduction of the Company’s income taxes. Interest accrued related to the balance of unrecognized tax benefits totaled $0.4 million and $0.5 million as of December 31, 2018 and 2017, respectively.</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is no longer subject to U.S. federal income tax audits for years before 2014. The Company is routinely involved in state, local income and excise tax audits, and foreign tax audits.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700" w:hanging="697"/>
        <w:spacing w:after="0"/>
        <w:tabs>
          <w:tab w:leader="none" w:pos="7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Non-bargaining Plans:</w:t>
      </w:r>
    </w:p>
    <w:p>
      <w:pPr>
        <w:spacing w:after="0" w:line="225"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The Company has two funded qualified single-employer defined benefit pension plans that cover certain non</w:t>
      </w:r>
      <w:r>
        <w:rPr>
          <w:rFonts w:ascii="MS PGothic" w:cs="MS PGothic" w:eastAsia="MS PGothic" w:hAnsi="MS PGothic"/>
          <w:sz w:val="16"/>
          <w:szCs w:val="16"/>
          <w:color w:val="auto"/>
        </w:rPr>
        <w:t>‑</w:t>
      </w:r>
      <w:r>
        <w:rPr>
          <w:rFonts w:ascii="Arial" w:cs="Arial" w:eastAsia="Arial" w:hAnsi="Arial"/>
          <w:sz w:val="16"/>
          <w:szCs w:val="16"/>
          <w:color w:val="auto"/>
        </w:rPr>
        <w:t>bargaining unit employees and bargaining unit employees. In addition, the Company has plans that provide certain retiree health care and life insurance benefits to substantially all salaried, non-bargaining employees hired before 2008 and to certain bargaining unit employees. Employees are generally eligible for such benefits upon retirement and completion of a specified number of years of service. The Company does not pre-fund these health care and life insurance benefits, and has the right to modify or terminate certain of these plans in the future. Most non-bargaining retirees pay a portion of the benefit costs.</w:t>
      </w:r>
    </w:p>
    <w:p>
      <w:pPr>
        <w:spacing w:after="0" w:line="20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Plan Administration, Investments and Asset Allocations: </w:t>
      </w:r>
      <w:r>
        <w:rPr>
          <w:rFonts w:ascii="Arial" w:cs="Arial" w:eastAsia="Arial" w:hAnsi="Arial"/>
          <w:sz w:val="16"/>
          <w:szCs w:val="16"/>
          <w:color w:val="auto"/>
        </w:rPr>
        <w:t>The Company has a Benefits Investment Committee that meets</w:t>
      </w:r>
      <w:r>
        <w:rPr>
          <w:rFonts w:ascii="Arial" w:cs="Arial" w:eastAsia="Arial" w:hAnsi="Arial"/>
          <w:sz w:val="16"/>
          <w:szCs w:val="16"/>
          <w:i w:val="1"/>
          <w:iCs w:val="1"/>
          <w:color w:val="auto"/>
        </w:rPr>
        <w:t xml:space="preserve"> </w:t>
      </w:r>
      <w:r>
        <w:rPr>
          <w:rFonts w:ascii="Arial" w:cs="Arial" w:eastAsia="Arial" w:hAnsi="Arial"/>
          <w:sz w:val="16"/>
          <w:szCs w:val="16"/>
          <w:color w:val="auto"/>
        </w:rPr>
        <w:t>regularly with investment advisors to establish investment policies, direct investments and select investment options for the qualified plans. The Benefits Investment Committee is also responsible for appointing investment managers and monitoring their performance. The Company’s investment policy permits investments in marketable equity securities, such as domestic and foreign stocks, domestic and foreign bonds, venture capital, real estate investments, and cash equivalents. The Company’s investment policy does not permit direct investment in certain types of assets, such as options or commodities, or the use of certain strategies, such as short selling or the purchase of securities on margin.</w:t>
      </w:r>
    </w:p>
    <w:p>
      <w:pPr>
        <w:spacing w:after="0" w:line="16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Company’s investment strategy for its qualified pension plan assets is to achieve a diversified mix of investments that provides for long-term growth at an acceptable level of risk, and to provide sufficient liquidity to fund ongoing benefit payments. The Company has engaged a number of investment managers to implement various investment strategies to achieve the desired asset class mix, liquidity and risk diversification objectives.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target and actual asset allocations at December 31, 2018 and 2017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Asset Categories</w:t>
            </w:r>
          </w:p>
        </w:tc>
        <w:tc>
          <w:tcPr>
            <w:tcW w:w="7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8"/>
              </w:rPr>
              <w:t>Target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Domestic equity securities</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International equity securities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16 %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7 %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and cash</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17"/>
        </w:trPr>
        <w:tc>
          <w:tcPr>
            <w:tcW w:w="70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investments in equity securities primarily include domestic large-cap and mid-cap companies, but also includes an allocation to small-cap and international equity securities. Equity investments do not include any direct holdings of the Company’s stock but may include such holdings to the extent that the stock is included as part of certain mutual fund holdings. Debt securities include investment-grade and high-yield corporate bonds from diversified industries, mortgage-backed securities, and U.S. Treasuries. Other types of investments include funds that invest in commercial real estate assets, and to a lesser extent, private equity investments in technology companies. All assets within specific funds are allocated to the target asset allocation of the fund.</w:t>
      </w:r>
    </w:p>
    <w:p>
      <w:pPr>
        <w:spacing w:after="0" w:line="18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expected return on plan assets is principally based on the Company’s historical returns combined with the Company’s long-term future expectations regarding asset class returns, the mix of plan assets, and inflation assumptions. Actual return on plan assets for the periods presented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Actual Return on Plan Assets</w:t>
            </w:r>
          </w:p>
        </w:tc>
        <w:tc>
          <w:tcPr>
            <w:tcW w:w="2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Returns</w:t>
            </w:r>
          </w:p>
        </w:tc>
        <w:tc>
          <w:tcPr>
            <w:tcW w:w="300" w:type="dxa"/>
            <w:vAlign w:val="bottom"/>
            <w:tcBorders>
              <w:bottom w:val="single" w:sz="8" w:color="CCEEFF"/>
            </w:tcBorders>
          </w:tcPr>
          <w:p>
            <w:pPr>
              <w:spacing w:after="0"/>
              <w:rPr>
                <w:sz w:val="14"/>
                <w:szCs w:val="14"/>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One-year return</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Three-year return</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5.1 %</w:t>
            </w: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Five-year return</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3.8 %</w:t>
            </w: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Long-term average return (since plan inception in 1989)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7.9 %</w:t>
            </w:r>
          </w:p>
        </w:tc>
      </w:tr>
    </w:tbl>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Company’s pension plan assets are held in a master trust and are stated at estimated fair values of the underlying investments. Purchases and sales of securities are recorded on a trade-date basis. Interest income is recorded on the accrual basis. Dividends are recorded on the ex-dividend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Domestic and international common stocks are valued by obtaining quoted prices on recognized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highly liquid exchanges.</w:t>
      </w:r>
    </w:p>
    <w:p>
      <w:pPr>
        <w:spacing w:after="0" w:line="17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Fixed Income Securities: </w:t>
      </w:r>
      <w:r>
        <w:rPr>
          <w:rFonts w:ascii="Arial" w:cs="Arial" w:eastAsia="Arial" w:hAnsi="Arial"/>
          <w:sz w:val="17"/>
          <w:szCs w:val="17"/>
          <w:color w:val="auto"/>
        </w:rPr>
        <w:t>Corporate bonds and U.S. government treasury and agency securities are valued based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price reported in the market in which the security is traded. U.S. government agency and corporate asset-backed securities may utilize models, such as a matrix pricing model, that incorporate other observable inputs when broker/dealer quotes are not available, such as cash flow, security structure, or market information.</w:t>
      </w:r>
    </w:p>
    <w:p>
      <w:pPr>
        <w:spacing w:after="0" w:line="17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i w:val="1"/>
          <w:iCs w:val="1"/>
          <w:color w:val="auto"/>
        </w:rPr>
        <w:t xml:space="preserve">Real Estate, Private Equity and Insurance Contract Interests: </w:t>
      </w:r>
      <w:r>
        <w:rPr>
          <w:rFonts w:ascii="Arial" w:cs="Arial" w:eastAsia="Arial" w:hAnsi="Arial"/>
          <w:sz w:val="17"/>
          <w:szCs w:val="17"/>
          <w:color w:val="auto"/>
        </w:rPr>
        <w:t>The fair value of real estate, private equity and insurance</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interests are determined by the issuer based on the unit values of the funds. Unit values are determined by dividing the fund’s net assets by the number of units outstanding at the valuation date. Fair value for underlying investments in real estate is determined through independent property appraisals. Fair value of underlying investments in private equity is determined based on information provided by the general partner taking into consideration the purchase price of the underlying securities, developments concerning the investee company subsequent to the acquisition of the investment, financial data and projections of the investee company provided by the general partner, and such other factors as the general partner deems relevant. Insurance contracts are principally invested in real estate assets, which are valued based upon independent appraisals.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the Company’s pension plan assets at December 31, 2018 and 2017 by asset category,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00" w:type="dxa"/>
            <w:vAlign w:val="bottom"/>
            <w:gridSpan w:val="11"/>
          </w:tcPr>
          <w:p>
            <w:pPr>
              <w:ind w:left="480"/>
              <w:spacing w:after="0"/>
              <w:rPr>
                <w:sz w:val="20"/>
                <w:szCs w:val="20"/>
                <w:color w:val="auto"/>
              </w:rPr>
            </w:pPr>
            <w:r>
              <w:rPr>
                <w:rFonts w:ascii="Arial" w:cs="Arial" w:eastAsia="Arial" w:hAnsi="Arial"/>
                <w:sz w:val="14"/>
                <w:szCs w:val="14"/>
                <w:b w:val="1"/>
                <w:bCs w:val="1"/>
                <w:color w:val="auto"/>
              </w:rPr>
              <w:t>Fair Value Measurements at December 31, 2018</w:t>
            </w: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4"/>
          </w:tcPr>
          <w:p>
            <w:pPr>
              <w:ind w:left="160"/>
              <w:spacing w:after="0" w:line="119" w:lineRule="exact"/>
              <w:rPr>
                <w:sz w:val="20"/>
                <w:szCs w:val="20"/>
                <w:color w:val="auto"/>
              </w:rPr>
            </w:pPr>
            <w:r>
              <w:rPr>
                <w:rFonts w:ascii="Arial" w:cs="Arial" w:eastAsia="Arial" w:hAnsi="Arial"/>
                <w:sz w:val="13"/>
                <w:szCs w:val="13"/>
                <w:b w:val="1"/>
                <w:bCs w:val="1"/>
                <w:color w:val="auto"/>
              </w:rPr>
              <w:t>Quoted Prices in</w:t>
            </w: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Significant</w:t>
            </w: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72"/>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 (in millions)</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0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Observable</w:t>
            </w: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1"/>
        </w:trPr>
        <w:tc>
          <w:tcPr>
            <w:tcW w:w="37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Inputs (Level 2)</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9"/>
              </w:rPr>
              <w:t>Inputs (Level 3)</w:t>
            </w:r>
          </w:p>
        </w:tc>
        <w:tc>
          <w:tcPr>
            <w:tcW w:w="0" w:type="dxa"/>
            <w:vAlign w:val="bottom"/>
          </w:tcPr>
          <w:p>
            <w:pPr>
              <w:spacing w:after="0"/>
              <w:rPr>
                <w:sz w:val="1"/>
                <w:szCs w:val="1"/>
                <w:color w:val="auto"/>
              </w:rPr>
            </w:pPr>
          </w:p>
        </w:tc>
      </w:tr>
      <w:tr>
        <w:trPr>
          <w:trHeight w:val="210"/>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Equity securities: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large-cap</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U.S. mid- and small-cap</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large-cap</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International small-cap</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U.S. Treasuries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Investment grade U.S. corporate bonds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High-yield U.S. corporate bonds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Other types of investments: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partnership interests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7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37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00" w:type="dxa"/>
            <w:vAlign w:val="bottom"/>
            <w:gridSpan w:val="11"/>
          </w:tcPr>
          <w:p>
            <w:pPr>
              <w:ind w:left="480"/>
              <w:spacing w:after="0"/>
              <w:rPr>
                <w:sz w:val="20"/>
                <w:szCs w:val="20"/>
                <w:color w:val="auto"/>
              </w:rPr>
            </w:pPr>
            <w:r>
              <w:rPr>
                <w:rFonts w:ascii="Arial" w:cs="Arial" w:eastAsia="Arial" w:hAnsi="Arial"/>
                <w:sz w:val="14"/>
                <w:szCs w:val="14"/>
                <w:b w:val="1"/>
                <w:bCs w:val="1"/>
                <w:color w:val="auto"/>
              </w:rPr>
              <w:t>Fair Value Measurements at December 31, 2017</w:t>
            </w: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4"/>
          </w:tcPr>
          <w:p>
            <w:pPr>
              <w:ind w:left="160"/>
              <w:spacing w:after="0" w:line="119" w:lineRule="exact"/>
              <w:rPr>
                <w:sz w:val="20"/>
                <w:szCs w:val="20"/>
                <w:color w:val="auto"/>
              </w:rPr>
            </w:pPr>
            <w:r>
              <w:rPr>
                <w:rFonts w:ascii="Arial" w:cs="Arial" w:eastAsia="Arial" w:hAnsi="Arial"/>
                <w:sz w:val="13"/>
                <w:szCs w:val="13"/>
                <w:b w:val="1"/>
                <w:bCs w:val="1"/>
                <w:color w:val="auto"/>
              </w:rPr>
              <w:t>Quoted Prices in</w:t>
            </w: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Significant</w:t>
            </w: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72"/>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 (in millions)</w:t>
            </w:r>
          </w:p>
        </w:tc>
        <w:tc>
          <w:tcPr>
            <w:tcW w:w="140" w:type="dxa"/>
            <w:vAlign w:val="bottom"/>
          </w:tcPr>
          <w:p>
            <w:pPr>
              <w:spacing w:after="0"/>
              <w:rPr>
                <w:sz w:val="12"/>
                <w:szCs w:val="12"/>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0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Observable</w:t>
            </w: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1"/>
        </w:trPr>
        <w:tc>
          <w:tcPr>
            <w:tcW w:w="4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Inputs (Level 2)</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9"/>
              </w:rPr>
              <w:t>Inputs (Level 3)</w:t>
            </w: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large-cap</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tcPr>
          <w:p>
            <w:pPr>
              <w:ind w:left="220"/>
              <w:spacing w:after="0"/>
              <w:rPr>
                <w:sz w:val="20"/>
                <w:szCs w:val="20"/>
                <w:color w:val="auto"/>
              </w:rPr>
            </w:pPr>
            <w:r>
              <w:rPr>
                <w:rFonts w:ascii="Arial" w:cs="Arial" w:eastAsia="Arial" w:hAnsi="Arial"/>
                <w:sz w:val="18"/>
                <w:szCs w:val="18"/>
                <w:color w:val="auto"/>
              </w:rPr>
              <w:t>U.S. mid- and small-cap</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International large-cap</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tcPr>
          <w:p>
            <w:pPr>
              <w:ind w:left="220"/>
              <w:spacing w:after="0"/>
              <w:rPr>
                <w:sz w:val="20"/>
                <w:szCs w:val="20"/>
                <w:color w:val="auto"/>
              </w:rPr>
            </w:pPr>
            <w:r>
              <w:rPr>
                <w:rFonts w:ascii="Arial" w:cs="Arial" w:eastAsia="Arial" w:hAnsi="Arial"/>
                <w:sz w:val="18"/>
                <w:szCs w:val="18"/>
                <w:color w:val="auto"/>
              </w:rPr>
              <w:t>International small-cap</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20"/>
              <w:spacing w:after="0"/>
              <w:rPr>
                <w:sz w:val="20"/>
                <w:szCs w:val="20"/>
                <w:color w:val="auto"/>
              </w:rPr>
            </w:pPr>
            <w:r>
              <w:rPr>
                <w:rFonts w:ascii="Arial" w:cs="Arial" w:eastAsia="Arial" w:hAnsi="Arial"/>
                <w:sz w:val="18"/>
                <w:szCs w:val="18"/>
                <w:color w:val="auto"/>
              </w:rPr>
              <w:t>U.S. Treasuries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tcPr>
          <w:p>
            <w:pPr>
              <w:ind w:left="220"/>
              <w:spacing w:after="0"/>
              <w:rPr>
                <w:sz w:val="20"/>
                <w:szCs w:val="20"/>
                <w:color w:val="auto"/>
              </w:rPr>
            </w:pPr>
            <w:r>
              <w:rPr>
                <w:rFonts w:ascii="Arial" w:cs="Arial" w:eastAsia="Arial" w:hAnsi="Arial"/>
                <w:sz w:val="18"/>
                <w:szCs w:val="18"/>
                <w:color w:val="auto"/>
              </w:rPr>
              <w:t>Investment grade U.S. corporate bonds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High-yield U.S. corporate bonds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Other types of investments: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Real estate partnership interests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20"/>
              <w:spacing w:after="0"/>
              <w:rPr>
                <w:sz w:val="20"/>
                <w:szCs w:val="20"/>
                <w:color w:val="auto"/>
              </w:rPr>
            </w:pPr>
            <w:r>
              <w:rPr>
                <w:rFonts w:ascii="Arial" w:cs="Arial" w:eastAsia="Arial" w:hAnsi="Arial"/>
                <w:sz w:val="18"/>
                <w:szCs w:val="18"/>
                <w:color w:val="auto"/>
              </w:rPr>
              <w:t>Private equity partnership interests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table below presents a reconciliation of all pension plan investments measured at fair value on a recurring basis using significant unobservable inputs (Level 3) for the years ended December 31, 2018 and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gridSpan w:val="11"/>
          </w:tcPr>
          <w:p>
            <w:pPr>
              <w:jc w:val="center"/>
              <w:ind w:right="100"/>
              <w:spacing w:after="0"/>
              <w:rPr>
                <w:sz w:val="20"/>
                <w:szCs w:val="20"/>
                <w:color w:val="auto"/>
              </w:rPr>
            </w:pPr>
            <w:r>
              <w:rPr>
                <w:rFonts w:ascii="Arial" w:cs="Arial" w:eastAsia="Arial" w:hAnsi="Arial"/>
                <w:sz w:val="14"/>
                <w:szCs w:val="14"/>
                <w:b w:val="1"/>
                <w:bCs w:val="1"/>
                <w:color w:val="auto"/>
                <w:w w:val="92"/>
              </w:rPr>
              <w:t>Fair Value Measurements Using Significant</w:t>
            </w:r>
          </w:p>
        </w:tc>
        <w:tc>
          <w:tcPr>
            <w:tcW w:w="0" w:type="dxa"/>
            <w:vAlign w:val="bottom"/>
          </w:tcPr>
          <w:p>
            <w:pPr>
              <w:spacing w:after="0"/>
              <w:rPr>
                <w:sz w:val="1"/>
                <w:szCs w:val="1"/>
                <w:color w:val="auto"/>
              </w:rPr>
            </w:pPr>
          </w:p>
        </w:tc>
      </w:tr>
      <w:tr>
        <w:trPr>
          <w:trHeight w:val="171"/>
        </w:trPr>
        <w:tc>
          <w:tcPr>
            <w:tcW w:w="6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2620" w:type="dxa"/>
            <w:vAlign w:val="bottom"/>
            <w:gridSpan w:val="10"/>
          </w:tcPr>
          <w:p>
            <w:pPr>
              <w:jc w:val="center"/>
              <w:ind w:right="320"/>
              <w:spacing w:after="0"/>
              <w:rPr>
                <w:sz w:val="20"/>
                <w:szCs w:val="20"/>
                <w:color w:val="auto"/>
              </w:rPr>
            </w:pPr>
            <w:r>
              <w:rPr>
                <w:rFonts w:ascii="Arial" w:cs="Arial" w:eastAsia="Arial" w:hAnsi="Arial"/>
                <w:sz w:val="14"/>
                <w:szCs w:val="14"/>
                <w:b w:val="1"/>
                <w:bCs w:val="1"/>
                <w:color w:val="auto"/>
                <w:w w:val="93"/>
              </w:rPr>
              <w:t>Unobservable Inputs (Level 3)</w:t>
            </w:r>
          </w:p>
        </w:tc>
        <w:tc>
          <w:tcPr>
            <w:tcW w:w="0" w:type="dxa"/>
            <w:vAlign w:val="bottom"/>
          </w:tcPr>
          <w:p>
            <w:pPr>
              <w:spacing w:after="0"/>
              <w:rPr>
                <w:sz w:val="1"/>
                <w:szCs w:val="1"/>
                <w:color w:val="auto"/>
              </w:rPr>
            </w:pPr>
          </w:p>
        </w:tc>
      </w:tr>
      <w:tr>
        <w:trPr>
          <w:trHeight w:val="142"/>
        </w:trPr>
        <w:tc>
          <w:tcPr>
            <w:tcW w:w="6220" w:type="dxa"/>
            <w:vAlign w:val="bottom"/>
            <w:gridSpan w:val="2"/>
            <w:vMerge w:val="continue"/>
          </w:tcPr>
          <w:p>
            <w:pPr>
              <w:spacing w:after="0"/>
              <w:rPr>
                <w:sz w:val="12"/>
                <w:szCs w:val="12"/>
                <w:color w:val="auto"/>
              </w:rPr>
            </w:pPr>
          </w:p>
        </w:tc>
        <w:tc>
          <w:tcPr>
            <w:tcW w:w="8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Real Estate</w:t>
            </w:r>
          </w:p>
        </w:tc>
        <w:tc>
          <w:tcPr>
            <w:tcW w:w="1080" w:type="dxa"/>
            <w:vAlign w:val="bottom"/>
            <w:tcBorders>
              <w:top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rPr>
              <w:t>Private Equity</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Actual return (loss) on plan assets:</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Assets held at the reporting date</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220"/>
              <w:spacing w:after="0"/>
              <w:rPr>
                <w:sz w:val="20"/>
                <w:szCs w:val="20"/>
                <w:color w:val="auto"/>
              </w:rPr>
            </w:pPr>
            <w:r>
              <w:rPr>
                <w:rFonts w:ascii="Arial" w:cs="Arial" w:eastAsia="Arial" w:hAnsi="Arial"/>
                <w:sz w:val="18"/>
                <w:szCs w:val="18"/>
                <w:color w:val="auto"/>
              </w:rPr>
              <w:t>Assets sold during the period</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Purchases, sales and settlements, net</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0"/>
        </w:trPr>
        <w:tc>
          <w:tcPr>
            <w:tcW w:w="6220" w:type="dxa"/>
            <w:vAlign w:val="bottom"/>
            <w:gridSpan w:val="2"/>
          </w:tcPr>
          <w:p>
            <w:pPr>
              <w:spacing w:after="0"/>
              <w:rPr>
                <w:sz w:val="20"/>
                <w:szCs w:val="20"/>
                <w:color w:val="auto"/>
              </w:rPr>
            </w:pPr>
            <w:r>
              <w:rPr>
                <w:rFonts w:ascii="Arial" w:cs="Arial" w:eastAsia="Arial" w:hAnsi="Arial"/>
                <w:sz w:val="18"/>
                <w:szCs w:val="18"/>
                <w:color w:val="auto"/>
              </w:rPr>
              <w:t>Balance at December 31, 2017</w:t>
            </w: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Actual return (loss) on plan assets:</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220"/>
              <w:spacing w:after="0"/>
              <w:rPr>
                <w:sz w:val="20"/>
                <w:szCs w:val="20"/>
                <w:color w:val="auto"/>
              </w:rPr>
            </w:pPr>
            <w:r>
              <w:rPr>
                <w:rFonts w:ascii="Arial" w:cs="Arial" w:eastAsia="Arial" w:hAnsi="Arial"/>
                <w:sz w:val="18"/>
                <w:szCs w:val="18"/>
                <w:color w:val="auto"/>
              </w:rPr>
              <w:t>Assets held at the reporting date</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Assets sold during the period</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220"/>
              <w:spacing w:after="0"/>
              <w:rPr>
                <w:sz w:val="20"/>
                <w:szCs w:val="20"/>
                <w:color w:val="auto"/>
              </w:rPr>
            </w:pPr>
            <w:r>
              <w:rPr>
                <w:rFonts w:ascii="Arial" w:cs="Arial" w:eastAsia="Arial" w:hAnsi="Arial"/>
                <w:sz w:val="18"/>
                <w:szCs w:val="18"/>
                <w:color w:val="auto"/>
              </w:rPr>
              <w:t>Purchases, sales and settlements, net</w:t>
            </w:r>
          </w:p>
        </w:tc>
        <w:tc>
          <w:tcPr>
            <w:tcW w:w="2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7"/>
        </w:trPr>
        <w:tc>
          <w:tcPr>
            <w:tcW w:w="6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Contributions to each of the qualified single-employer defined benefit pension plans are determined annually by the Company’s pension administrative committee, based upon the actuarially determined minimum required contribution under the Employee Retirement Income Security Act of 1974 (“ERISA”), as amended, the Pension Protection Act of 2006, and the maximum deductible contribution allowed for tax purposes. In 2017 and 2016, the Company contributed $3.0 million and $7.5 million, respectively, in pension contributions in these plans. There was no pension contribution to these plans in 2018. The Company’s funding policy is to contribute cash to its pension plans so that it meets at least the minimum contribution requirements.</w:t>
      </w:r>
    </w:p>
    <w:p>
      <w:pPr>
        <w:spacing w:after="0" w:line="18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benefit formulas for employees who are members of collective bargaining units are determined according to the collective bargaining agreements, either using final average pay as the base or a flat dollar amount per year of service.</w:t>
      </w:r>
    </w:p>
    <w:p>
      <w:pPr>
        <w:spacing w:after="0" w:line="12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Effective December 31, 2011, the Company froze benefit accruals under the final average pay formula for salaried, non-bargaining unit employees hired before January 1, 2008 and transitioned them to the same cash balance formula for employees hired on or after January 1, 2008. Retirement benefits under the cash balance formula are based on a fixed percentage of employee eligible compensation, plus interest. The plan interest credit rate will vary from year to year based on the ten-year U.S. Treasury rate.</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Benefit Plan Assets and Obligations: </w:t>
      </w:r>
      <w:r>
        <w:rPr>
          <w:rFonts w:ascii="Arial" w:cs="Arial" w:eastAsia="Arial" w:hAnsi="Arial"/>
          <w:sz w:val="18"/>
          <w:szCs w:val="18"/>
          <w:color w:val="auto"/>
        </w:rPr>
        <w:t>The measurement date for the Company’s benefit plan disclosures is December 31 of</w:t>
      </w:r>
      <w:r>
        <w:rPr>
          <w:rFonts w:ascii="Arial" w:cs="Arial" w:eastAsia="Arial" w:hAnsi="Arial"/>
          <w:sz w:val="18"/>
          <w:szCs w:val="18"/>
          <w:i w:val="1"/>
          <w:iCs w:val="1"/>
          <w:color w:val="auto"/>
        </w:rPr>
        <w:t xml:space="preserve"> </w:t>
      </w:r>
      <w:r>
        <w:rPr>
          <w:rFonts w:ascii="Arial" w:cs="Arial" w:eastAsia="Arial" w:hAnsi="Arial"/>
          <w:sz w:val="18"/>
          <w:szCs w:val="18"/>
          <w:color w:val="auto"/>
        </w:rPr>
        <w:t>each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status of the funded qualified defined benefit pension plans and the unfunded post-retirement benefit plans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2017 are shown below:</w:t>
      </w:r>
    </w:p>
    <w:tbl>
      <w:tblPr>
        <w:tblLayout w:type="fixed"/>
        <w:tblInd w:w="0" w:type="dxa"/>
        <w:tblCellMar>
          <w:top w:w="0" w:type="dxa"/>
          <w:left w:w="0" w:type="dxa"/>
          <w:bottom w:w="0" w:type="dxa"/>
          <w:right w:w="0" w:type="dxa"/>
        </w:tblCellMar>
      </w:tblPr>
      <w:tr>
        <w:trPr>
          <w:trHeight w:val="148"/>
        </w:trPr>
        <w:tc>
          <w:tcPr>
            <w:tcW w:w="6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5"/>
            <w:vMerge w:val="restart"/>
          </w:tcPr>
          <w:p>
            <w:pPr>
              <w:jc w:val="right"/>
              <w:ind w:right="240"/>
              <w:spacing w:after="0"/>
              <w:rPr>
                <w:sz w:val="20"/>
                <w:szCs w:val="20"/>
                <w:color w:val="auto"/>
              </w:rPr>
            </w:pPr>
            <w:r>
              <w:rPr>
                <w:rFonts w:ascii="Arial" w:cs="Arial" w:eastAsia="Arial" w:hAnsi="Arial"/>
                <w:sz w:val="14"/>
                <w:szCs w:val="14"/>
                <w:b w:val="1"/>
                <w:bCs w:val="1"/>
                <w:color w:val="auto"/>
              </w:rPr>
              <w:t>Pension Benefits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171"/>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4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0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$232.1</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 cost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Arial" w:cs="Arial" w:eastAsia="Arial" w:hAnsi="Arial"/>
                <w:sz w:val="18"/>
                <w:szCs w:val="18"/>
                <w:color w:val="auto"/>
              </w:rPr>
              <w:t>Interest cost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Plan participants’ contributions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Arial" w:cs="Arial" w:eastAsia="Arial" w:hAnsi="Arial"/>
                <w:sz w:val="18"/>
                <w:szCs w:val="18"/>
                <w:color w:val="auto"/>
              </w:rPr>
              <w:t>Plan settlements</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Actuarial (gain) loss</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Arial" w:cs="Arial" w:eastAsia="Arial" w:hAnsi="Arial"/>
                <w:sz w:val="18"/>
                <w:szCs w:val="18"/>
                <w:color w:val="auto"/>
              </w:rPr>
              <w:t>Benefits paid, net of subsidies received</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(12.0)</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Expenses paid</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Benefit obligation at end of year</w:t>
            </w:r>
          </w:p>
        </w:tc>
        <w:tc>
          <w:tcPr>
            <w:tcW w:w="18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Change in Plan Assets:</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Arial" w:cs="Arial" w:eastAsia="Arial" w:hAnsi="Arial"/>
                <w:sz w:val="18"/>
                <w:szCs w:val="18"/>
                <w:color w:val="auto"/>
              </w:rPr>
              <w:t>Actual return on plan assets</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(10.9)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Plan participants’ contributions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Arial" w:cs="Arial" w:eastAsia="Arial" w:hAnsi="Arial"/>
                <w:sz w:val="18"/>
                <w:szCs w:val="18"/>
                <w:color w:val="auto"/>
              </w:rPr>
              <w:t>Plan settlements</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Employer contributions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Arial" w:cs="Arial" w:eastAsia="Arial" w:hAnsi="Arial"/>
                <w:sz w:val="18"/>
                <w:szCs w:val="18"/>
                <w:color w:val="auto"/>
              </w:rPr>
              <w:t>Benefits paid, net of subsidies received</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(12.0)</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Expenses paid</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of plan assets at end of year</w:t>
            </w:r>
          </w:p>
        </w:tc>
        <w:tc>
          <w:tcPr>
            <w:tcW w:w="18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Funded Status and Recognized Liability</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(55.2)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(45.4)</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(22.2)</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Qualified pension and post-retirement benefits plans liabilities recognized in the Consolidated Balance Sheets and expenses recognized in accumulated other comprehensive income (loss) at December 31, 2018 and 2017 were as follows:</w:t>
      </w: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88"/>
              </w:rPr>
              <w:t>Pension Benefits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6"/>
          </w:tcPr>
          <w:p>
            <w:pPr>
              <w:jc w:val="center"/>
              <w:ind w:right="200"/>
              <w:spacing w:after="0" w:line="140" w:lineRule="exact"/>
              <w:rPr>
                <w:sz w:val="20"/>
                <w:szCs w:val="20"/>
                <w:color w:val="auto"/>
              </w:rPr>
            </w:pPr>
            <w:r>
              <w:rPr>
                <w:rFonts w:ascii="Arial" w:cs="Arial" w:eastAsia="Arial" w:hAnsi="Arial"/>
                <w:sz w:val="14"/>
                <w:szCs w:val="14"/>
                <w:b w:val="1"/>
                <w:bCs w:val="1"/>
                <w:color w:val="auto"/>
                <w:w w:val="92"/>
              </w:rPr>
              <w:t>Post-retirement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171"/>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5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net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(55.2)</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(45.4)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loss, net of taxes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(61.8)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(46.9)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credit, net of taxes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(55.8)</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for qualified defined benefit pension plans with an accumulated benefit obligation in excess of plan assets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2017 is shown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210"/>
        </w:trPr>
        <w:tc>
          <w:tcPr>
            <w:tcW w:w="7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7"/>
              </w:rPr>
              <w:t>215.9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Accumulated benefit obligation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80"/>
              <w:spacing w:after="0"/>
              <w:rPr>
                <w:sz w:val="20"/>
                <w:szCs w:val="20"/>
                <w:color w:val="auto"/>
              </w:rPr>
            </w:pPr>
            <w:r>
              <w:rPr>
                <w:rFonts w:ascii="Arial" w:cs="Arial" w:eastAsia="Arial" w:hAnsi="Arial"/>
                <w:sz w:val="18"/>
                <w:szCs w:val="18"/>
                <w:color w:val="auto"/>
                <w:w w:val="97"/>
              </w:rPr>
              <w:t>215.6</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18"/>
                <w:szCs w:val="18"/>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159.9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estimated net loss and prior service credit for the qualified pension plans that will be amortized from accumulated other comprehensive income (loss) is a net periodic cost of $2.2 million, net of tax, in 2019. The estimated net loss and prior service credit for the post-retirement benefit plans that will be amortized from accumulated other comprehensive income (loss) is a net periodic benefit of $2.8 million, net of tax, in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80"/>
        <w:spacing w:after="0" w:line="219" w:lineRule="exact"/>
        <w:rPr>
          <w:sz w:val="20"/>
          <w:szCs w:val="20"/>
          <w:color w:val="auto"/>
        </w:rPr>
      </w:pPr>
      <w:r>
        <w:rPr>
          <w:rFonts w:ascii="Arial" w:cs="Arial" w:eastAsia="Arial" w:hAnsi="Arial"/>
          <w:sz w:val="17"/>
          <w:szCs w:val="17"/>
          <w:color w:val="auto"/>
        </w:rPr>
        <w:t>Unrecognized gains and losses of the post-retirement benefit plans are amortized over five years. Although current health care costs are expected to increase, the Company attempts to mitigate these increases by maintaining caps on certain of its benefit plans, using lower cost health care plan options where possible, requiring that certain groups of employees pay a portion of their benefit costs, self</w:t>
      </w:r>
      <w:r>
        <w:rPr>
          <w:rFonts w:ascii="MS PGothic" w:cs="MS PGothic" w:eastAsia="MS PGothic" w:hAnsi="MS PGothic"/>
          <w:sz w:val="17"/>
          <w:szCs w:val="17"/>
          <w:color w:val="auto"/>
        </w:rPr>
        <w:t>‑</w:t>
      </w:r>
      <w:r>
        <w:rPr>
          <w:rFonts w:ascii="Arial" w:cs="Arial" w:eastAsia="Arial" w:hAnsi="Arial"/>
          <w:sz w:val="17"/>
          <w:szCs w:val="17"/>
          <w:color w:val="auto"/>
        </w:rPr>
        <w:t>insuring for certain insurance plans, encouraging wellness programs for employees, and implementing measures to mitigate future benefit cost increases.</w:t>
      </w:r>
    </w:p>
    <w:p>
      <w:pPr>
        <w:spacing w:after="0" w:line="20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Components of the net periodic benefit cost and other amounts recognized in other comprehensive income (loss) for the qualified pension plans and the post-retirement benefit plans during 2018, 2017, and 2016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jc w:val="center"/>
              <w:ind w:left="314"/>
              <w:spacing w:after="0"/>
              <w:rPr>
                <w:sz w:val="20"/>
                <w:szCs w:val="20"/>
                <w:color w:val="auto"/>
              </w:rPr>
            </w:pPr>
            <w:r>
              <w:rPr>
                <w:rFonts w:ascii="Arial" w:cs="Arial" w:eastAsia="Arial" w:hAnsi="Arial"/>
                <w:sz w:val="14"/>
                <w:szCs w:val="14"/>
                <w:b w:val="1"/>
                <w:bCs w:val="1"/>
                <w:color w:val="auto"/>
                <w:w w:val="88"/>
              </w:rPr>
              <w:t>Pension Benefits</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7"/>
          </w:tcPr>
          <w:p>
            <w:pPr>
              <w:jc w:val="right"/>
              <w:ind w:right="331"/>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71"/>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ind w:left="274"/>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Components of Net Periodic Benefit Cost (Benefit):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Service cost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net loss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Amortization of prior service credit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Other Changes in Plan Assets and Benefit Obligations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5"/>
              </w:rPr>
              <w:t>Recognized in Other Comprehensive Income, net of tax:</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Net loss (gain)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New prior service cost (credit)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Amortization of net loss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prior service credit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7"/>
              </w:rPr>
              <w:t>Total recognized in other comprehensive (income) loss</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Total recognized in net periodic benefit cost and other</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7.8</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300" w:type="dxa"/>
            <w:vAlign w:val="bottom"/>
            <w:gridSpan w:val="2"/>
            <w:vMerge w:val="continue"/>
            <w:shd w:val="clear" w:color="auto" w:fill="CCEEFF"/>
          </w:tcPr>
          <w:p>
            <w:pPr>
              <w:spacing w:after="0"/>
              <w:rPr>
                <w:sz w:val="18"/>
                <w:szCs w:val="18"/>
                <w:color w:val="auto"/>
              </w:rPr>
            </w:pPr>
          </w:p>
        </w:tc>
        <w:tc>
          <w:tcPr>
            <w:tcW w:w="58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50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assumptions used to determine benefit information during 2018, 2017, and 2016,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5"/>
          </w:tcPr>
          <w:p>
            <w:pPr>
              <w:jc w:val="center"/>
              <w:ind w:left="297"/>
              <w:spacing w:after="0"/>
              <w:rPr>
                <w:sz w:val="20"/>
                <w:szCs w:val="20"/>
                <w:color w:val="auto"/>
              </w:rPr>
            </w:pPr>
            <w:r>
              <w:rPr>
                <w:rFonts w:ascii="Arial" w:cs="Arial" w:eastAsia="Arial" w:hAnsi="Arial"/>
                <w:sz w:val="14"/>
                <w:szCs w:val="14"/>
                <w:b w:val="1"/>
                <w:bCs w:val="1"/>
                <w:color w:val="auto"/>
                <w:w w:val="88"/>
              </w:rPr>
              <w:t>Pension Benefits</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6"/>
          </w:tcPr>
          <w:p>
            <w:pPr>
              <w:jc w:val="center"/>
              <w:ind w:right="150"/>
              <w:spacing w:after="0"/>
              <w:rPr>
                <w:sz w:val="20"/>
                <w:szCs w:val="20"/>
                <w:color w:val="auto"/>
              </w:rPr>
            </w:pPr>
            <w:r>
              <w:rPr>
                <w:rFonts w:ascii="Arial" w:cs="Arial" w:eastAsia="Arial" w:hAnsi="Arial"/>
                <w:sz w:val="14"/>
                <w:szCs w:val="14"/>
                <w:b w:val="1"/>
                <w:bCs w:val="1"/>
                <w:color w:val="auto"/>
                <w:w w:val="92"/>
              </w:rPr>
              <w:t>Post-retirement Benefits</w:t>
            </w:r>
          </w:p>
        </w:tc>
      </w:tr>
      <w:tr>
        <w:trPr>
          <w:trHeight w:val="171"/>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96"/>
        </w:trPr>
        <w:tc>
          <w:tcPr>
            <w:tcW w:w="47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7"/>
                <w:szCs w:val="17"/>
                <w:color w:val="auto"/>
              </w:rPr>
            </w:pPr>
          </w:p>
        </w:tc>
      </w:tr>
      <w:tr>
        <w:trPr>
          <w:trHeight w:val="210"/>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Discount rate (1)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4.40</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4"/>
              </w:rPr>
              <w:t>%</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3.80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4.40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940" w:type="dxa"/>
            <w:vAlign w:val="bottom"/>
            <w:gridSpan w:val="2"/>
          </w:tcPr>
          <w:p>
            <w:pPr>
              <w:ind w:left="120"/>
              <w:spacing w:after="0"/>
              <w:rPr>
                <w:sz w:val="20"/>
                <w:szCs w:val="20"/>
                <w:color w:val="auto"/>
              </w:rPr>
            </w:pPr>
            <w:r>
              <w:rPr>
                <w:rFonts w:ascii="Arial" w:cs="Arial" w:eastAsia="Arial" w:hAnsi="Arial"/>
                <w:sz w:val="18"/>
                <w:szCs w:val="18"/>
                <w:color w:val="auto"/>
              </w:rPr>
              <w:t>Expected return on plan assets</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7.50 %</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7.75 %</w:t>
            </w:r>
          </w:p>
        </w:tc>
        <w:tc>
          <w:tcPr>
            <w:tcW w:w="6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8.00 %</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Rate of compensation increase</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3.00 %</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3.00 %</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3.00 %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3.00 %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3.00 %</w:t>
            </w:r>
          </w:p>
        </w:tc>
      </w:tr>
      <w:tr>
        <w:trPr>
          <w:trHeight w:val="216"/>
        </w:trPr>
        <w:tc>
          <w:tcPr>
            <w:tcW w:w="4940" w:type="dxa"/>
            <w:vAlign w:val="bottom"/>
            <w:gridSpan w:val="2"/>
          </w:tcPr>
          <w:p>
            <w:pPr>
              <w:ind w:left="120"/>
              <w:spacing w:after="0"/>
              <w:rPr>
                <w:sz w:val="20"/>
                <w:szCs w:val="20"/>
                <w:color w:val="auto"/>
              </w:rPr>
            </w:pPr>
            <w:r>
              <w:rPr>
                <w:rFonts w:ascii="Arial" w:cs="Arial" w:eastAsia="Arial" w:hAnsi="Arial"/>
                <w:sz w:val="18"/>
                <w:szCs w:val="18"/>
                <w:color w:val="auto"/>
              </w:rPr>
              <w:t>Initial health care cost trend rate: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Pre-65 group</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6.00 %  6.30 %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6.60 %</w:t>
            </w:r>
          </w:p>
        </w:tc>
      </w:tr>
      <w:tr>
        <w:trPr>
          <w:trHeight w:val="216"/>
        </w:trPr>
        <w:tc>
          <w:tcPr>
            <w:tcW w:w="4940" w:type="dxa"/>
            <w:vAlign w:val="bottom"/>
            <w:gridSpan w:val="2"/>
          </w:tcPr>
          <w:p>
            <w:pPr>
              <w:ind w:left="320"/>
              <w:spacing w:after="0"/>
              <w:rPr>
                <w:sz w:val="20"/>
                <w:szCs w:val="20"/>
                <w:color w:val="auto"/>
              </w:rPr>
            </w:pPr>
            <w:r>
              <w:rPr>
                <w:rFonts w:ascii="Arial" w:cs="Arial" w:eastAsia="Arial" w:hAnsi="Arial"/>
                <w:sz w:val="18"/>
                <w:szCs w:val="18"/>
                <w:color w:val="auto"/>
              </w:rPr>
              <w:t>Post-65 group</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4"/>
          </w:tcPr>
          <w:p>
            <w:pPr>
              <w:jc w:val="right"/>
              <w:ind w:right="10"/>
              <w:spacing w:after="0"/>
              <w:rPr>
                <w:sz w:val="20"/>
                <w:szCs w:val="20"/>
                <w:color w:val="auto"/>
              </w:rPr>
            </w:pPr>
            <w:r>
              <w:rPr>
                <w:rFonts w:ascii="Arial" w:cs="Arial" w:eastAsia="Arial" w:hAnsi="Arial"/>
                <w:sz w:val="18"/>
                <w:szCs w:val="18"/>
                <w:color w:val="auto"/>
              </w:rPr>
              <w:t>6.30 %  6.80 %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7.20 %</w:t>
            </w:r>
          </w:p>
        </w:tc>
      </w:tr>
      <w:tr>
        <w:trPr>
          <w:trHeight w:val="216"/>
        </w:trPr>
        <w:tc>
          <w:tcPr>
            <w:tcW w:w="4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Ultimate health care cost trend rate</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4.40 %</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4.40 %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4.40 %</w:t>
            </w:r>
          </w:p>
        </w:tc>
      </w:tr>
      <w:tr>
        <w:trPr>
          <w:trHeight w:val="216"/>
        </w:trPr>
        <w:tc>
          <w:tcPr>
            <w:tcW w:w="4940" w:type="dxa"/>
            <w:vAlign w:val="bottom"/>
            <w:gridSpan w:val="2"/>
          </w:tcPr>
          <w:p>
            <w:pPr>
              <w:ind w:left="120"/>
              <w:spacing w:after="0"/>
              <w:rPr>
                <w:sz w:val="20"/>
                <w:szCs w:val="20"/>
                <w:color w:val="auto"/>
              </w:rPr>
            </w:pPr>
            <w:r>
              <w:rPr>
                <w:rFonts w:ascii="Arial" w:cs="Arial" w:eastAsia="Arial" w:hAnsi="Arial"/>
                <w:sz w:val="18"/>
                <w:szCs w:val="18"/>
                <w:color w:val="auto"/>
              </w:rPr>
              <w:t>Year ultimate health care cost trend rate is reached:</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Pre-65 group</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2037</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2037</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2037</w:t>
            </w:r>
          </w:p>
        </w:tc>
        <w:tc>
          <w:tcPr>
            <w:tcW w:w="240" w:type="dxa"/>
            <w:vAlign w:val="bottom"/>
            <w:shd w:val="clear" w:color="auto" w:fill="CCEEFF"/>
          </w:tcPr>
          <w:p>
            <w:pPr>
              <w:spacing w:after="0"/>
              <w:rPr>
                <w:sz w:val="18"/>
                <w:szCs w:val="18"/>
                <w:color w:val="auto"/>
              </w:rPr>
            </w:pPr>
          </w:p>
        </w:tc>
      </w:tr>
      <w:tr>
        <w:trPr>
          <w:trHeight w:val="230"/>
        </w:trPr>
        <w:tc>
          <w:tcPr>
            <w:tcW w:w="4940" w:type="dxa"/>
            <w:vAlign w:val="bottom"/>
            <w:gridSpan w:val="2"/>
          </w:tcPr>
          <w:p>
            <w:pPr>
              <w:ind w:left="320"/>
              <w:spacing w:after="0"/>
              <w:rPr>
                <w:sz w:val="20"/>
                <w:szCs w:val="20"/>
                <w:color w:val="auto"/>
              </w:rPr>
            </w:pPr>
            <w:r>
              <w:rPr>
                <w:rFonts w:ascii="Arial" w:cs="Arial" w:eastAsia="Arial" w:hAnsi="Arial"/>
                <w:sz w:val="18"/>
                <w:szCs w:val="18"/>
                <w:color w:val="auto"/>
              </w:rPr>
              <w:t>Post-65 group</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4"/>
              </w:rPr>
              <w:t>2036</w:t>
            </w: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4"/>
              </w:rPr>
              <w:t>2036</w:t>
            </w:r>
          </w:p>
        </w:tc>
        <w:tc>
          <w:tcPr>
            <w:tcW w:w="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9"/>
              </w:rPr>
              <w:t>2036</w:t>
            </w:r>
          </w:p>
        </w:tc>
        <w:tc>
          <w:tcPr>
            <w:tcW w:w="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7" w:lineRule="exact"/>
        <w:rPr>
          <w:sz w:val="20"/>
          <w:szCs w:val="20"/>
          <w:color w:val="auto"/>
        </w:rPr>
      </w:pPr>
    </w:p>
    <w:p>
      <w:pPr>
        <w:ind w:left="320" w:right="540" w:hanging="317"/>
        <w:spacing w:after="0" w:line="253" w:lineRule="auto"/>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Company derives a single equivalent rate utilizing a yield curve constructed from a portfolio of high-quality corporate bonds with various maturities.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If the assumed health care cost trend rate were increased or decreased one percentage point, the accumulated post-retirement benefit obligation, as of December 31, 2018, 2017, and 2016 and the net periodic post-retirement benefit cost for 2018, 2017 and 2016, would have increased or decreased as follows:</w:t>
      </w:r>
    </w:p>
    <w:tbl>
      <w:tblPr>
        <w:tblLayout w:type="fixed"/>
        <w:tblInd w:w="0" w:type="dxa"/>
        <w:tblCellMar>
          <w:top w:w="0" w:type="dxa"/>
          <w:left w:w="0" w:type="dxa"/>
          <w:bottom w:w="0" w:type="dxa"/>
          <w:right w:w="0" w:type="dxa"/>
        </w:tblCellMar>
      </w:tblPr>
      <w:tr>
        <w:trPr>
          <w:trHeight w:val="140"/>
        </w:trPr>
        <w:tc>
          <w:tcPr>
            <w:tcW w:w="5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11"/>
          </w:tcPr>
          <w:p>
            <w:pPr>
              <w:jc w:val="center"/>
              <w:ind w:right="300"/>
              <w:spacing w:after="0" w:line="140" w:lineRule="exact"/>
              <w:rPr>
                <w:sz w:val="20"/>
                <w:szCs w:val="20"/>
                <w:color w:val="auto"/>
              </w:rPr>
            </w:pPr>
            <w:r>
              <w:rPr>
                <w:rFonts w:ascii="Arial" w:cs="Arial" w:eastAsia="Arial" w:hAnsi="Arial"/>
                <w:sz w:val="14"/>
                <w:szCs w:val="14"/>
                <w:b w:val="1"/>
                <w:bCs w:val="1"/>
                <w:color w:val="auto"/>
                <w:w w:val="91"/>
              </w:rPr>
              <w:t>Post-retirement Benefits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0"/>
              </w:rPr>
              <w:t>One Percentage Point</w:t>
            </w: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4"/>
          </w:tcPr>
          <w:p>
            <w:pPr>
              <w:ind w:left="160"/>
              <w:spacing w:after="0" w:line="142" w:lineRule="exact"/>
              <w:rPr>
                <w:sz w:val="20"/>
                <w:szCs w:val="20"/>
                <w:color w:val="auto"/>
              </w:rPr>
            </w:pPr>
            <w:r>
              <w:rPr>
                <w:rFonts w:ascii="Arial" w:cs="Arial" w:eastAsia="Arial" w:hAnsi="Arial"/>
                <w:sz w:val="14"/>
                <w:szCs w:val="14"/>
                <w:b w:val="1"/>
                <w:bCs w:val="1"/>
                <w:color w:val="auto"/>
                <w:w w:val="91"/>
              </w:rPr>
              <w:t>Increase</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Decrease</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 on total of service cost and interest cost components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(0.2)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(0.2)</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 (0.7)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11.5</w:t>
            </w: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96"/>
              </w:rPr>
              <w:t>$ (2.0)</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 (3.0)</w:t>
            </w:r>
          </w:p>
        </w:tc>
        <w:tc>
          <w:tcPr>
            <w:tcW w:w="5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 (8.3)</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i w:val="1"/>
          <w:iCs w:val="1"/>
          <w:color w:val="auto"/>
        </w:rPr>
        <w:t xml:space="preserve">Non-qualified Pension Plans: </w:t>
      </w:r>
      <w:r>
        <w:rPr>
          <w:rFonts w:ascii="Arial" w:cs="Arial" w:eastAsia="Arial" w:hAnsi="Arial"/>
          <w:sz w:val="16"/>
          <w:szCs w:val="16"/>
          <w:color w:val="auto"/>
        </w:rPr>
        <w:t>The Company has non-qualified supplemental pension plans covering certain employees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retirees, which provide for incremental pension payments from the Company’s general funds so that total pension benefits would be substantially equal to amounts that would have been payable from the Company’s qualified pension plans if it were not for limitations imposed by income tax law. A few employees and retirees receive additional supplemental pension benefits. Non-qualified pension plan liabilities recognized in the Consolidated Balance Sheets and expenses recognized in accumulated other comprehensive income (loss) at December 31, 2018 and 2017 are as follows:</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5"/>
          </w:tcPr>
          <w:p>
            <w:pPr>
              <w:jc w:val="center"/>
              <w:ind w:right="340"/>
              <w:spacing w:after="0" w:line="144" w:lineRule="exact"/>
              <w:rPr>
                <w:sz w:val="20"/>
                <w:szCs w:val="20"/>
                <w:color w:val="auto"/>
              </w:rPr>
            </w:pPr>
            <w:r>
              <w:rPr>
                <w:rFonts w:ascii="Arial" w:cs="Arial" w:eastAsia="Arial" w:hAnsi="Arial"/>
                <w:sz w:val="14"/>
                <w:szCs w:val="14"/>
                <w:b w:val="1"/>
                <w:bCs w:val="1"/>
                <w:color w:val="auto"/>
                <w:w w:val="96"/>
              </w:rPr>
              <w:t>Non-qualified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Pension Benefits</w:t>
            </w:r>
          </w:p>
        </w:tc>
        <w:tc>
          <w:tcPr>
            <w:tcW w:w="0" w:type="dxa"/>
            <w:vAlign w:val="bottom"/>
          </w:tcPr>
          <w:p>
            <w:pPr>
              <w:spacing w:after="0"/>
              <w:rPr>
                <w:sz w:val="1"/>
                <w:szCs w:val="1"/>
                <w:color w:val="auto"/>
              </w:rPr>
            </w:pPr>
          </w:p>
        </w:tc>
      </w:tr>
      <w:tr>
        <w:trPr>
          <w:trHeight w:val="171"/>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liabilities, net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loss, net of taxes</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Prior service credit, net of taxes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Discount rates of 4.0 percent and 3.2 percent were used in determining the 2018 and 2017 non-qualified pension plan obligations, respectively. The estimated net loss and prior service credit for the non-qualified pension plans that will be amortized from accumulated other comprehensive income (loss) in 2019 is nominal.</w:t>
      </w:r>
    </w:p>
    <w:p>
      <w:pPr>
        <w:spacing w:after="0" w:line="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Estimated Benefit Payments: </w:t>
      </w:r>
      <w:r>
        <w:rPr>
          <w:rFonts w:ascii="Arial" w:cs="Arial" w:eastAsia="Arial" w:hAnsi="Arial"/>
          <w:sz w:val="18"/>
          <w:szCs w:val="18"/>
          <w:color w:val="auto"/>
        </w:rPr>
        <w:t>The estimated future benefit payments for the next ten years as of December 31, 2018 were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Non-qualified</w:t>
            </w:r>
          </w:p>
        </w:tc>
        <w:tc>
          <w:tcPr>
            <w:tcW w:w="80" w:type="dxa"/>
            <w:vAlign w:val="bottom"/>
          </w:tcPr>
          <w:p>
            <w:pPr>
              <w:spacing w:after="0"/>
              <w:rPr>
                <w:sz w:val="16"/>
                <w:szCs w:val="16"/>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Post-</w:t>
            </w:r>
          </w:p>
        </w:tc>
        <w:tc>
          <w:tcPr>
            <w:tcW w:w="0" w:type="dxa"/>
            <w:vAlign w:val="bottom"/>
          </w:tcPr>
          <w:p>
            <w:pPr>
              <w:spacing w:after="0"/>
              <w:rPr>
                <w:sz w:val="1"/>
                <w:szCs w:val="1"/>
                <w:color w:val="auto"/>
              </w:rPr>
            </w:pPr>
          </w:p>
        </w:tc>
      </w:tr>
      <w:tr>
        <w:trPr>
          <w:trHeight w:val="111"/>
        </w:trPr>
        <w:tc>
          <w:tcPr>
            <w:tcW w:w="228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Pension</w:t>
            </w:r>
          </w:p>
        </w:tc>
        <w:tc>
          <w:tcPr>
            <w:tcW w:w="140" w:type="dxa"/>
            <w:vAlign w:val="bottom"/>
          </w:tcPr>
          <w:p>
            <w:pPr>
              <w:spacing w:after="0"/>
              <w:rPr>
                <w:sz w:val="9"/>
                <w:szCs w:val="9"/>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Pension</w:t>
            </w: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(in millions)</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retirement</w:t>
            </w:r>
          </w:p>
        </w:tc>
        <w:tc>
          <w:tcPr>
            <w:tcW w:w="0" w:type="dxa"/>
            <w:vAlign w:val="bottom"/>
          </w:tcPr>
          <w:p>
            <w:pPr>
              <w:spacing w:after="0"/>
              <w:rPr>
                <w:sz w:val="1"/>
                <w:szCs w:val="1"/>
                <w:color w:val="auto"/>
              </w:rPr>
            </w:pPr>
          </w:p>
        </w:tc>
      </w:tr>
      <w:tr>
        <w:trPr>
          <w:trHeight w:val="171"/>
        </w:trPr>
        <w:tc>
          <w:tcPr>
            <w:tcW w:w="57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Benefits</w:t>
            </w: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Benefits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Benefits (1)</w:t>
            </w:r>
          </w:p>
        </w:tc>
        <w:tc>
          <w:tcPr>
            <w:tcW w:w="0" w:type="dxa"/>
            <w:vAlign w:val="bottom"/>
          </w:tcPr>
          <w:p>
            <w:pPr>
              <w:spacing w:after="0"/>
              <w:rPr>
                <w:sz w:val="1"/>
                <w:szCs w:val="1"/>
                <w:color w:val="auto"/>
              </w:rPr>
            </w:pPr>
          </w:p>
        </w:tc>
      </w:tr>
      <w:tr>
        <w:trPr>
          <w:trHeight w:val="210"/>
        </w:trPr>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3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2020</w:t>
            </w: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2022</w:t>
            </w: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2024-2028</w:t>
            </w:r>
          </w:p>
        </w:tc>
        <w:tc>
          <w:tcPr>
            <w:tcW w:w="32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7"/>
        <w:spacing w:after="0"/>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Net of plan participants’ contributions and Medicare Part D subsidies.</w:t>
      </w:r>
    </w:p>
    <w:p>
      <w:pPr>
        <w:spacing w:after="0" w:line="141"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i w:val="1"/>
          <w:iCs w:val="1"/>
          <w:color w:val="auto"/>
        </w:rPr>
        <w:t xml:space="preserve">Defined Contribution Plans: </w:t>
      </w:r>
      <w:r>
        <w:rPr>
          <w:rFonts w:ascii="Arial" w:cs="Arial" w:eastAsia="Arial" w:hAnsi="Arial"/>
          <w:sz w:val="16"/>
          <w:szCs w:val="16"/>
          <w:color w:val="auto"/>
        </w:rPr>
        <w:t>The Company sponsors defined contribution plans that qualify under Sections 401(a) and</w:t>
      </w:r>
      <w:r>
        <w:rPr>
          <w:rFonts w:ascii="Arial" w:cs="Arial" w:eastAsia="Arial" w:hAnsi="Arial"/>
          <w:sz w:val="16"/>
          <w:szCs w:val="16"/>
          <w:i w:val="1"/>
          <w:iCs w:val="1"/>
          <w:color w:val="auto"/>
        </w:rPr>
        <w:t xml:space="preserve"> </w:t>
      </w:r>
      <w:r>
        <w:rPr>
          <w:rFonts w:ascii="Arial" w:cs="Arial" w:eastAsia="Arial" w:hAnsi="Arial"/>
          <w:sz w:val="16"/>
          <w:szCs w:val="16"/>
          <w:color w:val="auto"/>
        </w:rPr>
        <w:t>401(k) of the Internal Revenue Code. The Company may make discretionary matching contributions equal to a specified percentage of each participant’s 401(k) contributions. For the year ended December 31, 2018, the Company provided matching contributions of up to 3 percent of eligible employee compensation. The Company’s matching contributions expensed in 2018, 2017 and 2016 was $2.4 million, $2.4 million and $2.1 million, respectively.</w:t>
      </w:r>
    </w:p>
    <w:p>
      <w:pPr>
        <w:spacing w:after="0" w:line="15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may also provide a discretionary profit sharing contribution under the qualified defined contribution plans, to salaried, non-bargaining unit employees, if both a minimum threshold of Company performance is achieved and the Board has approved the profit sharing contribution. For certain eligible employees, supplemental profit sharing contributions are credited under a non-qualified plan to be paid after separation from service from the Company’s general funds so that total profit sharing contributions would be substantially equal to amounts that would have been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contributed to the Company’s qualified defined contribution plans if it were not for limitations imposed by income tax law. Discretionary profit sharing contributions expensed in 2018 and 2017 were $1.4 million and $2.3 million, respectively. There were no discretionary profit sharing contributions expensed in 2016.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Bargaining Plans:</w:t>
      </w:r>
    </w:p>
    <w:p>
      <w:pPr>
        <w:spacing w:after="0" w:line="21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contributes to multi-employer defined benefit pension plans under the terms of collective-bargaining agreements that cover its bargaining unit employees. Contributions are generally based on amounts paid for union labor or cargo volume. The risks of participating in multi-employer plans are different from single-employer plans because assets contributed to the multi-employer plan by one employer may be used to provide benefits to employees of other participating employers. Additionally, if one employer stops contributing to the plan, the unfunded obligations of the plan may be borne by the remaining participating employers.</w:t>
      </w:r>
    </w:p>
    <w:p>
      <w:pPr>
        <w:spacing w:after="0" w:line="18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multi-employer pension plans are subject to the plan termination insurance provisions of ERISA and are paying premiums to the Pension Benefit Guaranty Corporation (“PBGC”). The statutes provide that an employer who withdraws from, or significantly reduces its contribution obligation to, a multi-employer plan generally will be required to continue funding its proportional share of the plan’s unfunded vested benefits. As of December 31, 2018, the Company’s estimated benefit plan withdrawal obligations were $244.2 million. Except as described in Note 12, no withdrawal obligations have been recorded by the Company in the Consolidated Balance Sheets at December 31, 2018 and 2017, as the Company has no present intention of withdrawing from and does not anticipate termination of any of these plans.</w:t>
      </w:r>
    </w:p>
    <w:p>
      <w:pPr>
        <w:spacing w:after="0" w:line="15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Information regarding the Company’s participation in multi-employer pension plans is outlined in the table below. The “EIN/Pension Plan Number” column provides the Employer Identification Number (“EIN”) and the three-digit plan number, if applicable. Unless otherwise noted, the most recent Pension Protection Act zone status available in 2018 and 2017 is for the plan’s year-end at December 31, 2018 and 2017, respectively. The zone status is based on information that the Company received from the plan and is certified by the plan’s actuary. Among other factors, plans in the red zone are generally less than 65 percent funded, plans in the yellow zone are less than 80 percent funded, and plans in the green zone are at least 80 percent funded. The funding improvement plan (“FIP”) or rehabilitation plan (“RP”) column indicates the status which is either pending or has been implemented. The last column lists the expiration dates of the collective-bargaining agreements to which the plans are subject.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4"/>
              </w:rPr>
              <w:t>Pension</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Protection Act</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Zone as of</w:t>
            </w: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FIP/RP Status</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7"/>
          </w:tcPr>
          <w:p>
            <w:pPr>
              <w:jc w:val="center"/>
              <w:ind w:right="18"/>
              <w:spacing w:after="0" w:line="122" w:lineRule="exact"/>
              <w:rPr>
                <w:sz w:val="20"/>
                <w:szCs w:val="20"/>
                <w:color w:val="auto"/>
              </w:rPr>
            </w:pPr>
            <w:r>
              <w:rPr>
                <w:rFonts w:ascii="Arial" w:cs="Arial" w:eastAsia="Arial" w:hAnsi="Arial"/>
                <w:sz w:val="11"/>
                <w:szCs w:val="11"/>
                <w:b w:val="1"/>
                <w:bCs w:val="1"/>
                <w:color w:val="auto"/>
                <w:w w:val="89"/>
              </w:rPr>
              <w:t>Contributions of Matson</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EIN/Pension</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w w:val="89"/>
              </w:rPr>
              <w:t>December 31,</w:t>
            </w:r>
          </w:p>
        </w:tc>
        <w:tc>
          <w:tcPr>
            <w:tcW w:w="8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Pending/</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4"/>
          </w:tcPr>
          <w:p>
            <w:pPr>
              <w:jc w:val="center"/>
              <w:spacing w:after="0"/>
              <w:rPr>
                <w:sz w:val="20"/>
                <w:szCs w:val="20"/>
                <w:color w:val="auto"/>
              </w:rPr>
            </w:pPr>
            <w:r>
              <w:rPr>
                <w:rFonts w:ascii="Arial" w:cs="Arial" w:eastAsia="Arial" w:hAnsi="Arial"/>
                <w:sz w:val="11"/>
                <w:szCs w:val="11"/>
                <w:b w:val="1"/>
                <w:bCs w:val="1"/>
                <w:color w:val="auto"/>
                <w:w w:val="90"/>
              </w:rPr>
              <w:t>(in millions)</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Surcharge</w:t>
            </w:r>
          </w:p>
        </w:tc>
        <w:tc>
          <w:tcPr>
            <w:tcW w:w="6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Expiration</w:t>
            </w:r>
          </w:p>
        </w:tc>
        <w:tc>
          <w:tcPr>
            <w:tcW w:w="0" w:type="dxa"/>
            <w:vAlign w:val="bottom"/>
          </w:tcPr>
          <w:p>
            <w:pPr>
              <w:spacing w:after="0"/>
              <w:rPr>
                <w:sz w:val="1"/>
                <w:szCs w:val="1"/>
                <w:color w:val="auto"/>
              </w:rPr>
            </w:pPr>
          </w:p>
        </w:tc>
      </w:tr>
      <w:tr>
        <w:trPr>
          <w:trHeight w:val="115"/>
        </w:trPr>
        <w:tc>
          <w:tcPr>
            <w:tcW w:w="2600" w:type="dxa"/>
            <w:vAlign w:val="bottom"/>
            <w:gridSpan w:val="3"/>
          </w:tcPr>
          <w:p>
            <w:pPr>
              <w:spacing w:after="0" w:line="115" w:lineRule="exact"/>
              <w:rPr>
                <w:sz w:val="20"/>
                <w:szCs w:val="20"/>
                <w:color w:val="auto"/>
              </w:rPr>
            </w:pPr>
            <w:r>
              <w:rPr>
                <w:rFonts w:ascii="Arial" w:cs="Arial" w:eastAsia="Arial" w:hAnsi="Arial"/>
                <w:sz w:val="11"/>
                <w:szCs w:val="11"/>
                <w:b w:val="1"/>
                <w:bCs w:val="1"/>
                <w:color w:val="auto"/>
              </w:rPr>
              <w:t>Pension Funds</w:t>
            </w:r>
          </w:p>
        </w:tc>
        <w:tc>
          <w:tcPr>
            <w:tcW w:w="820" w:type="dxa"/>
            <w:vAlign w:val="bottom"/>
            <w:gridSpan w:val="2"/>
          </w:tcPr>
          <w:p>
            <w:pPr>
              <w:jc w:val="center"/>
              <w:ind w:right="140"/>
              <w:spacing w:after="0" w:line="115" w:lineRule="exact"/>
              <w:rPr>
                <w:sz w:val="20"/>
                <w:szCs w:val="20"/>
                <w:color w:val="auto"/>
              </w:rPr>
            </w:pPr>
            <w:r>
              <w:rPr>
                <w:rFonts w:ascii="Arial" w:cs="Arial" w:eastAsia="Arial" w:hAnsi="Arial"/>
                <w:sz w:val="11"/>
                <w:szCs w:val="11"/>
                <w:b w:val="1"/>
                <w:bCs w:val="1"/>
                <w:color w:val="auto"/>
                <w:w w:val="94"/>
              </w:rPr>
              <w:t>Plan Number</w:t>
            </w:r>
          </w:p>
        </w:tc>
        <w:tc>
          <w:tcPr>
            <w:tcW w:w="400" w:type="dxa"/>
            <w:vAlign w:val="bottom"/>
            <w:gridSpan w:val="2"/>
          </w:tcPr>
          <w:p>
            <w:pPr>
              <w:jc w:val="center"/>
              <w:ind w:right="140"/>
              <w:spacing w:after="0" w:line="115" w:lineRule="exact"/>
              <w:rPr>
                <w:sz w:val="20"/>
                <w:szCs w:val="20"/>
                <w:color w:val="auto"/>
              </w:rPr>
            </w:pPr>
            <w:r>
              <w:rPr>
                <w:rFonts w:ascii="Arial" w:cs="Arial" w:eastAsia="Arial" w:hAnsi="Arial"/>
                <w:sz w:val="11"/>
                <w:szCs w:val="11"/>
                <w:b w:val="1"/>
                <w:bCs w:val="1"/>
                <w:color w:val="auto"/>
                <w:w w:val="84"/>
              </w:rPr>
              <w:t>Notes</w:t>
            </w:r>
          </w:p>
        </w:tc>
        <w:tc>
          <w:tcPr>
            <w:tcW w:w="3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2018</w:t>
            </w:r>
          </w:p>
        </w:tc>
        <w:tc>
          <w:tcPr>
            <w:tcW w:w="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2017</w:t>
            </w:r>
          </w:p>
        </w:tc>
        <w:tc>
          <w:tcPr>
            <w:tcW w:w="140" w:type="dxa"/>
            <w:vAlign w:val="bottom"/>
          </w:tcPr>
          <w:p>
            <w:pPr>
              <w:spacing w:after="0"/>
              <w:rPr>
                <w:sz w:val="10"/>
                <w:szCs w:val="10"/>
                <w:color w:val="auto"/>
              </w:rPr>
            </w:pPr>
          </w:p>
        </w:tc>
        <w:tc>
          <w:tcPr>
            <w:tcW w:w="820" w:type="dxa"/>
            <w:vAlign w:val="bottom"/>
            <w:gridSpan w:val="2"/>
          </w:tcPr>
          <w:p>
            <w:pPr>
              <w:jc w:val="center"/>
              <w:ind w:right="140"/>
              <w:spacing w:after="0" w:line="115" w:lineRule="exact"/>
              <w:rPr>
                <w:sz w:val="20"/>
                <w:szCs w:val="20"/>
                <w:color w:val="auto"/>
              </w:rPr>
            </w:pPr>
            <w:r>
              <w:rPr>
                <w:rFonts w:ascii="Arial" w:cs="Arial" w:eastAsia="Arial" w:hAnsi="Arial"/>
                <w:sz w:val="11"/>
                <w:szCs w:val="11"/>
                <w:b w:val="1"/>
                <w:bCs w:val="1"/>
                <w:color w:val="auto"/>
                <w:w w:val="88"/>
              </w:rPr>
              <w:t>Implemented</w:t>
            </w:r>
          </w:p>
        </w:tc>
        <w:tc>
          <w:tcPr>
            <w:tcW w:w="700" w:type="dxa"/>
            <w:vAlign w:val="bottom"/>
            <w:gridSpan w:val="2"/>
          </w:tcPr>
          <w:p>
            <w:pPr>
              <w:jc w:val="center"/>
              <w:ind w:right="140"/>
              <w:spacing w:after="0" w:line="115" w:lineRule="exact"/>
              <w:rPr>
                <w:sz w:val="20"/>
                <w:szCs w:val="20"/>
                <w:color w:val="auto"/>
              </w:rPr>
            </w:pPr>
            <w:r>
              <w:rPr>
                <w:rFonts w:ascii="Arial" w:cs="Arial" w:eastAsia="Arial" w:hAnsi="Arial"/>
                <w:sz w:val="11"/>
                <w:szCs w:val="11"/>
                <w:b w:val="1"/>
                <w:bCs w:val="1"/>
                <w:color w:val="auto"/>
                <w:w w:val="92"/>
              </w:rPr>
              <w:t>Contributor</w:t>
            </w:r>
          </w:p>
        </w:tc>
        <w:tc>
          <w:tcPr>
            <w:tcW w:w="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1"/>
              </w:rPr>
              <w:t>2018</w:t>
            </w: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1"/>
              </w:rPr>
              <w:t>2017</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1"/>
              </w:rPr>
              <w:t>2016</w:t>
            </w:r>
          </w:p>
        </w:tc>
        <w:tc>
          <w:tcPr>
            <w:tcW w:w="140" w:type="dxa"/>
            <w:vAlign w:val="bottom"/>
          </w:tcPr>
          <w:p>
            <w:pPr>
              <w:spacing w:after="0"/>
              <w:rPr>
                <w:sz w:val="10"/>
                <w:szCs w:val="10"/>
                <w:color w:val="auto"/>
              </w:rPr>
            </w:pPr>
          </w:p>
        </w:tc>
        <w:tc>
          <w:tcPr>
            <w:tcW w:w="62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88"/>
              </w:rPr>
              <w:t>Imposed</w:t>
            </w:r>
          </w:p>
        </w:tc>
        <w:tc>
          <w:tcPr>
            <w:tcW w:w="640" w:type="dxa"/>
            <w:vAlign w:val="bottom"/>
            <w:gridSpan w:val="2"/>
          </w:tcPr>
          <w:p>
            <w:pPr>
              <w:jc w:val="center"/>
              <w:ind w:right="60"/>
              <w:spacing w:after="0" w:line="115" w:lineRule="exact"/>
              <w:rPr>
                <w:sz w:val="20"/>
                <w:szCs w:val="20"/>
                <w:color w:val="auto"/>
              </w:rPr>
            </w:pPr>
            <w:r>
              <w:rPr>
                <w:rFonts w:ascii="Arial" w:cs="Arial" w:eastAsia="Arial" w:hAnsi="Arial"/>
                <w:sz w:val="11"/>
                <w:szCs w:val="11"/>
                <w:b w:val="1"/>
                <w:bCs w:val="1"/>
                <w:color w:val="auto"/>
                <w:w w:val="94"/>
              </w:rPr>
              <w:t>Date (5)</w:t>
            </w:r>
          </w:p>
        </w:tc>
        <w:tc>
          <w:tcPr>
            <w:tcW w:w="0" w:type="dxa"/>
            <w:vAlign w:val="bottom"/>
          </w:tcPr>
          <w:p>
            <w:pPr>
              <w:spacing w:after="0"/>
              <w:rPr>
                <w:sz w:val="1"/>
                <w:szCs w:val="1"/>
                <w:color w:val="auto"/>
              </w:rPr>
            </w:pPr>
          </w:p>
        </w:tc>
      </w:tr>
      <w:tr>
        <w:trPr>
          <w:trHeight w:val="114"/>
        </w:trPr>
        <w:tc>
          <w:tcPr>
            <w:tcW w:w="22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6"/>
              </w:rPr>
              <w:t>13-6161999-</w:t>
            </w:r>
          </w:p>
        </w:tc>
        <w:tc>
          <w:tcPr>
            <w:tcW w:w="14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American Radio Association Pension Fund</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001</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2"/>
              </w:rPr>
              <w:t>Green</w:t>
            </w: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2"/>
              </w:rPr>
              <w:t>Green</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0"/>
              </w:rPr>
              <w:t>Implemented</w:t>
            </w: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Yes</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6"/>
              </w:rPr>
              <w:t>No</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8/15/2021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center"/>
              <w:spacing w:after="0" w:line="121" w:lineRule="exact"/>
              <w:rPr>
                <w:sz w:val="20"/>
                <w:szCs w:val="20"/>
                <w:color w:val="auto"/>
              </w:rPr>
            </w:pPr>
            <w:r>
              <w:rPr>
                <w:rFonts w:ascii="Arial" w:cs="Arial" w:eastAsia="Arial" w:hAnsi="Arial"/>
                <w:sz w:val="13"/>
                <w:szCs w:val="13"/>
                <w:color w:val="auto"/>
                <w:w w:val="86"/>
              </w:rPr>
              <w:t>20-0389370-</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gridSpan w:val="3"/>
          </w:tcPr>
          <w:p>
            <w:pPr>
              <w:spacing w:after="0"/>
              <w:rPr>
                <w:sz w:val="20"/>
                <w:szCs w:val="20"/>
                <w:color w:val="auto"/>
              </w:rPr>
            </w:pPr>
            <w:r>
              <w:rPr>
                <w:rFonts w:ascii="Arial" w:cs="Arial" w:eastAsia="Arial" w:hAnsi="Arial"/>
                <w:sz w:val="13"/>
                <w:szCs w:val="13"/>
                <w:color w:val="auto"/>
                <w:w w:val="97"/>
              </w:rPr>
              <w:t>Hawaii Terminals Multiemployer Pension Plan</w:t>
            </w: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001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Yellow</w:t>
            </w:r>
          </w:p>
        </w:tc>
        <w:tc>
          <w:tcPr>
            <w:tcW w:w="50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Yellow</w:t>
            </w:r>
          </w:p>
        </w:tc>
        <w:tc>
          <w:tcPr>
            <w:tcW w:w="82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Implemented</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Yes</w:t>
            </w:r>
          </w:p>
        </w:tc>
        <w:tc>
          <w:tcPr>
            <w:tcW w:w="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5.7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5.3</w:t>
            </w:r>
          </w:p>
        </w:tc>
        <w:tc>
          <w:tcPr>
            <w:tcW w:w="14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rPr>
                <w:sz w:val="20"/>
                <w:szCs w:val="20"/>
                <w:color w:val="auto"/>
              </w:rPr>
            </w:pPr>
            <w:r>
              <w:rPr>
                <w:rFonts w:ascii="Arial" w:cs="Arial" w:eastAsia="Arial" w:hAnsi="Arial"/>
                <w:sz w:val="13"/>
                <w:szCs w:val="13"/>
                <w:color w:val="auto"/>
                <w:w w:val="86"/>
              </w:rPr>
              <w:t>6/30/2019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6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7"/>
              </w:rPr>
              <w:t>Hawaii Stevedoring Multiemployer Retirement</w:t>
            </w:r>
          </w:p>
        </w:tc>
        <w:tc>
          <w:tcPr>
            <w:tcW w:w="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99-0314293-</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Plan</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001</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3"/>
              </w:rPr>
              <w:t>Yellow</w:t>
            </w:r>
          </w:p>
        </w:tc>
        <w:tc>
          <w:tcPr>
            <w:tcW w:w="5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3"/>
              </w:rPr>
              <w:t>Yellow</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0"/>
              </w:rPr>
              <w:t>Implemented</w:t>
            </w: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Yes</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6"/>
              </w:rPr>
              <w:t>No</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6/30/2019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center"/>
              <w:spacing w:after="0" w:line="121" w:lineRule="exact"/>
              <w:rPr>
                <w:sz w:val="20"/>
                <w:szCs w:val="20"/>
                <w:color w:val="auto"/>
              </w:rPr>
            </w:pPr>
            <w:r>
              <w:rPr>
                <w:rFonts w:ascii="Arial" w:cs="Arial" w:eastAsia="Arial" w:hAnsi="Arial"/>
                <w:sz w:val="13"/>
                <w:szCs w:val="13"/>
                <w:color w:val="auto"/>
                <w:w w:val="86"/>
              </w:rPr>
              <w:t>13-6372630-</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gridSpan w:val="3"/>
          </w:tcPr>
          <w:p>
            <w:pPr>
              <w:spacing w:after="0"/>
              <w:rPr>
                <w:sz w:val="20"/>
                <w:szCs w:val="20"/>
                <w:color w:val="auto"/>
              </w:rPr>
            </w:pPr>
            <w:r>
              <w:rPr>
                <w:rFonts w:ascii="Arial" w:cs="Arial" w:eastAsia="Arial" w:hAnsi="Arial"/>
                <w:sz w:val="13"/>
                <w:szCs w:val="13"/>
                <w:color w:val="auto"/>
              </w:rPr>
              <w:t>Master, Mates and Pilots Pension Plan</w:t>
            </w: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001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3"/>
                <w:szCs w:val="13"/>
                <w:color w:val="auto"/>
                <w:w w:val="82"/>
              </w:rPr>
              <w:t>Green</w:t>
            </w:r>
          </w:p>
        </w:tc>
        <w:tc>
          <w:tcPr>
            <w:tcW w:w="500" w:type="dxa"/>
            <w:vAlign w:val="bottom"/>
            <w:gridSpan w:val="2"/>
          </w:tcPr>
          <w:p>
            <w:pPr>
              <w:jc w:val="center"/>
              <w:ind w:right="120"/>
              <w:spacing w:after="0"/>
              <w:rPr>
                <w:sz w:val="20"/>
                <w:szCs w:val="20"/>
                <w:color w:val="auto"/>
              </w:rPr>
            </w:pPr>
            <w:r>
              <w:rPr>
                <w:rFonts w:ascii="Arial" w:cs="Arial" w:eastAsia="Arial" w:hAnsi="Arial"/>
                <w:sz w:val="13"/>
                <w:szCs w:val="13"/>
                <w:color w:val="auto"/>
                <w:w w:val="82"/>
              </w:rPr>
              <w:t>Green</w:t>
            </w:r>
          </w:p>
        </w:tc>
        <w:tc>
          <w:tcPr>
            <w:tcW w:w="8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No</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Yes</w:t>
            </w:r>
          </w:p>
        </w:tc>
        <w:tc>
          <w:tcPr>
            <w:tcW w:w="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3.1</w:t>
            </w:r>
          </w:p>
        </w:tc>
        <w:tc>
          <w:tcPr>
            <w:tcW w:w="14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rPr>
                <w:sz w:val="20"/>
                <w:szCs w:val="20"/>
                <w:color w:val="auto"/>
              </w:rPr>
            </w:pPr>
            <w:r>
              <w:rPr>
                <w:rFonts w:ascii="Arial" w:cs="Arial" w:eastAsia="Arial" w:hAnsi="Arial"/>
                <w:sz w:val="13"/>
                <w:szCs w:val="13"/>
                <w:color w:val="auto"/>
                <w:w w:val="87"/>
              </w:rPr>
              <w:t>6/15/2027,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6/15/2028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600" w:type="dxa"/>
            <w:vAlign w:val="bottom"/>
            <w:gridSpan w:val="3"/>
          </w:tcPr>
          <w:p>
            <w:pPr>
              <w:spacing w:after="0" w:line="121" w:lineRule="exact"/>
              <w:rPr>
                <w:sz w:val="20"/>
                <w:szCs w:val="20"/>
                <w:color w:val="auto"/>
              </w:rPr>
            </w:pPr>
            <w:r>
              <w:rPr>
                <w:rFonts w:ascii="Arial" w:cs="Arial" w:eastAsia="Arial" w:hAnsi="Arial"/>
                <w:sz w:val="13"/>
                <w:szCs w:val="13"/>
                <w:color w:val="auto"/>
                <w:w w:val="97"/>
              </w:rPr>
              <w:t>Masters, Mates and Pilots Adjustable Pension</w:t>
            </w:r>
          </w:p>
        </w:tc>
        <w:tc>
          <w:tcPr>
            <w:tcW w:w="680" w:type="dxa"/>
            <w:vAlign w:val="bottom"/>
          </w:tcPr>
          <w:p>
            <w:pPr>
              <w:jc w:val="center"/>
              <w:spacing w:after="0" w:line="121" w:lineRule="exact"/>
              <w:rPr>
                <w:sz w:val="20"/>
                <w:szCs w:val="20"/>
                <w:color w:val="auto"/>
              </w:rPr>
            </w:pPr>
            <w:r>
              <w:rPr>
                <w:rFonts w:ascii="Arial" w:cs="Arial" w:eastAsia="Arial" w:hAnsi="Arial"/>
                <w:sz w:val="13"/>
                <w:szCs w:val="13"/>
                <w:color w:val="auto"/>
                <w:w w:val="86"/>
              </w:rPr>
              <w:t>37-1719247-</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gridSpan w:val="3"/>
          </w:tcPr>
          <w:p>
            <w:pPr>
              <w:spacing w:after="0"/>
              <w:rPr>
                <w:sz w:val="20"/>
                <w:szCs w:val="20"/>
                <w:color w:val="auto"/>
              </w:rPr>
            </w:pPr>
            <w:r>
              <w:rPr>
                <w:rFonts w:ascii="Arial" w:cs="Arial" w:eastAsia="Arial" w:hAnsi="Arial"/>
                <w:sz w:val="13"/>
                <w:szCs w:val="13"/>
                <w:color w:val="auto"/>
              </w:rPr>
              <w:t>Plan</w:t>
            </w: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001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ind w:right="39"/>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360" w:type="dxa"/>
            <w:vAlign w:val="bottom"/>
          </w:tcPr>
          <w:p>
            <w:pPr>
              <w:jc w:val="right"/>
              <w:ind w:right="38"/>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No</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Yes</w:t>
            </w:r>
          </w:p>
        </w:tc>
        <w:tc>
          <w:tcPr>
            <w:tcW w:w="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1.8</w:t>
            </w:r>
          </w:p>
        </w:tc>
        <w:tc>
          <w:tcPr>
            <w:tcW w:w="14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rPr>
                <w:sz w:val="20"/>
                <w:szCs w:val="20"/>
                <w:color w:val="auto"/>
              </w:rPr>
            </w:pPr>
            <w:r>
              <w:rPr>
                <w:rFonts w:ascii="Arial" w:cs="Arial" w:eastAsia="Arial" w:hAnsi="Arial"/>
                <w:sz w:val="13"/>
                <w:szCs w:val="13"/>
                <w:color w:val="auto"/>
                <w:w w:val="87"/>
              </w:rPr>
              <w:t>6/15/2027,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6/15/2028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center"/>
              <w:spacing w:after="0" w:line="121" w:lineRule="exact"/>
              <w:rPr>
                <w:sz w:val="20"/>
                <w:szCs w:val="20"/>
                <w:color w:val="auto"/>
              </w:rPr>
            </w:pPr>
            <w:r>
              <w:rPr>
                <w:rFonts w:ascii="Arial" w:cs="Arial" w:eastAsia="Arial" w:hAnsi="Arial"/>
                <w:sz w:val="13"/>
                <w:szCs w:val="13"/>
                <w:color w:val="auto"/>
                <w:w w:val="86"/>
              </w:rPr>
              <w:t>51-6029896-</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gridSpan w:val="3"/>
          </w:tcPr>
          <w:p>
            <w:pPr>
              <w:spacing w:after="0"/>
              <w:rPr>
                <w:sz w:val="20"/>
                <w:szCs w:val="20"/>
                <w:color w:val="auto"/>
              </w:rPr>
            </w:pPr>
            <w:r>
              <w:rPr>
                <w:rFonts w:ascii="Arial" w:cs="Arial" w:eastAsia="Arial" w:hAnsi="Arial"/>
                <w:sz w:val="13"/>
                <w:szCs w:val="13"/>
                <w:color w:val="auto"/>
              </w:rPr>
              <w:t>MEBA Pension Trust - Defined Benefit Plan</w:t>
            </w: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001</w:t>
            </w:r>
          </w:p>
        </w:tc>
        <w:tc>
          <w:tcPr>
            <w:tcW w:w="140" w:type="dxa"/>
            <w:vAlign w:val="bottom"/>
          </w:tcPr>
          <w:p>
            <w:pPr>
              <w:spacing w:after="0"/>
              <w:rPr>
                <w:sz w:val="12"/>
                <w:szCs w:val="12"/>
                <w:color w:val="auto"/>
              </w:rPr>
            </w:pPr>
          </w:p>
        </w:tc>
        <w:tc>
          <w:tcPr>
            <w:tcW w:w="260" w:type="dxa"/>
            <w:vAlign w:val="bottom"/>
          </w:tcPr>
          <w:p>
            <w:pPr>
              <w:jc w:val="center"/>
              <w:spacing w:after="0"/>
              <w:rPr>
                <w:sz w:val="20"/>
                <w:szCs w:val="20"/>
                <w:color w:val="auto"/>
              </w:rPr>
            </w:pPr>
            <w:r>
              <w:rPr>
                <w:rFonts w:ascii="Arial" w:cs="Arial" w:eastAsia="Arial" w:hAnsi="Arial"/>
                <w:sz w:val="13"/>
                <w:szCs w:val="13"/>
                <w:color w:val="auto"/>
                <w:w w:val="87"/>
              </w:rPr>
              <w:t>(2)</w:t>
            </w:r>
          </w:p>
        </w:tc>
        <w:tc>
          <w:tcPr>
            <w:tcW w:w="140" w:type="dxa"/>
            <w:vAlign w:val="bottom"/>
          </w:tcPr>
          <w:p>
            <w:pPr>
              <w:spacing w:after="0"/>
              <w:rPr>
                <w:sz w:val="12"/>
                <w:szCs w:val="12"/>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3"/>
                <w:szCs w:val="13"/>
                <w:color w:val="auto"/>
                <w:w w:val="82"/>
              </w:rPr>
              <w:t>Green</w:t>
            </w:r>
          </w:p>
        </w:tc>
        <w:tc>
          <w:tcPr>
            <w:tcW w:w="500" w:type="dxa"/>
            <w:vAlign w:val="bottom"/>
            <w:gridSpan w:val="2"/>
          </w:tcPr>
          <w:p>
            <w:pPr>
              <w:jc w:val="center"/>
              <w:ind w:right="120"/>
              <w:spacing w:after="0"/>
              <w:rPr>
                <w:sz w:val="20"/>
                <w:szCs w:val="20"/>
                <w:color w:val="auto"/>
              </w:rPr>
            </w:pPr>
            <w:r>
              <w:rPr>
                <w:rFonts w:ascii="Arial" w:cs="Arial" w:eastAsia="Arial" w:hAnsi="Arial"/>
                <w:sz w:val="13"/>
                <w:szCs w:val="13"/>
                <w:color w:val="auto"/>
                <w:w w:val="82"/>
              </w:rPr>
              <w:t>Green</w:t>
            </w:r>
          </w:p>
        </w:tc>
        <w:tc>
          <w:tcPr>
            <w:tcW w:w="8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No</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Yes</w:t>
            </w:r>
          </w:p>
        </w:tc>
        <w:tc>
          <w:tcPr>
            <w:tcW w:w="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4.0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4.1</w:t>
            </w:r>
          </w:p>
        </w:tc>
        <w:tc>
          <w:tcPr>
            <w:tcW w:w="14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rPr>
                <w:sz w:val="20"/>
                <w:szCs w:val="20"/>
                <w:color w:val="auto"/>
              </w:rPr>
            </w:pPr>
            <w:r>
              <w:rPr>
                <w:rFonts w:ascii="Arial" w:cs="Arial" w:eastAsia="Arial" w:hAnsi="Arial"/>
                <w:sz w:val="13"/>
                <w:szCs w:val="13"/>
                <w:color w:val="auto"/>
                <w:w w:val="87"/>
              </w:rPr>
              <w:t>6/15/2022,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6/15/2028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center"/>
              <w:spacing w:after="0" w:line="121" w:lineRule="exact"/>
              <w:rPr>
                <w:sz w:val="20"/>
                <w:szCs w:val="20"/>
                <w:color w:val="auto"/>
              </w:rPr>
            </w:pPr>
            <w:r>
              <w:rPr>
                <w:rFonts w:ascii="Arial" w:cs="Arial" w:eastAsia="Arial" w:hAnsi="Arial"/>
                <w:sz w:val="13"/>
                <w:szCs w:val="13"/>
                <w:color w:val="auto"/>
                <w:w w:val="86"/>
              </w:rPr>
              <w:t>26-1574440-</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gridSpan w:val="3"/>
          </w:tcPr>
          <w:p>
            <w:pPr>
              <w:spacing w:after="0"/>
              <w:rPr>
                <w:sz w:val="20"/>
                <w:szCs w:val="20"/>
                <w:color w:val="auto"/>
              </w:rPr>
            </w:pPr>
            <w:r>
              <w:rPr>
                <w:rFonts w:ascii="Arial" w:cs="Arial" w:eastAsia="Arial" w:hAnsi="Arial"/>
                <w:sz w:val="13"/>
                <w:szCs w:val="13"/>
                <w:color w:val="auto"/>
              </w:rPr>
              <w:t>OCU Trust Pension Plan</w:t>
            </w: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001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3"/>
                <w:szCs w:val="13"/>
                <w:color w:val="auto"/>
                <w:w w:val="82"/>
              </w:rPr>
              <w:t>Green</w:t>
            </w:r>
          </w:p>
        </w:tc>
        <w:tc>
          <w:tcPr>
            <w:tcW w:w="500" w:type="dxa"/>
            <w:vAlign w:val="bottom"/>
            <w:gridSpan w:val="2"/>
          </w:tcPr>
          <w:p>
            <w:pPr>
              <w:jc w:val="center"/>
              <w:ind w:right="120"/>
              <w:spacing w:after="0"/>
              <w:rPr>
                <w:sz w:val="20"/>
                <w:szCs w:val="20"/>
                <w:color w:val="auto"/>
              </w:rPr>
            </w:pPr>
            <w:r>
              <w:rPr>
                <w:rFonts w:ascii="Arial" w:cs="Arial" w:eastAsia="Arial" w:hAnsi="Arial"/>
                <w:sz w:val="13"/>
                <w:szCs w:val="13"/>
                <w:color w:val="auto"/>
                <w:w w:val="82"/>
              </w:rPr>
              <w:t>Green</w:t>
            </w:r>
          </w:p>
        </w:tc>
        <w:tc>
          <w:tcPr>
            <w:tcW w:w="8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No</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No</w:t>
            </w:r>
          </w:p>
        </w:tc>
        <w:tc>
          <w:tcPr>
            <w:tcW w:w="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0.2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0.2</w:t>
            </w:r>
          </w:p>
        </w:tc>
        <w:tc>
          <w:tcPr>
            <w:tcW w:w="14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rPr>
                <w:sz w:val="20"/>
                <w:szCs w:val="20"/>
                <w:color w:val="auto"/>
              </w:rPr>
            </w:pPr>
            <w:r>
              <w:rPr>
                <w:rFonts w:ascii="Arial" w:cs="Arial" w:eastAsia="Arial" w:hAnsi="Arial"/>
                <w:sz w:val="13"/>
                <w:szCs w:val="13"/>
                <w:color w:val="auto"/>
                <w:w w:val="86"/>
              </w:rPr>
              <w:t>6/30/2023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94-6201677-</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MFOW Supplementary Pension Plan</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001</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2"/>
              </w:rPr>
              <w:t>Green</w:t>
            </w: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2"/>
              </w:rPr>
              <w:t>Green</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6"/>
              </w:rPr>
              <w:t>No</w:t>
            </w: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Yes</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6"/>
              </w:rPr>
              <w:t>No</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6/30/2021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center"/>
              <w:spacing w:after="0" w:line="121" w:lineRule="exact"/>
              <w:rPr>
                <w:sz w:val="20"/>
                <w:szCs w:val="20"/>
                <w:color w:val="auto"/>
              </w:rPr>
            </w:pPr>
            <w:r>
              <w:rPr>
                <w:rFonts w:ascii="Arial" w:cs="Arial" w:eastAsia="Arial" w:hAnsi="Arial"/>
                <w:sz w:val="13"/>
                <w:szCs w:val="13"/>
                <w:color w:val="auto"/>
                <w:w w:val="86"/>
              </w:rPr>
              <w:t>94-6061923-</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gridSpan w:val="3"/>
          </w:tcPr>
          <w:p>
            <w:pPr>
              <w:spacing w:after="0"/>
              <w:rPr>
                <w:sz w:val="20"/>
                <w:szCs w:val="20"/>
                <w:color w:val="auto"/>
              </w:rPr>
            </w:pPr>
            <w:r>
              <w:rPr>
                <w:rFonts w:ascii="Arial" w:cs="Arial" w:eastAsia="Arial" w:hAnsi="Arial"/>
                <w:sz w:val="13"/>
                <w:szCs w:val="13"/>
                <w:color w:val="auto"/>
              </w:rPr>
              <w:t>SIU Pacific District Pension Plan</w:t>
            </w: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001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3"/>
                <w:szCs w:val="13"/>
                <w:color w:val="auto"/>
                <w:w w:val="82"/>
              </w:rPr>
              <w:t>Green</w:t>
            </w:r>
          </w:p>
        </w:tc>
        <w:tc>
          <w:tcPr>
            <w:tcW w:w="500" w:type="dxa"/>
            <w:vAlign w:val="bottom"/>
            <w:gridSpan w:val="2"/>
          </w:tcPr>
          <w:p>
            <w:pPr>
              <w:jc w:val="center"/>
              <w:ind w:right="120"/>
              <w:spacing w:after="0"/>
              <w:rPr>
                <w:sz w:val="20"/>
                <w:szCs w:val="20"/>
                <w:color w:val="auto"/>
              </w:rPr>
            </w:pPr>
            <w:r>
              <w:rPr>
                <w:rFonts w:ascii="Arial" w:cs="Arial" w:eastAsia="Arial" w:hAnsi="Arial"/>
                <w:sz w:val="13"/>
                <w:szCs w:val="13"/>
                <w:color w:val="auto"/>
                <w:w w:val="82"/>
              </w:rPr>
              <w:t>Green</w:t>
            </w:r>
          </w:p>
        </w:tc>
        <w:tc>
          <w:tcPr>
            <w:tcW w:w="8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No</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Yes</w:t>
            </w:r>
          </w:p>
        </w:tc>
        <w:tc>
          <w:tcPr>
            <w:tcW w:w="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0.6</w:t>
            </w:r>
          </w:p>
        </w:tc>
        <w:tc>
          <w:tcPr>
            <w:tcW w:w="14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rPr>
                <w:sz w:val="20"/>
                <w:szCs w:val="20"/>
                <w:color w:val="auto"/>
              </w:rPr>
            </w:pPr>
            <w:r>
              <w:rPr>
                <w:rFonts w:ascii="Arial" w:cs="Arial" w:eastAsia="Arial" w:hAnsi="Arial"/>
                <w:sz w:val="13"/>
                <w:szCs w:val="13"/>
                <w:color w:val="auto"/>
                <w:w w:val="86"/>
              </w:rPr>
              <w:t>6/30/2021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92-6003463-</w:t>
            </w:r>
          </w:p>
        </w:tc>
        <w:tc>
          <w:tcPr>
            <w:tcW w:w="14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(3)</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600" w:type="dxa"/>
            <w:vAlign w:val="bottom"/>
            <w:tcBorders>
              <w:bottom w:val="single" w:sz="8" w:color="CCEEFF"/>
            </w:tcBorders>
            <w:gridSpan w:val="3"/>
            <w:shd w:val="clear" w:color="auto" w:fill="CCEEFF"/>
          </w:tcPr>
          <w:p>
            <w:pPr>
              <w:spacing w:after="0" w:line="129" w:lineRule="exact"/>
              <w:rPr>
                <w:sz w:val="20"/>
                <w:szCs w:val="20"/>
                <w:color w:val="auto"/>
              </w:rPr>
            </w:pPr>
            <w:r>
              <w:rPr>
                <w:rFonts w:ascii="Arial" w:cs="Arial" w:eastAsia="Arial" w:hAnsi="Arial"/>
                <w:sz w:val="13"/>
                <w:szCs w:val="13"/>
                <w:color w:val="auto"/>
              </w:rPr>
              <w:t>Alaska Teamster - Employer Pension Plan</w:t>
            </w:r>
          </w:p>
        </w:tc>
        <w:tc>
          <w:tcPr>
            <w:tcW w:w="68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2"/>
              </w:rPr>
              <w:t>024</w:t>
            </w:r>
          </w:p>
        </w:tc>
        <w:tc>
          <w:tcPr>
            <w:tcW w:w="1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center"/>
              <w:ind w:right="140"/>
              <w:spacing w:after="0" w:line="129" w:lineRule="exact"/>
              <w:rPr>
                <w:sz w:val="20"/>
                <w:szCs w:val="20"/>
                <w:color w:val="auto"/>
              </w:rPr>
            </w:pPr>
            <w:r>
              <w:rPr>
                <w:rFonts w:ascii="Arial" w:cs="Arial" w:eastAsia="Arial" w:hAnsi="Arial"/>
                <w:sz w:val="13"/>
                <w:szCs w:val="13"/>
                <w:color w:val="auto"/>
                <w:w w:val="83"/>
              </w:rPr>
              <w:t>Red</w:t>
            </w:r>
          </w:p>
        </w:tc>
        <w:tc>
          <w:tcPr>
            <w:tcW w:w="500" w:type="dxa"/>
            <w:vAlign w:val="bottom"/>
            <w:tcBorders>
              <w:bottom w:val="single" w:sz="8" w:color="CCEEFF"/>
            </w:tcBorders>
            <w:gridSpan w:val="2"/>
            <w:shd w:val="clear" w:color="auto" w:fill="CCEEFF"/>
          </w:tcPr>
          <w:p>
            <w:pPr>
              <w:jc w:val="center"/>
              <w:ind w:right="140"/>
              <w:spacing w:after="0" w:line="129" w:lineRule="exact"/>
              <w:rPr>
                <w:sz w:val="20"/>
                <w:szCs w:val="20"/>
                <w:color w:val="auto"/>
              </w:rPr>
            </w:pPr>
            <w:r>
              <w:rPr>
                <w:rFonts w:ascii="Arial" w:cs="Arial" w:eastAsia="Arial" w:hAnsi="Arial"/>
                <w:sz w:val="13"/>
                <w:szCs w:val="13"/>
                <w:color w:val="auto"/>
                <w:w w:val="83"/>
              </w:rPr>
              <w:t>Red</w:t>
            </w:r>
          </w:p>
        </w:tc>
        <w:tc>
          <w:tcPr>
            <w:tcW w:w="820" w:type="dxa"/>
            <w:vAlign w:val="bottom"/>
            <w:tcBorders>
              <w:bottom w:val="single" w:sz="8" w:color="CCEEFF"/>
            </w:tcBorders>
            <w:gridSpan w:val="2"/>
            <w:shd w:val="clear" w:color="auto" w:fill="CCEEFF"/>
          </w:tcPr>
          <w:p>
            <w:pPr>
              <w:jc w:val="center"/>
              <w:ind w:right="140"/>
              <w:spacing w:after="0" w:line="129" w:lineRule="exact"/>
              <w:rPr>
                <w:sz w:val="20"/>
                <w:szCs w:val="20"/>
                <w:color w:val="auto"/>
              </w:rPr>
            </w:pPr>
            <w:r>
              <w:rPr>
                <w:rFonts w:ascii="Arial" w:cs="Arial" w:eastAsia="Arial" w:hAnsi="Arial"/>
                <w:sz w:val="13"/>
                <w:szCs w:val="13"/>
                <w:color w:val="auto"/>
                <w:w w:val="90"/>
              </w:rPr>
              <w:t>Implemented</w:t>
            </w:r>
          </w:p>
        </w:tc>
        <w:tc>
          <w:tcPr>
            <w:tcW w:w="700" w:type="dxa"/>
            <w:vAlign w:val="bottom"/>
            <w:tcBorders>
              <w:bottom w:val="single" w:sz="8" w:color="CCEEFF"/>
            </w:tcBorders>
            <w:gridSpan w:val="2"/>
            <w:shd w:val="clear" w:color="auto" w:fill="CCEEFF"/>
          </w:tcPr>
          <w:p>
            <w:pPr>
              <w:jc w:val="center"/>
              <w:ind w:right="140"/>
              <w:spacing w:after="0" w:line="129" w:lineRule="exact"/>
              <w:rPr>
                <w:sz w:val="20"/>
                <w:szCs w:val="20"/>
                <w:color w:val="auto"/>
              </w:rPr>
            </w:pPr>
            <w:r>
              <w:rPr>
                <w:rFonts w:ascii="Arial" w:cs="Arial" w:eastAsia="Arial" w:hAnsi="Arial"/>
                <w:sz w:val="13"/>
                <w:szCs w:val="13"/>
                <w:color w:val="auto"/>
                <w:w w:val="89"/>
              </w:rPr>
              <w:t>Yes</w:t>
            </w:r>
          </w:p>
        </w:tc>
        <w:tc>
          <w:tcPr>
            <w:tcW w:w="6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w:t>
            </w:r>
          </w:p>
        </w:tc>
        <w:tc>
          <w:tcPr>
            <w:tcW w:w="1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center"/>
              <w:ind w:right="140"/>
              <w:spacing w:after="0" w:line="129" w:lineRule="exact"/>
              <w:rPr>
                <w:sz w:val="20"/>
                <w:szCs w:val="20"/>
                <w:color w:val="auto"/>
              </w:rPr>
            </w:pPr>
            <w:r>
              <w:rPr>
                <w:rFonts w:ascii="Arial" w:cs="Arial" w:eastAsia="Arial" w:hAnsi="Arial"/>
                <w:sz w:val="13"/>
                <w:szCs w:val="13"/>
                <w:color w:val="auto"/>
                <w:w w:val="89"/>
              </w:rPr>
              <w:t>Yes</w:t>
            </w:r>
          </w:p>
        </w:tc>
        <w:tc>
          <w:tcPr>
            <w:tcW w:w="58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6/30/2019,</w:t>
            </w:r>
          </w:p>
        </w:tc>
        <w:tc>
          <w:tcPr>
            <w:tcW w:w="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7"/>
              </w:rPr>
              <w:t>6/30/2020,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6/30/2021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center"/>
              <w:spacing w:after="0" w:line="121" w:lineRule="exact"/>
              <w:rPr>
                <w:sz w:val="20"/>
                <w:szCs w:val="20"/>
                <w:color w:val="auto"/>
              </w:rPr>
            </w:pPr>
            <w:r>
              <w:rPr>
                <w:rFonts w:ascii="Arial" w:cs="Arial" w:eastAsia="Arial" w:hAnsi="Arial"/>
                <w:sz w:val="13"/>
                <w:szCs w:val="13"/>
                <w:color w:val="auto"/>
                <w:w w:val="86"/>
              </w:rPr>
              <w:t>91-6085352-</w:t>
            </w:r>
          </w:p>
        </w:tc>
        <w:tc>
          <w:tcPr>
            <w:tcW w:w="140" w:type="dxa"/>
            <w:vAlign w:val="bottom"/>
          </w:tcPr>
          <w:p>
            <w:pPr>
              <w:spacing w:after="0"/>
              <w:rPr>
                <w:sz w:val="10"/>
                <w:szCs w:val="10"/>
                <w:color w:val="auto"/>
              </w:rPr>
            </w:pPr>
          </w:p>
        </w:tc>
        <w:tc>
          <w:tcPr>
            <w:tcW w:w="260" w:type="dxa"/>
            <w:vAlign w:val="bottom"/>
            <w:vMerge w:val="restart"/>
          </w:tcPr>
          <w:p>
            <w:pPr>
              <w:jc w:val="center"/>
              <w:spacing w:after="0"/>
              <w:rPr>
                <w:sz w:val="20"/>
                <w:szCs w:val="20"/>
                <w:color w:val="auto"/>
              </w:rPr>
            </w:pPr>
            <w:r>
              <w:rPr>
                <w:rFonts w:ascii="Arial" w:cs="Arial" w:eastAsia="Arial" w:hAnsi="Arial"/>
                <w:sz w:val="13"/>
                <w:szCs w:val="13"/>
                <w:color w:val="auto"/>
                <w:w w:val="87"/>
              </w:rPr>
              <w:t>(3)</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600" w:type="dxa"/>
            <w:vAlign w:val="bottom"/>
            <w:gridSpan w:val="3"/>
            <w:vMerge w:val="restart"/>
          </w:tcPr>
          <w:p>
            <w:pPr>
              <w:spacing w:after="0"/>
              <w:rPr>
                <w:sz w:val="20"/>
                <w:szCs w:val="20"/>
                <w:color w:val="auto"/>
              </w:rPr>
            </w:pPr>
            <w:r>
              <w:rPr>
                <w:rFonts w:ascii="Arial" w:cs="Arial" w:eastAsia="Arial" w:hAnsi="Arial"/>
                <w:sz w:val="13"/>
                <w:szCs w:val="13"/>
                <w:color w:val="auto"/>
              </w:rPr>
              <w:t>All Alaska Longshore Pension Plan</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2"/>
              </w:rPr>
              <w:t>001</w:t>
            </w:r>
          </w:p>
        </w:tc>
        <w:tc>
          <w:tcPr>
            <w:tcW w:w="1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2"/>
              </w:rPr>
              <w:t>Green</w:t>
            </w:r>
          </w:p>
        </w:tc>
        <w:tc>
          <w:tcPr>
            <w:tcW w:w="50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2"/>
              </w:rPr>
              <w:t>Green</w:t>
            </w: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96"/>
              </w:rPr>
              <w:t>No</w:t>
            </w: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89"/>
              </w:rPr>
              <w:t>Yes</w:t>
            </w:r>
          </w:p>
        </w:tc>
        <w:tc>
          <w:tcPr>
            <w:tcW w:w="60" w:type="dxa"/>
            <w:vAlign w:val="bottom"/>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140" w:type="dxa"/>
            <w:vAlign w:val="bottom"/>
          </w:tcPr>
          <w:p>
            <w:pPr>
              <w:spacing w:after="0"/>
              <w:rPr>
                <w:sz w:val="8"/>
                <w:szCs w:val="8"/>
                <w:color w:val="auto"/>
              </w:rPr>
            </w:pP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96"/>
              </w:rPr>
              <w:t>No</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6"/>
              </w:rPr>
              <w:t>6/30/2020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600" w:type="dxa"/>
            <w:vAlign w:val="bottom"/>
            <w:gridSpan w:val="3"/>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91-6145047-</w:t>
            </w:r>
          </w:p>
        </w:tc>
        <w:tc>
          <w:tcPr>
            <w:tcW w:w="14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(3)</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600" w:type="dxa"/>
            <w:vAlign w:val="bottom"/>
            <w:tcBorders>
              <w:bottom w:val="single" w:sz="8" w:color="CCEEFF"/>
            </w:tcBorders>
            <w:gridSpan w:val="3"/>
            <w:shd w:val="clear" w:color="auto" w:fill="CCEEFF"/>
          </w:tcPr>
          <w:p>
            <w:pPr>
              <w:spacing w:after="0" w:line="129" w:lineRule="exact"/>
              <w:rPr>
                <w:sz w:val="20"/>
                <w:szCs w:val="20"/>
                <w:color w:val="auto"/>
              </w:rPr>
            </w:pPr>
            <w:r>
              <w:rPr>
                <w:rFonts w:ascii="Arial" w:cs="Arial" w:eastAsia="Arial" w:hAnsi="Arial"/>
                <w:sz w:val="13"/>
                <w:szCs w:val="13"/>
                <w:color w:val="auto"/>
                <w:w w:val="92"/>
              </w:rPr>
              <w:t>Western Conference of Teamsters Pension Plan</w:t>
            </w:r>
          </w:p>
        </w:tc>
        <w:tc>
          <w:tcPr>
            <w:tcW w:w="68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2"/>
              </w:rPr>
              <w:t>001</w:t>
            </w:r>
          </w:p>
        </w:tc>
        <w:tc>
          <w:tcPr>
            <w:tcW w:w="1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2"/>
              </w:rPr>
              <w:t>Green</w:t>
            </w:r>
          </w:p>
        </w:tc>
        <w:tc>
          <w:tcPr>
            <w:tcW w:w="500" w:type="dxa"/>
            <w:vAlign w:val="bottom"/>
            <w:tcBorders>
              <w:bottom w:val="single" w:sz="8" w:color="CCEEFF"/>
            </w:tcBorders>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2"/>
              </w:rPr>
              <w:t>Green</w:t>
            </w:r>
          </w:p>
        </w:tc>
        <w:tc>
          <w:tcPr>
            <w:tcW w:w="820" w:type="dxa"/>
            <w:vAlign w:val="bottom"/>
            <w:tcBorders>
              <w:bottom w:val="single" w:sz="8" w:color="CCEEFF"/>
            </w:tcBorders>
            <w:gridSpan w:val="2"/>
            <w:shd w:val="clear" w:color="auto" w:fill="CCEEFF"/>
          </w:tcPr>
          <w:p>
            <w:pPr>
              <w:jc w:val="center"/>
              <w:ind w:right="140"/>
              <w:spacing w:after="0" w:line="129" w:lineRule="exact"/>
              <w:rPr>
                <w:sz w:val="20"/>
                <w:szCs w:val="20"/>
                <w:color w:val="auto"/>
              </w:rPr>
            </w:pPr>
            <w:r>
              <w:rPr>
                <w:rFonts w:ascii="Arial" w:cs="Arial" w:eastAsia="Arial" w:hAnsi="Arial"/>
                <w:sz w:val="13"/>
                <w:szCs w:val="13"/>
                <w:color w:val="auto"/>
                <w:w w:val="96"/>
              </w:rPr>
              <w:t>No</w:t>
            </w:r>
          </w:p>
        </w:tc>
        <w:tc>
          <w:tcPr>
            <w:tcW w:w="700" w:type="dxa"/>
            <w:vAlign w:val="bottom"/>
            <w:tcBorders>
              <w:bottom w:val="single" w:sz="8" w:color="CCEEFF"/>
            </w:tcBorders>
            <w:gridSpan w:val="2"/>
            <w:shd w:val="clear" w:color="auto" w:fill="CCEEFF"/>
          </w:tcPr>
          <w:p>
            <w:pPr>
              <w:jc w:val="center"/>
              <w:ind w:right="140"/>
              <w:spacing w:after="0" w:line="129" w:lineRule="exact"/>
              <w:rPr>
                <w:sz w:val="20"/>
                <w:szCs w:val="20"/>
                <w:color w:val="auto"/>
              </w:rPr>
            </w:pPr>
            <w:r>
              <w:rPr>
                <w:rFonts w:ascii="Arial" w:cs="Arial" w:eastAsia="Arial" w:hAnsi="Arial"/>
                <w:sz w:val="13"/>
                <w:szCs w:val="13"/>
                <w:color w:val="auto"/>
                <w:w w:val="96"/>
              </w:rPr>
              <w:t>No</w:t>
            </w:r>
          </w:p>
        </w:tc>
        <w:tc>
          <w:tcPr>
            <w:tcW w:w="6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1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center"/>
              <w:ind w:right="140"/>
              <w:spacing w:after="0" w:line="129" w:lineRule="exact"/>
              <w:rPr>
                <w:sz w:val="20"/>
                <w:szCs w:val="20"/>
                <w:color w:val="auto"/>
              </w:rPr>
            </w:pPr>
            <w:r>
              <w:rPr>
                <w:rFonts w:ascii="Arial" w:cs="Arial" w:eastAsia="Arial" w:hAnsi="Arial"/>
                <w:sz w:val="13"/>
                <w:szCs w:val="13"/>
                <w:color w:val="auto"/>
                <w:w w:val="96"/>
              </w:rPr>
              <w:t>No</w:t>
            </w:r>
          </w:p>
        </w:tc>
        <w:tc>
          <w:tcPr>
            <w:tcW w:w="58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3/31/2023</w:t>
            </w:r>
          </w:p>
        </w:tc>
        <w:tc>
          <w:tcPr>
            <w:tcW w:w="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600" w:type="dxa"/>
            <w:vAlign w:val="bottom"/>
            <w:gridSpan w:val="3"/>
          </w:tcPr>
          <w:p>
            <w:pPr>
              <w:spacing w:after="0" w:line="121" w:lineRule="exact"/>
              <w:rPr>
                <w:sz w:val="20"/>
                <w:szCs w:val="20"/>
                <w:color w:val="auto"/>
              </w:rPr>
            </w:pPr>
            <w:r>
              <w:rPr>
                <w:rFonts w:ascii="Arial" w:cs="Arial" w:eastAsia="Arial" w:hAnsi="Arial"/>
                <w:sz w:val="13"/>
                <w:szCs w:val="13"/>
                <w:color w:val="auto"/>
                <w:w w:val="91"/>
              </w:rPr>
              <w:t>Western Conference of Teamsters Supplemental</w:t>
            </w:r>
          </w:p>
        </w:tc>
        <w:tc>
          <w:tcPr>
            <w:tcW w:w="680" w:type="dxa"/>
            <w:vAlign w:val="bottom"/>
          </w:tcPr>
          <w:p>
            <w:pPr>
              <w:jc w:val="center"/>
              <w:spacing w:after="0" w:line="121" w:lineRule="exact"/>
              <w:rPr>
                <w:sz w:val="20"/>
                <w:szCs w:val="20"/>
                <w:color w:val="auto"/>
              </w:rPr>
            </w:pPr>
            <w:r>
              <w:rPr>
                <w:rFonts w:ascii="Arial" w:cs="Arial" w:eastAsia="Arial" w:hAnsi="Arial"/>
                <w:sz w:val="13"/>
                <w:szCs w:val="13"/>
                <w:color w:val="auto"/>
                <w:w w:val="86"/>
              </w:rPr>
              <w:t>95-3746907-</w:t>
            </w:r>
          </w:p>
        </w:tc>
        <w:tc>
          <w:tcPr>
            <w:tcW w:w="140" w:type="dxa"/>
            <w:vAlign w:val="bottom"/>
          </w:tcPr>
          <w:p>
            <w:pPr>
              <w:spacing w:after="0"/>
              <w:rPr>
                <w:sz w:val="10"/>
                <w:szCs w:val="10"/>
                <w:color w:val="auto"/>
              </w:rPr>
            </w:pPr>
          </w:p>
        </w:tc>
        <w:tc>
          <w:tcPr>
            <w:tcW w:w="260" w:type="dxa"/>
            <w:vAlign w:val="bottom"/>
            <w:vMerge w:val="restart"/>
          </w:tcPr>
          <w:p>
            <w:pPr>
              <w:jc w:val="center"/>
              <w:spacing w:after="0"/>
              <w:rPr>
                <w:sz w:val="20"/>
                <w:szCs w:val="20"/>
                <w:color w:val="auto"/>
              </w:rPr>
            </w:pPr>
            <w:r>
              <w:rPr>
                <w:rFonts w:ascii="Arial" w:cs="Arial" w:eastAsia="Arial" w:hAnsi="Arial"/>
                <w:sz w:val="13"/>
                <w:szCs w:val="13"/>
                <w:color w:val="auto"/>
                <w:w w:val="87"/>
              </w:rPr>
              <w:t>(3)</w:t>
            </w:r>
          </w:p>
        </w:tc>
        <w:tc>
          <w:tcPr>
            <w:tcW w:w="140" w:type="dxa"/>
            <w:vAlign w:val="bottom"/>
          </w:tcPr>
          <w:p>
            <w:pPr>
              <w:spacing w:after="0"/>
              <w:rPr>
                <w:sz w:val="10"/>
                <w:szCs w:val="10"/>
                <w:color w:val="auto"/>
              </w:rPr>
            </w:pPr>
          </w:p>
        </w:tc>
        <w:tc>
          <w:tcPr>
            <w:tcW w:w="50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2"/>
              </w:rPr>
              <w:t>Green</w:t>
            </w:r>
          </w:p>
        </w:tc>
        <w:tc>
          <w:tcPr>
            <w:tcW w:w="50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2"/>
              </w:rPr>
              <w:t>Green</w:t>
            </w: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96"/>
              </w:rPr>
              <w:t>No</w:t>
            </w: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96"/>
              </w:rPr>
              <w:t>No</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96"/>
              </w:rPr>
              <w:t>No</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600" w:type="dxa"/>
            <w:vAlign w:val="bottom"/>
            <w:gridSpan w:val="3"/>
            <w:vMerge w:val="restart"/>
          </w:tcPr>
          <w:p>
            <w:pPr>
              <w:spacing w:after="0"/>
              <w:rPr>
                <w:sz w:val="20"/>
                <w:szCs w:val="20"/>
                <w:color w:val="auto"/>
              </w:rPr>
            </w:pPr>
            <w:r>
              <w:rPr>
                <w:rFonts w:ascii="Arial" w:cs="Arial" w:eastAsia="Arial" w:hAnsi="Arial"/>
                <w:sz w:val="13"/>
                <w:szCs w:val="13"/>
                <w:color w:val="auto"/>
              </w:rPr>
              <w:t>Benefit Trust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2"/>
              </w:rPr>
              <w:t>001</w:t>
            </w:r>
          </w:p>
        </w:tc>
        <w:tc>
          <w:tcPr>
            <w:tcW w:w="1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6"/>
              </w:rPr>
              <w:t>3/31/2023</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600" w:type="dxa"/>
            <w:vAlign w:val="bottom"/>
            <w:gridSpan w:val="3"/>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13-2864289-</w:t>
            </w:r>
          </w:p>
        </w:tc>
        <w:tc>
          <w:tcPr>
            <w:tcW w:w="14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(3)</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600" w:type="dxa"/>
            <w:vAlign w:val="bottom"/>
            <w:tcBorders>
              <w:bottom w:val="single" w:sz="8" w:color="CCEEFF"/>
            </w:tcBorders>
            <w:gridSpan w:val="3"/>
            <w:shd w:val="clear" w:color="auto" w:fill="CCEEFF"/>
          </w:tcPr>
          <w:p>
            <w:pPr>
              <w:spacing w:after="0" w:line="129" w:lineRule="exact"/>
              <w:rPr>
                <w:sz w:val="20"/>
                <w:szCs w:val="20"/>
                <w:color w:val="auto"/>
              </w:rPr>
            </w:pPr>
            <w:r>
              <w:rPr>
                <w:rFonts w:ascii="Arial" w:cs="Arial" w:eastAsia="Arial" w:hAnsi="Arial"/>
                <w:sz w:val="13"/>
                <w:szCs w:val="13"/>
                <w:color w:val="auto"/>
              </w:rPr>
              <w:t>OPEIU Local 153 Pension Plan</w:t>
            </w:r>
          </w:p>
        </w:tc>
        <w:tc>
          <w:tcPr>
            <w:tcW w:w="68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2"/>
              </w:rPr>
              <w:t>001</w:t>
            </w:r>
          </w:p>
        </w:tc>
        <w:tc>
          <w:tcPr>
            <w:tcW w:w="1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center"/>
              <w:ind w:right="140"/>
              <w:spacing w:after="0" w:line="129" w:lineRule="exact"/>
              <w:rPr>
                <w:sz w:val="20"/>
                <w:szCs w:val="20"/>
                <w:color w:val="auto"/>
              </w:rPr>
            </w:pPr>
            <w:r>
              <w:rPr>
                <w:rFonts w:ascii="Arial" w:cs="Arial" w:eastAsia="Arial" w:hAnsi="Arial"/>
                <w:sz w:val="13"/>
                <w:szCs w:val="13"/>
                <w:color w:val="auto"/>
                <w:w w:val="83"/>
              </w:rPr>
              <w:t>Red</w:t>
            </w:r>
          </w:p>
        </w:tc>
        <w:tc>
          <w:tcPr>
            <w:tcW w:w="500" w:type="dxa"/>
            <w:vAlign w:val="bottom"/>
            <w:tcBorders>
              <w:bottom w:val="single" w:sz="8" w:color="CCEEFF"/>
            </w:tcBorders>
            <w:gridSpan w:val="2"/>
            <w:shd w:val="clear" w:color="auto" w:fill="CCEEFF"/>
          </w:tcPr>
          <w:p>
            <w:pPr>
              <w:jc w:val="center"/>
              <w:ind w:right="140"/>
              <w:spacing w:after="0" w:line="129" w:lineRule="exact"/>
              <w:rPr>
                <w:sz w:val="20"/>
                <w:szCs w:val="20"/>
                <w:color w:val="auto"/>
              </w:rPr>
            </w:pPr>
            <w:r>
              <w:rPr>
                <w:rFonts w:ascii="Arial" w:cs="Arial" w:eastAsia="Arial" w:hAnsi="Arial"/>
                <w:sz w:val="13"/>
                <w:szCs w:val="13"/>
                <w:color w:val="auto"/>
                <w:w w:val="83"/>
              </w:rPr>
              <w:t>Red</w:t>
            </w:r>
          </w:p>
        </w:tc>
        <w:tc>
          <w:tcPr>
            <w:tcW w:w="820" w:type="dxa"/>
            <w:vAlign w:val="bottom"/>
            <w:tcBorders>
              <w:bottom w:val="single" w:sz="8" w:color="CCEEFF"/>
            </w:tcBorders>
            <w:gridSpan w:val="2"/>
            <w:shd w:val="clear" w:color="auto" w:fill="CCEEFF"/>
          </w:tcPr>
          <w:p>
            <w:pPr>
              <w:jc w:val="center"/>
              <w:ind w:right="140"/>
              <w:spacing w:after="0" w:line="129" w:lineRule="exact"/>
              <w:rPr>
                <w:sz w:val="20"/>
                <w:szCs w:val="20"/>
                <w:color w:val="auto"/>
              </w:rPr>
            </w:pPr>
            <w:r>
              <w:rPr>
                <w:rFonts w:ascii="Arial" w:cs="Arial" w:eastAsia="Arial" w:hAnsi="Arial"/>
                <w:sz w:val="13"/>
                <w:szCs w:val="13"/>
                <w:color w:val="auto"/>
                <w:w w:val="90"/>
              </w:rPr>
              <w:t>Implemented</w:t>
            </w:r>
          </w:p>
        </w:tc>
        <w:tc>
          <w:tcPr>
            <w:tcW w:w="700" w:type="dxa"/>
            <w:vAlign w:val="bottom"/>
            <w:tcBorders>
              <w:bottom w:val="single" w:sz="8" w:color="CCEEFF"/>
            </w:tcBorders>
            <w:gridSpan w:val="2"/>
            <w:shd w:val="clear" w:color="auto" w:fill="CCEEFF"/>
          </w:tcPr>
          <w:p>
            <w:pPr>
              <w:jc w:val="center"/>
              <w:ind w:right="140"/>
              <w:spacing w:after="0" w:line="129" w:lineRule="exact"/>
              <w:rPr>
                <w:sz w:val="20"/>
                <w:szCs w:val="20"/>
                <w:color w:val="auto"/>
              </w:rPr>
            </w:pPr>
            <w:r>
              <w:rPr>
                <w:rFonts w:ascii="Arial" w:cs="Arial" w:eastAsia="Arial" w:hAnsi="Arial"/>
                <w:sz w:val="13"/>
                <w:szCs w:val="13"/>
                <w:color w:val="auto"/>
                <w:w w:val="96"/>
              </w:rPr>
              <w:t>No</w:t>
            </w:r>
          </w:p>
        </w:tc>
        <w:tc>
          <w:tcPr>
            <w:tcW w:w="6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0.1</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0.1</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0.1</w:t>
            </w:r>
          </w:p>
        </w:tc>
        <w:tc>
          <w:tcPr>
            <w:tcW w:w="1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center"/>
              <w:ind w:right="140"/>
              <w:spacing w:after="0" w:line="129" w:lineRule="exact"/>
              <w:rPr>
                <w:sz w:val="20"/>
                <w:szCs w:val="20"/>
                <w:color w:val="auto"/>
              </w:rPr>
            </w:pPr>
            <w:r>
              <w:rPr>
                <w:rFonts w:ascii="Arial" w:cs="Arial" w:eastAsia="Arial" w:hAnsi="Arial"/>
                <w:sz w:val="13"/>
                <w:szCs w:val="13"/>
                <w:color w:val="auto"/>
                <w:w w:val="96"/>
              </w:rPr>
              <w:t>No</w:t>
            </w:r>
          </w:p>
        </w:tc>
        <w:tc>
          <w:tcPr>
            <w:tcW w:w="58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11/09/2020</w:t>
            </w:r>
          </w:p>
        </w:tc>
        <w:tc>
          <w:tcPr>
            <w:tcW w:w="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center"/>
              <w:spacing w:after="0" w:line="121" w:lineRule="exact"/>
              <w:rPr>
                <w:sz w:val="20"/>
                <w:szCs w:val="20"/>
                <w:color w:val="auto"/>
              </w:rPr>
            </w:pPr>
            <w:r>
              <w:rPr>
                <w:rFonts w:ascii="Arial" w:cs="Arial" w:eastAsia="Arial" w:hAnsi="Arial"/>
                <w:sz w:val="13"/>
                <w:szCs w:val="13"/>
                <w:color w:val="auto"/>
                <w:w w:val="86"/>
              </w:rPr>
              <w:t>13-6100329-</w:t>
            </w:r>
          </w:p>
        </w:tc>
        <w:tc>
          <w:tcPr>
            <w:tcW w:w="140" w:type="dxa"/>
            <w:vAlign w:val="bottom"/>
          </w:tcPr>
          <w:p>
            <w:pPr>
              <w:spacing w:after="0"/>
              <w:rPr>
                <w:sz w:val="10"/>
                <w:szCs w:val="10"/>
                <w:color w:val="auto"/>
              </w:rPr>
            </w:pPr>
          </w:p>
        </w:tc>
        <w:tc>
          <w:tcPr>
            <w:tcW w:w="260" w:type="dxa"/>
            <w:vAlign w:val="bottom"/>
          </w:tcPr>
          <w:p>
            <w:pPr>
              <w:jc w:val="center"/>
              <w:spacing w:after="0" w:line="121" w:lineRule="exact"/>
              <w:rPr>
                <w:sz w:val="20"/>
                <w:szCs w:val="20"/>
                <w:color w:val="auto"/>
              </w:rPr>
            </w:pPr>
            <w:r>
              <w:rPr>
                <w:rFonts w:ascii="Arial" w:cs="Arial" w:eastAsia="Arial" w:hAnsi="Arial"/>
                <w:sz w:val="13"/>
                <w:szCs w:val="13"/>
                <w:color w:val="auto"/>
                <w:w w:val="87"/>
              </w:rPr>
              <w:t>(3)</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gridSpan w:val="3"/>
          </w:tcPr>
          <w:p>
            <w:pPr>
              <w:spacing w:after="0"/>
              <w:rPr>
                <w:sz w:val="20"/>
                <w:szCs w:val="20"/>
                <w:color w:val="auto"/>
              </w:rPr>
            </w:pPr>
            <w:r>
              <w:rPr>
                <w:rFonts w:ascii="Arial" w:cs="Arial" w:eastAsia="Arial" w:hAnsi="Arial"/>
                <w:sz w:val="13"/>
                <w:szCs w:val="13"/>
                <w:color w:val="auto"/>
              </w:rPr>
              <w:t>Seafarers Pension Trust</w:t>
            </w: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001</w:t>
            </w:r>
          </w:p>
        </w:tc>
        <w:tc>
          <w:tcPr>
            <w:tcW w:w="140" w:type="dxa"/>
            <w:vAlign w:val="bottom"/>
          </w:tcPr>
          <w:p>
            <w:pPr>
              <w:spacing w:after="0"/>
              <w:rPr>
                <w:sz w:val="12"/>
                <w:szCs w:val="12"/>
                <w:color w:val="auto"/>
              </w:rPr>
            </w:pPr>
          </w:p>
        </w:tc>
        <w:tc>
          <w:tcPr>
            <w:tcW w:w="260" w:type="dxa"/>
            <w:vAlign w:val="bottom"/>
          </w:tcPr>
          <w:p>
            <w:pPr>
              <w:jc w:val="center"/>
              <w:spacing w:after="0"/>
              <w:rPr>
                <w:sz w:val="20"/>
                <w:szCs w:val="20"/>
                <w:color w:val="auto"/>
              </w:rPr>
            </w:pPr>
            <w:r>
              <w:rPr>
                <w:rFonts w:ascii="Arial" w:cs="Arial" w:eastAsia="Arial" w:hAnsi="Arial"/>
                <w:sz w:val="13"/>
                <w:szCs w:val="13"/>
                <w:color w:val="auto"/>
                <w:w w:val="87"/>
              </w:rPr>
              <w:t>(4)</w:t>
            </w:r>
          </w:p>
        </w:tc>
        <w:tc>
          <w:tcPr>
            <w:tcW w:w="140" w:type="dxa"/>
            <w:vAlign w:val="bottom"/>
          </w:tcPr>
          <w:p>
            <w:pPr>
              <w:spacing w:after="0"/>
              <w:rPr>
                <w:sz w:val="12"/>
                <w:szCs w:val="12"/>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3"/>
                <w:szCs w:val="13"/>
                <w:color w:val="auto"/>
                <w:w w:val="82"/>
              </w:rPr>
              <w:t>Green</w:t>
            </w:r>
          </w:p>
        </w:tc>
        <w:tc>
          <w:tcPr>
            <w:tcW w:w="500" w:type="dxa"/>
            <w:vAlign w:val="bottom"/>
            <w:gridSpan w:val="2"/>
          </w:tcPr>
          <w:p>
            <w:pPr>
              <w:jc w:val="center"/>
              <w:ind w:right="120"/>
              <w:spacing w:after="0"/>
              <w:rPr>
                <w:sz w:val="20"/>
                <w:szCs w:val="20"/>
                <w:color w:val="auto"/>
              </w:rPr>
            </w:pPr>
            <w:r>
              <w:rPr>
                <w:rFonts w:ascii="Arial" w:cs="Arial" w:eastAsia="Arial" w:hAnsi="Arial"/>
                <w:sz w:val="13"/>
                <w:szCs w:val="13"/>
                <w:color w:val="auto"/>
                <w:w w:val="82"/>
              </w:rPr>
              <w:t>Green</w:t>
            </w:r>
          </w:p>
        </w:tc>
        <w:tc>
          <w:tcPr>
            <w:tcW w:w="8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No</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No</w:t>
            </w:r>
          </w:p>
        </w:tc>
        <w:tc>
          <w:tcPr>
            <w:tcW w:w="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rPr>
                <w:sz w:val="20"/>
                <w:szCs w:val="20"/>
                <w:color w:val="auto"/>
              </w:rPr>
            </w:pPr>
            <w:r>
              <w:rPr>
                <w:rFonts w:ascii="Arial" w:cs="Arial" w:eastAsia="Arial" w:hAnsi="Arial"/>
                <w:sz w:val="13"/>
                <w:szCs w:val="13"/>
                <w:color w:val="auto"/>
                <w:w w:val="86"/>
              </w:rPr>
              <w:t>6/30/2022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600" w:type="dxa"/>
            <w:vAlign w:val="bottom"/>
            <w:tcBorders>
              <w:top w:val="single" w:sz="8" w:color="CCEEFF"/>
              <w:bottom w:val="single" w:sz="8" w:color="CCEEFF"/>
            </w:tcBorders>
            <w:gridSpan w:val="3"/>
            <w:shd w:val="clear" w:color="auto" w:fill="CCEEFF"/>
          </w:tcPr>
          <w:p>
            <w:pPr>
              <w:ind w:left="220"/>
              <w:spacing w:after="0" w:line="129" w:lineRule="exact"/>
              <w:rPr>
                <w:sz w:val="20"/>
                <w:szCs w:val="20"/>
                <w:color w:val="auto"/>
              </w:rPr>
            </w:pPr>
            <w:r>
              <w:rPr>
                <w:rFonts w:ascii="Arial" w:cs="Arial" w:eastAsia="Arial" w:hAnsi="Arial"/>
                <w:sz w:val="13"/>
                <w:szCs w:val="13"/>
                <w:color w:val="auto"/>
              </w:rPr>
              <w:t>Total</w:t>
            </w: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3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3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25.5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24.4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22.7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20" w:hanging="317"/>
        <w:spacing w:after="0"/>
        <w:tabs>
          <w:tab w:leader="none" w:pos="320" w:val="left"/>
        </w:tabs>
        <w:numPr>
          <w:ilvl w:val="0"/>
          <w:numId w:val="53"/>
        </w:numPr>
        <w:rPr>
          <w:rFonts w:ascii="Arial" w:cs="Arial" w:eastAsia="Arial" w:hAnsi="Arial"/>
          <w:sz w:val="11"/>
          <w:szCs w:val="11"/>
          <w:color w:val="auto"/>
        </w:rPr>
      </w:pPr>
      <w:r>
        <w:rPr>
          <w:rFonts w:ascii="Arial" w:cs="Arial" w:eastAsia="Arial" w:hAnsi="Arial"/>
          <w:sz w:val="11"/>
          <w:szCs w:val="11"/>
          <w:color w:val="auto"/>
        </w:rPr>
        <w:t>The Plan is not subject to the PPA funding requirements under IRS Section 432 as the Plan was not in effect on July 16, 2006.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p>
      <w:pPr>
        <w:ind w:left="320" w:right="80" w:hanging="317"/>
        <w:spacing w:after="0" w:line="235" w:lineRule="auto"/>
        <w:tabs>
          <w:tab w:leader="none" w:pos="320" w:val="left"/>
        </w:tabs>
        <w:numPr>
          <w:ilvl w:val="0"/>
          <w:numId w:val="54"/>
        </w:numPr>
        <w:rPr>
          <w:rFonts w:ascii="Arial" w:cs="Arial" w:eastAsia="Arial" w:hAnsi="Arial"/>
          <w:sz w:val="11"/>
          <w:szCs w:val="11"/>
          <w:color w:val="auto"/>
        </w:rPr>
      </w:pPr>
      <w:r>
        <w:rPr>
          <w:rFonts w:ascii="Arial" w:cs="Arial" w:eastAsia="Arial" w:hAnsi="Arial"/>
          <w:sz w:val="11"/>
          <w:szCs w:val="11"/>
          <w:color w:val="auto"/>
        </w:rPr>
        <w:t>In 2012, the Company agreed to contribute at least 11.7 percent of total wages paid to employees in covered Marine Engineer Benefits Association (“MEBA”) employment to the MEBA Pension Trust by a reallocation of the total labor cost under the collective bargaining agreement. The pension contribution rate was determined by the plan’s actuary to be necessary to maintain full funding of the pension plan and is fully offset by a reallocation of wages and other benefits.</w:t>
      </w:r>
    </w:p>
    <w:p>
      <w:pPr>
        <w:spacing w:after="0" w:line="1" w:lineRule="exact"/>
        <w:rPr>
          <w:rFonts w:ascii="Arial" w:cs="Arial" w:eastAsia="Arial" w:hAnsi="Arial"/>
          <w:sz w:val="11"/>
          <w:szCs w:val="11"/>
          <w:color w:val="auto"/>
        </w:rPr>
      </w:pPr>
    </w:p>
    <w:p>
      <w:pPr>
        <w:ind w:left="320" w:hanging="317"/>
        <w:spacing w:after="0" w:line="230" w:lineRule="auto"/>
        <w:tabs>
          <w:tab w:leader="none" w:pos="320" w:val="left"/>
        </w:tabs>
        <w:numPr>
          <w:ilvl w:val="0"/>
          <w:numId w:val="54"/>
        </w:numPr>
        <w:rPr>
          <w:rFonts w:ascii="Arial" w:cs="Arial" w:eastAsia="Arial" w:hAnsi="Arial"/>
          <w:sz w:val="11"/>
          <w:szCs w:val="11"/>
          <w:color w:val="auto"/>
        </w:rPr>
      </w:pPr>
      <w:r>
        <w:rPr>
          <w:rFonts w:ascii="Arial" w:cs="Arial" w:eastAsia="Arial" w:hAnsi="Arial"/>
          <w:sz w:val="11"/>
          <w:szCs w:val="11"/>
          <w:color w:val="auto"/>
        </w:rPr>
        <w:t>Matson's contributions to these plans commenced after the acquisition of Horizon on May 29, 2015.</w:t>
      </w:r>
    </w:p>
    <w:p>
      <w:pPr>
        <w:ind w:left="320" w:right="220" w:hanging="317"/>
        <w:spacing w:after="0" w:line="230" w:lineRule="auto"/>
        <w:tabs>
          <w:tab w:leader="none" w:pos="320" w:val="left"/>
        </w:tabs>
        <w:numPr>
          <w:ilvl w:val="0"/>
          <w:numId w:val="54"/>
        </w:numPr>
        <w:rPr>
          <w:rFonts w:ascii="Arial" w:cs="Arial" w:eastAsia="Arial" w:hAnsi="Arial"/>
          <w:sz w:val="11"/>
          <w:szCs w:val="11"/>
          <w:color w:val="auto"/>
        </w:rPr>
      </w:pPr>
      <w:r>
        <w:rPr>
          <w:rFonts w:ascii="Arial" w:cs="Arial" w:eastAsia="Arial" w:hAnsi="Arial"/>
          <w:sz w:val="11"/>
          <w:szCs w:val="11"/>
          <w:color w:val="auto"/>
        </w:rPr>
        <w:t>The Company does not make contributions directly to the Seafarers Pension Plan. Instead, contributions are made to the Seafarers Health and Benefits Plan, and are subsequently re-allocated to the Seafarers Pension Plan at the discretion of the plan Trustee.</w:t>
      </w:r>
    </w:p>
    <w:p>
      <w:pPr>
        <w:ind w:left="320" w:hanging="317"/>
        <w:spacing w:after="0"/>
        <w:tabs>
          <w:tab w:leader="none" w:pos="320" w:val="left"/>
        </w:tabs>
        <w:numPr>
          <w:ilvl w:val="0"/>
          <w:numId w:val="54"/>
        </w:numPr>
        <w:rPr>
          <w:rFonts w:ascii="Arial" w:cs="Arial" w:eastAsia="Arial" w:hAnsi="Arial"/>
          <w:sz w:val="11"/>
          <w:szCs w:val="11"/>
          <w:color w:val="auto"/>
        </w:rPr>
      </w:pPr>
      <w:r>
        <w:rPr>
          <w:rFonts w:ascii="Arial" w:cs="Arial" w:eastAsia="Arial" w:hAnsi="Arial"/>
          <w:sz w:val="11"/>
          <w:szCs w:val="11"/>
          <w:color w:val="auto"/>
        </w:rPr>
        <w:t>Represents the expiration date of the collective bargaining agreement.</w:t>
      </w:r>
    </w:p>
    <w:p>
      <w:pPr>
        <w:spacing w:after="0" w:line="1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also contributes to multi-employer plans that provide post-retirement health and other benefits other than pensions under the terms of collective-bargaining agreements. Benefits provided to active and retired employees and their eligible dependents under these plans include medical, dental, vision and prescription drug. These plans are not subject to the PBGC plan termination and withdrawal liability provisions of ERISA applicable to multi-employer defined benefit pension plans. Contributions to these multi-employer postretirement health and other benefits were $30.0 million, $27.0 million and $22.5 million in 2018, 2017 and 2016, respectively.</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Multi-employer Defined Contribution Plans: </w:t>
      </w:r>
      <w:r>
        <w:rPr>
          <w:rFonts w:ascii="Arial" w:cs="Arial" w:eastAsia="Arial" w:hAnsi="Arial"/>
          <w:sz w:val="18"/>
          <w:szCs w:val="18"/>
          <w:color w:val="auto"/>
        </w:rPr>
        <w:t>The Company contributes to six multi-employer defined contribution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 These plans are not subject to the withdrawal liability provisions of ERISA or the PBGC applicable to multi-employer defined benefit pension plans. Contributions made to these plans by the Company were $4.8 million, $5.0 million and $5.3 million in 2018, 2017 and 2016, respectively.</w:t>
      </w:r>
    </w:p>
    <w:p>
      <w:pPr>
        <w:spacing w:after="0" w:line="399" w:lineRule="exact"/>
        <w:rPr>
          <w:sz w:val="20"/>
          <w:szCs w:val="20"/>
          <w:color w:val="auto"/>
        </w:rPr>
      </w:pPr>
    </w:p>
    <w:p>
      <w:pPr>
        <w:ind w:left="720" w:hanging="717"/>
        <w:spacing w:after="0"/>
        <w:tabs>
          <w:tab w:leader="none" w:pos="7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MULTI-EMPLOYER WITHDRAWAL LIABILITIES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Horizon ceased all of its operations in Puerto Rico during the first quarter of 2015, which resulted in a mass withdrawal from its multi-employer ILA-PRSSA pension fund. The Company assumed this liability as part of the acquisition of Horizon on May 29, 2015. The Company estimated the mass withdrawal liability based upon the required undiscounted quarterly payment of approximately $1.0 million to be paid to the ILA-PRSSA pension fund over a period which ends in March 2040, discounted to present value using the Company’s incremental borrowing rate. Future estimated annual payments to be paid to the ILA-PRSSA pension fund as of December 31, 2018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gridSpan w:val="2"/>
          </w:tcPr>
          <w:p>
            <w:pPr>
              <w:spacing w:after="0"/>
              <w:rPr>
                <w:sz w:val="20"/>
                <w:szCs w:val="20"/>
                <w:color w:val="auto"/>
              </w:rPr>
            </w:pPr>
            <w:r>
              <w:rPr>
                <w:rFonts w:ascii="Arial" w:cs="Arial" w:eastAsia="Arial" w:hAnsi="Arial"/>
                <w:sz w:val="14"/>
                <w:szCs w:val="14"/>
                <w:b w:val="1"/>
                <w:bCs w:val="1"/>
                <w:color w:val="auto"/>
              </w:rPr>
              <w:t>Year (in millions)</w:t>
            </w:r>
          </w:p>
        </w:tc>
        <w:tc>
          <w:tcPr>
            <w:tcW w:w="320" w:type="dxa"/>
            <w:vAlign w:val="bottom"/>
          </w:tcPr>
          <w:p>
            <w:pPr>
              <w:spacing w:after="0"/>
              <w:rPr>
                <w:sz w:val="14"/>
                <w:szCs w:val="14"/>
                <w:color w:val="auto"/>
              </w:rPr>
            </w:pPr>
          </w:p>
        </w:tc>
        <w:tc>
          <w:tcPr>
            <w:tcW w:w="1100" w:type="dxa"/>
            <w:vAlign w:val="bottom"/>
          </w:tcPr>
          <w:p>
            <w:pPr>
              <w:jc w:val="right"/>
              <w:ind w:right="451"/>
              <w:spacing w:after="0"/>
              <w:rPr>
                <w:sz w:val="20"/>
                <w:szCs w:val="20"/>
                <w:color w:val="auto"/>
              </w:rPr>
            </w:pPr>
            <w:r>
              <w:rPr>
                <w:rFonts w:ascii="Arial" w:cs="Arial" w:eastAsia="Arial" w:hAnsi="Arial"/>
                <w:sz w:val="14"/>
                <w:szCs w:val="14"/>
                <w:b w:val="1"/>
                <w:bCs w:val="1"/>
                <w:color w:val="auto"/>
              </w:rPr>
              <w:t>Total</w:t>
            </w:r>
          </w:p>
        </w:tc>
      </w:tr>
      <w:tr>
        <w:trPr>
          <w:trHeight w:val="210"/>
        </w:trPr>
        <w:tc>
          <w:tcPr>
            <w:tcW w:w="7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r>
      <w:tr>
        <w:trPr>
          <w:trHeight w:val="210"/>
        </w:trPr>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remaining future undiscounted payments due to the ILA-PRSSA pension fund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r>
      <w:tr>
        <w:trPr>
          <w:trHeight w:val="216"/>
        </w:trPr>
        <w:tc>
          <w:tcPr>
            <w:tcW w:w="7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amount representing interest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r>
      <w:tr>
        <w:trPr>
          <w:trHeight w:val="210"/>
        </w:trPr>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Present value of multi-employer withdrawal liability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16"/>
        </w:trPr>
        <w:tc>
          <w:tcPr>
            <w:tcW w:w="7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Current portion of multi-employer withdrawal liability (see Note 2)</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17"/>
        </w:trPr>
        <w:tc>
          <w:tcPr>
            <w:tcW w:w="7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portion of multi-employer withdrawal liability (see Note 2)</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Furthermore, the Company assumed a partial withdrawal liability related to the Local 153 Fund of the OPEIU. The partial withdrawal liability resulted from a decline in the number of contribution base units related to the Local 153 Fund caused by Horizon terminating all of its operations in Puerto Rico during the first quarter of 2015. The Company included the estimated partial withdrawal liability of $6.7 million within accruals and other liabilities in the Consolidated Balance Sheet as of December 31, 2018, based upon the expected timing of the payment. The same amount was included in long-term liabilities in the Consolidated Balance Sheet as of December 31, 2017.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880" w:hanging="877"/>
        <w:spacing w:after="0"/>
        <w:tabs>
          <w:tab w:leader="none" w:pos="8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income (loss) by component, net of tax,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Post-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Pension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Qualified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4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Retirement</w:t>
            </w:r>
          </w:p>
        </w:tc>
        <w:tc>
          <w:tcPr>
            <w:tcW w:w="8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w:t>
            </w:r>
          </w:p>
        </w:tc>
        <w:tc>
          <w:tcPr>
            <w:tcW w:w="102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Benefits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Benefits</w:t>
            </w:r>
          </w:p>
        </w:tc>
        <w:tc>
          <w:tcPr>
            <w:tcW w:w="8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Benefits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(41.4)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120"/>
              <w:spacing w:after="0"/>
              <w:rPr>
                <w:sz w:val="20"/>
                <w:szCs w:val="20"/>
                <w:color w:val="auto"/>
              </w:rPr>
            </w:pPr>
            <w:r>
              <w:rPr>
                <w:rFonts w:ascii="Arial" w:cs="Arial" w:eastAsia="Arial" w:hAnsi="Arial"/>
                <w:sz w:val="18"/>
                <w:szCs w:val="18"/>
                <w:color w:val="auto"/>
              </w:rPr>
              <w:t>Net gain in prior service costs</w:t>
            </w: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120"/>
              <w:spacing w:after="0"/>
              <w:rPr>
                <w:sz w:val="20"/>
                <w:szCs w:val="20"/>
                <w:color w:val="auto"/>
              </w:rPr>
            </w:pPr>
            <w:r>
              <w:rPr>
                <w:rFonts w:ascii="Arial" w:cs="Arial" w:eastAsia="Arial" w:hAnsi="Arial"/>
                <w:sz w:val="18"/>
                <w:szCs w:val="18"/>
                <w:color w:val="auto"/>
              </w:rPr>
              <w:t>Amortization of net loss (gain)</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gridSpan w:val="2"/>
          </w:tcPr>
          <w:p>
            <w:pPr>
              <w:spacing w:after="0"/>
              <w:rPr>
                <w:sz w:val="20"/>
                <w:szCs w:val="20"/>
                <w:color w:val="auto"/>
              </w:rPr>
            </w:pPr>
            <w:r>
              <w:rPr>
                <w:rFonts w:ascii="Arial" w:cs="Arial" w:eastAsia="Arial" w:hAnsi="Arial"/>
                <w:sz w:val="18"/>
                <w:szCs w:val="18"/>
                <w:color w:val="auto"/>
              </w:rPr>
              <w:t>Balance at December 31, 2017</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Reclassification adjustment related to the Tax Act (1)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cost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 (gain)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Balance at December 31, 2018</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(55.8)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280" w:type="dxa"/>
            <w:vAlign w:val="bottom"/>
            <w:tcBorders>
              <w:bottom w:val="single" w:sz="8" w:color="auto"/>
            </w:tcBorders>
          </w:tcPr>
          <w:p>
            <w:pPr>
              <w:spacing w:after="0"/>
              <w:rPr>
                <w:sz w:val="10"/>
                <w:szCs w:val="10"/>
                <w:color w:val="auto"/>
              </w:rPr>
            </w:pPr>
          </w:p>
        </w:tc>
        <w:tc>
          <w:tcPr>
            <w:tcW w:w="2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160" w:hanging="317"/>
        <w:spacing w:after="0" w:line="253" w:lineRule="auto"/>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Reclassification from accumulated other comprehensive income (loss) to retained earnings for the remeasurement tax effects resulting from applying the Tax Act in accordance with ASU 2018-02.</w:t>
      </w:r>
    </w:p>
    <w:p>
      <w:pPr>
        <w:spacing w:after="0" w:line="16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Other comprehensive income (loss) in the Consolidated Statements of Income and Comprehensive Income are shown net of tax benefit (expense) of $0.2 million, $(4.4) million and $(14.2) million for the years ended December 2018, 2017, and 2016, respectively.</w:t>
      </w:r>
    </w:p>
    <w:p>
      <w:pPr>
        <w:spacing w:after="0" w:line="380" w:lineRule="exact"/>
        <w:rPr>
          <w:sz w:val="20"/>
          <w:szCs w:val="20"/>
          <w:color w:val="auto"/>
        </w:rPr>
      </w:pPr>
    </w:p>
    <w:p>
      <w:pPr>
        <w:ind w:left="880" w:hanging="877"/>
        <w:spacing w:after="0"/>
        <w:tabs>
          <w:tab w:leader="none" w:pos="8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PER-SHARE</w:t>
      </w:r>
    </w:p>
    <w:p>
      <w:pPr>
        <w:spacing w:after="0" w:line="229"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Basic earnings per share are determined by dividing net income by the weighted-average common shares outstanding during the year. The calculation of diluted earnings per share includes the dilutive effect of unexercised non-qualified stock options and non-vested stock units. The computation of weighted average dilutive shares outstanding excluded a nominal amount of anti-dilutive non-qualified stock options for each of the years 2018, 2017, and 2016.</w:t>
      </w:r>
    </w:p>
    <w:p>
      <w:pPr>
        <w:spacing w:after="0" w:line="15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denominator used to compute basic and diluted earnings per share for the years ended December 31, 2018, 2017 and 2016 are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6"/>
              </w:rPr>
              <w:t>Year Ended December 31, 2018</w:t>
            </w:r>
          </w:p>
        </w:tc>
        <w:tc>
          <w:tcPr>
            <w:tcW w:w="140" w:type="dxa"/>
            <w:vAlign w:val="bottom"/>
          </w:tcPr>
          <w:p>
            <w:pPr>
              <w:spacing w:after="0"/>
              <w:rPr>
                <w:sz w:val="14"/>
                <w:szCs w:val="14"/>
                <w:color w:val="auto"/>
              </w:rPr>
            </w:pPr>
          </w:p>
        </w:tc>
        <w:tc>
          <w:tcPr>
            <w:tcW w:w="19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6"/>
              </w:rPr>
              <w:t>Year Ended December 31, 2017</w:t>
            </w:r>
          </w:p>
        </w:tc>
        <w:tc>
          <w:tcPr>
            <w:tcW w:w="140" w:type="dxa"/>
            <w:vAlign w:val="bottom"/>
          </w:tcPr>
          <w:p>
            <w:pPr>
              <w:spacing w:after="0"/>
              <w:rPr>
                <w:sz w:val="14"/>
                <w:szCs w:val="14"/>
                <w:color w:val="auto"/>
              </w:rPr>
            </w:pPr>
          </w:p>
        </w:tc>
        <w:tc>
          <w:tcPr>
            <w:tcW w:w="192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6"/>
              </w:rPr>
              <w:t>Year Ended December 31, 2016</w:t>
            </w:r>
          </w:p>
        </w:tc>
      </w:tr>
      <w:tr>
        <w:trPr>
          <w:trHeight w:val="129"/>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Per</w:t>
            </w:r>
          </w:p>
        </w:tc>
        <w:tc>
          <w:tcPr>
            <w:tcW w:w="1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8"/>
              </w:rPr>
              <w:t>Per</w:t>
            </w:r>
          </w:p>
        </w:tc>
        <w:tc>
          <w:tcPr>
            <w:tcW w:w="1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8"/>
              </w:rPr>
              <w:t>Per</w:t>
            </w:r>
          </w:p>
        </w:tc>
        <w:tc>
          <w:tcPr>
            <w:tcW w:w="60" w:type="dxa"/>
            <w:vAlign w:val="bottom"/>
          </w:tcPr>
          <w:p>
            <w:pPr>
              <w:spacing w:after="0"/>
              <w:rPr>
                <w:sz w:val="11"/>
                <w:szCs w:val="11"/>
                <w:color w:val="auto"/>
              </w:rPr>
            </w:pPr>
          </w:p>
        </w:tc>
      </w:tr>
      <w:tr>
        <w:trPr>
          <w:trHeight w:val="149"/>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c>
          <w:tcPr>
            <w:tcW w:w="6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Common</w:t>
            </w:r>
          </w:p>
        </w:tc>
      </w:tr>
      <w:tr>
        <w:trPr>
          <w:trHeight w:val="149"/>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Net</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7"/>
              </w:rPr>
              <w:t>Share</w:t>
            </w:r>
          </w:p>
        </w:tc>
        <w:tc>
          <w:tcPr>
            <w:tcW w:w="14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Net</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7"/>
              </w:rPr>
              <w:t>Share</w:t>
            </w:r>
          </w:p>
        </w:tc>
        <w:tc>
          <w:tcPr>
            <w:tcW w:w="14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Net</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Share</w:t>
            </w:r>
          </w:p>
        </w:tc>
      </w:tr>
      <w:tr>
        <w:trPr>
          <w:trHeight w:val="161"/>
        </w:trPr>
        <w:tc>
          <w:tcPr>
            <w:tcW w:w="2900" w:type="dxa"/>
            <w:vAlign w:val="bottom"/>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12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Income</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4"/>
                <w:szCs w:val="1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Income</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Income</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4"/>
                <w:szCs w:val="14"/>
                <w:color w:val="auto"/>
              </w:rPr>
            </w:pPr>
          </w:p>
        </w:tc>
        <w:tc>
          <w:tcPr>
            <w:tcW w:w="6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Amount</w:t>
            </w:r>
          </w:p>
        </w:tc>
      </w:tr>
      <w:tr>
        <w:trPr>
          <w:trHeight w:val="210"/>
        </w:trPr>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$109.0</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$231.0</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$ 81.4</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Dilutive Securities:</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(0.02)</w:t>
            </w: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(0.03)</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(0.02)</w:t>
            </w:r>
          </w:p>
        </w:tc>
        <w:tc>
          <w:tcPr>
            <w:tcW w:w="60" w:type="dxa"/>
            <w:vAlign w:val="bottom"/>
            <w:tcBorders>
              <w:bottom w:val="single" w:sz="8" w:color="CCEEFF"/>
            </w:tcBorders>
          </w:tcPr>
          <w:p>
            <w:pPr>
              <w:spacing w:after="0"/>
              <w:rPr>
                <w:sz w:val="18"/>
                <w:szCs w:val="18"/>
                <w:color w:val="auto"/>
              </w:rPr>
            </w:pPr>
          </w:p>
        </w:tc>
      </w:tr>
      <w:tr>
        <w:trPr>
          <w:trHeight w:val="217"/>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109.0</w:t>
            </w: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231.0</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$ 81.4</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27" w:lineRule="exact"/>
        <w:rPr>
          <w:sz w:val="20"/>
          <w:szCs w:val="20"/>
          <w:color w:val="auto"/>
        </w:rPr>
      </w:pPr>
    </w:p>
    <w:p>
      <w:pPr>
        <w:ind w:left="720" w:hanging="717"/>
        <w:spacing w:after="0"/>
        <w:tabs>
          <w:tab w:leader="none" w:pos="7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share-based compensation plans which are described as follows:</w:t>
      </w:r>
    </w:p>
    <w:p>
      <w:pPr>
        <w:spacing w:after="0" w:line="22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2016 Incentive Compensation Plan: </w:t>
      </w:r>
      <w:r>
        <w:rPr>
          <w:rFonts w:ascii="Arial" w:cs="Arial" w:eastAsia="Arial" w:hAnsi="Arial"/>
          <w:sz w:val="17"/>
          <w:szCs w:val="17"/>
          <w:color w:val="auto"/>
        </w:rPr>
        <w:t>The 2016 Incentive Compensation Plan (the “2016 Plan”) serves as a successor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2007 Incentive Compensation Plan and all other predecessor plans. No further grants will be made under the predecessor stock option plans. Under the 2016 Plan, 2.5 million shares of common stock were reserved for issuance. Shareholders approved the 2016 Plan at the 2016 Annual Meeting of Shareholders.</w:t>
      </w:r>
    </w:p>
    <w:p>
      <w:pPr>
        <w:spacing w:after="0" w:line="171" w:lineRule="exact"/>
        <w:rPr>
          <w:sz w:val="20"/>
          <w:szCs w:val="20"/>
          <w:color w:val="auto"/>
        </w:rPr>
      </w:pPr>
    </w:p>
    <w:p>
      <w:pPr>
        <w:ind w:right="160"/>
        <w:spacing w:after="0" w:line="224" w:lineRule="exact"/>
        <w:rPr>
          <w:sz w:val="20"/>
          <w:szCs w:val="20"/>
          <w:color w:val="auto"/>
        </w:rPr>
      </w:pPr>
      <w:r>
        <w:rPr>
          <w:rFonts w:ascii="Arial" w:cs="Arial" w:eastAsia="Arial" w:hAnsi="Arial"/>
          <w:sz w:val="17"/>
          <w:szCs w:val="17"/>
          <w:color w:val="auto"/>
        </w:rPr>
        <w:t>The 2016 Plan consists of four separate incentive compensation programs: (i) the discretionary grant program, (ii) the stock issuance program, (iii) the incentive bonus program and (iv) the automatic grant program for the non</w:t>
      </w:r>
      <w:r>
        <w:rPr>
          <w:rFonts w:ascii="MS PGothic" w:cs="MS PGothic" w:eastAsia="MS PGothic" w:hAnsi="MS PGothic"/>
          <w:sz w:val="17"/>
          <w:szCs w:val="17"/>
          <w:color w:val="auto"/>
        </w:rPr>
        <w:t>‑</w:t>
      </w:r>
      <w:r>
        <w:rPr>
          <w:rFonts w:ascii="Arial" w:cs="Arial" w:eastAsia="Arial" w:hAnsi="Arial"/>
          <w:sz w:val="17"/>
          <w:szCs w:val="17"/>
          <w:color w:val="auto"/>
        </w:rPr>
        <w:t>employee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members of the Company’s Board of Directors. Share-based compensation is generally awarded under three of the four programs, as more fully described below.</w:t>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Discretionary Grant Program </w:t>
      </w:r>
      <w:r>
        <w:rPr>
          <w:rFonts w:ascii="Arial" w:cs="Arial" w:eastAsia="Arial" w:hAnsi="Arial"/>
          <w:sz w:val="18"/>
          <w:szCs w:val="18"/>
          <w:color w:val="auto"/>
        </w:rPr>
        <w:t>— Under the Discretionary Grant Program, stock options may be granted with an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no less than 100 percent of the fair market value (defined as the closing market price) of the Company’s common stock on the date of the grant. Options generally become exercisable ratably over three years and have a maximum contractual term of 10 years.</w:t>
      </w:r>
    </w:p>
    <w:p>
      <w:pPr>
        <w:spacing w:after="0" w:line="1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Stock Issuance Program </w:t>
      </w:r>
      <w:r>
        <w:rPr>
          <w:rFonts w:ascii="Arial" w:cs="Arial" w:eastAsia="Arial" w:hAnsi="Arial"/>
          <w:sz w:val="18"/>
          <w:szCs w:val="18"/>
          <w:color w:val="auto"/>
        </w:rPr>
        <w:t>— Under the Stock Issuance Program, shares of common stock, restricted stock units 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shares may be granted. Time-based equity awards generally vest ratably over three years. Provided certain three-year performance targets are achieved, performance-based equity awards generally vest on the three-year anniversary date of the grant.</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Automatic Grant Program </w:t>
      </w:r>
      <w:r>
        <w:rPr>
          <w:rFonts w:ascii="Arial" w:cs="Arial" w:eastAsia="Arial" w:hAnsi="Arial"/>
          <w:sz w:val="18"/>
          <w:szCs w:val="18"/>
          <w:color w:val="auto"/>
        </w:rPr>
        <w:t>— At each annual shareholder meeting, non-employee directors will receive an award of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units that entitle the holder to an equivalent number of shares of common stock upon vesting, under the automatic grant program. Awards of restricted stock units granted under the program generally vest on the one-year anniversary of the grant date.</w:t>
      </w:r>
    </w:p>
    <w:p>
      <w:pPr>
        <w:spacing w:after="0" w:line="9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shares of common stock authorized to be issued under the 2016 Plan may be drawn from shares of the Company’s authorized but unissued common stock or from shares of its common stock that the Company acquires, including shares purchased on the open market or in private transactions.</w:t>
      </w:r>
    </w:p>
    <w:p>
      <w:pPr>
        <w:spacing w:after="0" w:line="87"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Share-based compensation expense and other information related to share-based awards for the years ended December 31, 2018, 2017 and 2016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Share-based compensation expense, net of estimated forfeitures (in millions)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8"/>
          </w:tcPr>
          <w:p>
            <w:pPr>
              <w:ind w:left="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Intrinsic value of options exercised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Tax benefit realized upon stock vesting</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Fair value of stock vested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December 31, 2018, there was no unrecognized compensation cost related to non-vested stock options. As of December 31, 2018, unrecognized compensation cost related to non-vested restricted stock units and performance-based equity awards were $11.6 million. Unrecognized compensation cost is expected to be recognized over a weighted average period of approximately 1.7 years.</w:t>
      </w:r>
    </w:p>
    <w:p>
      <w:pPr>
        <w:spacing w:after="0" w:line="92"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Activity in the Company’s stock option plans for the year ended December 31, 2018, was as follows (in thousands, except weighted average exercise price and weighted average contractual life):</w:t>
      </w:r>
    </w:p>
    <w:tbl>
      <w:tblPr>
        <w:tblLayout w:type="fixed"/>
        <w:tblInd w:w="0" w:type="dxa"/>
        <w:tblCellMar>
          <w:top w:w="0" w:type="dxa"/>
          <w:left w:w="0" w:type="dxa"/>
          <w:bottom w:w="0" w:type="dxa"/>
          <w:right w:w="0" w:type="dxa"/>
        </w:tblCellMar>
      </w:tblPr>
      <w:tr>
        <w:trPr>
          <w:trHeight w:val="141"/>
        </w:trPr>
        <w:tc>
          <w:tcPr>
            <w:tcW w:w="5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right"/>
              <w:ind w:right="240"/>
              <w:spacing w:after="0" w:line="141" w:lineRule="exact"/>
              <w:rPr>
                <w:sz w:val="20"/>
                <w:szCs w:val="20"/>
                <w:color w:val="auto"/>
              </w:rPr>
            </w:pPr>
            <w:r>
              <w:rPr>
                <w:rFonts w:ascii="Arial" w:cs="Arial" w:eastAsia="Arial" w:hAnsi="Arial"/>
                <w:sz w:val="14"/>
                <w:szCs w:val="14"/>
                <w:b w:val="1"/>
                <w:bCs w:val="1"/>
                <w:color w:val="auto"/>
                <w:w w:val="98"/>
              </w:rPr>
              <w:t>Weighted</w:t>
            </w:r>
          </w:p>
        </w:tc>
        <w:tc>
          <w:tcPr>
            <w:tcW w:w="7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2"/>
                <w:szCs w:val="12"/>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2007 Plan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96"/>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Exercised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gridSpan w:val="2"/>
          </w:tcPr>
          <w:p>
            <w:pPr>
              <w:spacing w:after="0" w:line="203" w:lineRule="exact"/>
              <w:rPr>
                <w:sz w:val="20"/>
                <w:szCs w:val="20"/>
                <w:color w:val="auto"/>
              </w:rPr>
            </w:pPr>
            <w:r>
              <w:rPr>
                <w:rFonts w:ascii="Arial" w:cs="Arial" w:eastAsia="Arial" w:hAnsi="Arial"/>
                <w:sz w:val="18"/>
                <w:szCs w:val="18"/>
                <w:color w:val="auto"/>
              </w:rPr>
              <w:t>Exercisable at December 31, 2018</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196</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21.81</w:t>
            </w:r>
          </w:p>
        </w:tc>
        <w:tc>
          <w:tcPr>
            <w:tcW w:w="180" w:type="dxa"/>
            <w:vAlign w:val="bottom"/>
          </w:tcPr>
          <w:p>
            <w:pPr>
              <w:spacing w:after="0"/>
              <w:rPr>
                <w:sz w:val="18"/>
                <w:szCs w:val="18"/>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2.6</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1,998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 following table summarizes non-vested restricted stock unit activity through December 31, 2018, (in thousands, except weighted average grant-date fair value amounts):</w:t>
      </w:r>
    </w:p>
    <w:tbl>
      <w:tblPr>
        <w:tblLayout w:type="fixed"/>
        <w:tblInd w:w="0" w:type="dxa"/>
        <w:tblCellMar>
          <w:top w:w="0" w:type="dxa"/>
          <w:left w:w="0" w:type="dxa"/>
          <w:bottom w:w="0" w:type="dxa"/>
          <w:right w:w="0" w:type="dxa"/>
        </w:tblCellMar>
      </w:tblPr>
      <w:tr>
        <w:trPr>
          <w:trHeight w:val="141"/>
        </w:trPr>
        <w:tc>
          <w:tcPr>
            <w:tcW w:w="22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5"/>
              </w:rPr>
              <w:t>2007 Plan</w:t>
            </w:r>
          </w:p>
        </w:tc>
        <w:tc>
          <w:tcPr>
            <w:tcW w:w="88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2"/>
              </w:rPr>
              <w:t>2016 Plan</w:t>
            </w:r>
          </w:p>
        </w:tc>
        <w:tc>
          <w:tcPr>
            <w:tcW w:w="7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60"/>
              <w:spacing w:after="0" w:line="141" w:lineRule="exact"/>
              <w:rPr>
                <w:sz w:val="20"/>
                <w:szCs w:val="20"/>
                <w:color w:val="auto"/>
              </w:rPr>
            </w:pPr>
            <w:r>
              <w:rPr>
                <w:rFonts w:ascii="Arial" w:cs="Arial" w:eastAsia="Arial" w:hAnsi="Arial"/>
                <w:sz w:val="14"/>
                <w:szCs w:val="14"/>
                <w:b w:val="1"/>
                <w:bCs w:val="1"/>
                <w:color w:val="auto"/>
              </w:rPr>
              <w:t>Weighted</w:t>
            </w:r>
          </w:p>
        </w:tc>
      </w:tr>
      <w:tr>
        <w:trPr>
          <w:trHeight w:val="149"/>
        </w:trPr>
        <w:tc>
          <w:tcPr>
            <w:tcW w:w="22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Average Grant-</w:t>
            </w:r>
          </w:p>
        </w:tc>
      </w:tr>
      <w:tr>
        <w:trPr>
          <w:trHeight w:val="171"/>
        </w:trPr>
        <w:tc>
          <w:tcPr>
            <w:tcW w:w="22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Stock Units</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 Units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1200" w:type="dxa"/>
            <w:vAlign w:val="bottom"/>
            <w:gridSpan w:val="4"/>
          </w:tcPr>
          <w:p>
            <w:pPr>
              <w:ind w:left="160"/>
              <w:spacing w:after="0"/>
              <w:rPr>
                <w:sz w:val="20"/>
                <w:szCs w:val="20"/>
                <w:color w:val="auto"/>
              </w:rPr>
            </w:pPr>
            <w:r>
              <w:rPr>
                <w:rFonts w:ascii="Arial" w:cs="Arial" w:eastAsia="Arial" w:hAnsi="Arial"/>
                <w:sz w:val="14"/>
                <w:szCs w:val="14"/>
                <w:b w:val="1"/>
                <w:bCs w:val="1"/>
                <w:color w:val="auto"/>
              </w:rPr>
              <w:t>Date Fair Value</w:t>
            </w:r>
          </w:p>
        </w:tc>
      </w:tr>
      <w:tr>
        <w:trPr>
          <w:trHeight w:val="210"/>
        </w:trPr>
        <w:tc>
          <w:tcPr>
            <w:tcW w:w="5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gridSpan w:val="3"/>
          </w:tcPr>
          <w:p>
            <w:pPr>
              <w:ind w:left="220"/>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384</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31.15</w:t>
            </w: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Settlement of Performance Shares (1)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ind w:left="220"/>
              <w:spacing w:after="0"/>
              <w:rPr>
                <w:sz w:val="20"/>
                <w:szCs w:val="20"/>
                <w:color w:val="auto"/>
              </w:rPr>
            </w:pPr>
            <w:r>
              <w:rPr>
                <w:rFonts w:ascii="Arial" w:cs="Arial" w:eastAsia="Arial" w:hAnsi="Arial"/>
                <w:sz w:val="18"/>
                <w:szCs w:val="18"/>
                <w:color w:val="auto"/>
              </w:rPr>
              <w:t>Vested</w:t>
            </w:r>
          </w:p>
        </w:tc>
        <w:tc>
          <w:tcPr>
            <w:tcW w:w="70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36.24</w:t>
            </w: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Canceled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80" w:type="dxa"/>
            <w:vAlign w:val="bottom"/>
            <w:shd w:val="clear" w:color="auto" w:fill="CCEEFF"/>
          </w:tcPr>
          <w:p>
            <w:pPr>
              <w:spacing w:after="0"/>
              <w:rPr>
                <w:sz w:val="18"/>
                <w:szCs w:val="18"/>
                <w:color w:val="auto"/>
              </w:rPr>
            </w:pPr>
          </w:p>
        </w:tc>
      </w:tr>
      <w:tr>
        <w:trPr>
          <w:trHeight w:val="217"/>
        </w:trPr>
        <w:tc>
          <w:tcPr>
            <w:tcW w:w="5400" w:type="dxa"/>
            <w:vAlign w:val="bottom"/>
            <w:gridSpan w:val="3"/>
          </w:tcPr>
          <w:p>
            <w:pPr>
              <w:spacing w:after="0"/>
              <w:rPr>
                <w:sz w:val="20"/>
                <w:szCs w:val="20"/>
                <w:color w:val="auto"/>
              </w:rPr>
            </w:pPr>
            <w:r>
              <w:rPr>
                <w:rFonts w:ascii="Arial" w:cs="Arial" w:eastAsia="Arial" w:hAnsi="Arial"/>
                <w:sz w:val="18"/>
                <w:szCs w:val="18"/>
                <w:color w:val="auto"/>
              </w:rPr>
              <w:t>Outstanding at December 31, 2018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33.92</w:t>
            </w:r>
          </w:p>
        </w:tc>
        <w:tc>
          <w:tcPr>
            <w:tcW w:w="80" w:type="dxa"/>
            <w:vAlign w:val="bottom"/>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89" w:lineRule="exact"/>
        <w:rPr>
          <w:sz w:val="20"/>
          <w:szCs w:val="20"/>
          <w:color w:val="auto"/>
        </w:rPr>
      </w:pPr>
    </w:p>
    <w:p>
      <w:pPr>
        <w:ind w:left="320" w:hanging="317"/>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2015 Performance Shares paid out above target.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80" w:hanging="877"/>
        <w:spacing w:after="0"/>
        <w:tabs>
          <w:tab w:leader="none" w:pos="8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uses Level 1 inputs for the fair values of its cash, cash equivalents and restricted cash, and Level 2 inputs for its capital construction fund – cash on deposit, and variable and fixed rate debt. The fair values of cash, cash equivalents and restricted cash, and variable rate debt approximate their carrying values due to the nature of the instruments. The fair value of fixed rate debt is calculated based upon interest rates available for debt with terms and maturities similar to the Company’s existing debt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and fair value of the Company’s financial instruments as of December 31, 2018 and 2017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4"/>
                <w:szCs w:val="14"/>
                <w:color w:val="auto"/>
              </w:rPr>
            </w:pPr>
          </w:p>
        </w:tc>
        <w:tc>
          <w:tcPr>
            <w:tcW w:w="94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80" w:type="dxa"/>
            <w:vAlign w:val="bottom"/>
          </w:tcPr>
          <w:p>
            <w:pPr>
              <w:spacing w:after="0"/>
              <w:rPr>
                <w:sz w:val="12"/>
                <w:szCs w:val="12"/>
                <w:color w:val="auto"/>
              </w:rPr>
            </w:pPr>
          </w:p>
        </w:tc>
        <w:tc>
          <w:tcPr>
            <w:tcW w:w="94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5"/>
              </w:rPr>
              <w:t>Carrying Value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920" w:type="dxa"/>
            <w:vAlign w:val="bottom"/>
            <w:vMerge w:val="restart"/>
          </w:tcPr>
          <w:p>
            <w:pPr>
              <w:jc w:val="center"/>
              <w:ind w:right="212"/>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2"/>
                <w:szCs w:val="12"/>
                <w:color w:val="auto"/>
              </w:rPr>
            </w:pPr>
          </w:p>
        </w:tc>
        <w:tc>
          <w:tcPr>
            <w:tcW w:w="9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29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240" w:type="dxa"/>
            <w:vAlign w:val="bottom"/>
            <w:tcBorders>
              <w:top w:val="single" w:sz="8" w:color="auto"/>
              <w:bottom w:val="single" w:sz="8" w:color="auto"/>
            </w:tcBorders>
            <w:gridSpan w:val="7"/>
          </w:tcPr>
          <w:p>
            <w:pPr>
              <w:ind w:left="540"/>
              <w:spacing w:after="0" w:line="142" w:lineRule="exact"/>
              <w:rPr>
                <w:sz w:val="20"/>
                <w:szCs w:val="20"/>
                <w:color w:val="auto"/>
              </w:rPr>
            </w:pPr>
            <w:r>
              <w:rPr>
                <w:rFonts w:ascii="Arial" w:cs="Arial" w:eastAsia="Arial" w:hAnsi="Arial"/>
                <w:sz w:val="14"/>
                <w:szCs w:val="14"/>
                <w:b w:val="1"/>
                <w:bCs w:val="1"/>
                <w:color w:val="auto"/>
              </w:rPr>
              <w:t>Fair Value Measurements at December 31, 2018</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19.6</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235.0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235.0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Fixed rate debt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621.4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584.5</w:t>
            </w:r>
          </w:p>
        </w:tc>
        <w:tc>
          <w:tcPr>
            <w:tcW w:w="30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584.5</w:t>
            </w:r>
          </w:p>
        </w:tc>
        <w:tc>
          <w:tcPr>
            <w:tcW w:w="240" w:type="dxa"/>
            <w:vAlign w:val="bottom"/>
          </w:tcPr>
          <w:p>
            <w:pPr>
              <w:spacing w:after="0"/>
              <w:rPr>
                <w:sz w:val="20"/>
                <w:szCs w:val="20"/>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29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2017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gridSpan w:val="8"/>
          </w:tcPr>
          <w:p>
            <w:pPr>
              <w:ind w:left="560"/>
              <w:spacing w:after="0"/>
              <w:rPr>
                <w:sz w:val="20"/>
                <w:szCs w:val="20"/>
                <w:color w:val="auto"/>
              </w:rPr>
            </w:pPr>
            <w:r>
              <w:rPr>
                <w:rFonts w:ascii="Arial" w:cs="Arial" w:eastAsia="Arial" w:hAnsi="Arial"/>
                <w:sz w:val="14"/>
                <w:szCs w:val="14"/>
                <w:b w:val="1"/>
                <w:bCs w:val="1"/>
                <w:color w:val="auto"/>
              </w:rPr>
              <w:t>Fair Value Measurements at December 31, 2017</w:t>
            </w:r>
          </w:p>
        </w:tc>
        <w:tc>
          <w:tcPr>
            <w:tcW w:w="0" w:type="dxa"/>
            <w:vAlign w:val="bottom"/>
          </w:tcPr>
          <w:p>
            <w:pPr>
              <w:spacing w:after="0"/>
              <w:rPr>
                <w:sz w:val="1"/>
                <w:szCs w:val="1"/>
                <w:color w:val="auto"/>
              </w:rPr>
            </w:pPr>
          </w:p>
        </w:tc>
      </w:tr>
      <w:tr>
        <w:trPr>
          <w:trHeight w:val="210"/>
        </w:trPr>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CCF – cash on deposit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205.0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Fixed rate debt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652.1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651.4</w:t>
            </w:r>
          </w:p>
        </w:tc>
        <w:tc>
          <w:tcPr>
            <w:tcW w:w="30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651.4</w:t>
            </w:r>
          </w:p>
        </w:tc>
        <w:tc>
          <w:tcPr>
            <w:tcW w:w="240" w:type="dxa"/>
            <w:vAlign w:val="bottom"/>
          </w:tcPr>
          <w:p>
            <w:pPr>
              <w:spacing w:after="0"/>
              <w:rPr>
                <w:sz w:val="20"/>
                <w:szCs w:val="20"/>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720" w:hanging="717"/>
        <w:spacing w:after="0"/>
        <w:tabs>
          <w:tab w:leader="none" w:pos="7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Commitments and contractual obligations, excluding debt obligations (see Note 8), lease commitments (see Note 9), pension and post-retirement plan commitments, and multi-employer bargaining plan withdrawal obligations (see Note 11 and 12), are as follows as of December 31,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20"/>
                <w:szCs w:val="20"/>
                <w:color w:val="auto"/>
              </w:rPr>
            </w:pPr>
            <w:r>
              <w:rPr>
                <w:rFonts w:ascii="Arial" w:cs="Arial" w:eastAsia="Arial" w:hAnsi="Arial"/>
                <w:sz w:val="14"/>
                <w:szCs w:val="14"/>
                <w:b w:val="1"/>
                <w:bCs w:val="1"/>
                <w:color w:val="auto"/>
              </w:rPr>
              <w:t>Commitments and Contractual Obligations (in millions)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210"/>
        </w:trPr>
        <w:tc>
          <w:tcPr>
            <w:tcW w:w="7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Standby letters of credit (1)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Bonds (2)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33.3</w:t>
            </w:r>
          </w:p>
        </w:tc>
        <w:tc>
          <w:tcPr>
            <w:tcW w:w="14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Vessel construction obligations (3)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140" w:type="dxa"/>
            <w:vAlign w:val="bottom"/>
            <w:shd w:val="clear" w:color="auto" w:fill="CCEEFF"/>
          </w:tcPr>
          <w:p>
            <w:pPr>
              <w:spacing w:after="0"/>
              <w:rPr>
                <w:sz w:val="18"/>
                <w:szCs w:val="18"/>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Vendor and other obligations (4)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6" w:lineRule="exact"/>
        <w:rPr>
          <w:sz w:val="20"/>
          <w:szCs w:val="20"/>
          <w:color w:val="auto"/>
        </w:rPr>
      </w:pPr>
    </w:p>
    <w:p>
      <w:pPr>
        <w:ind w:left="320" w:hanging="317"/>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Standby letters of credit are required for the Company’s uninsured workers’ compensation and other insurance programs, and other needs.</w:t>
      </w:r>
    </w:p>
    <w:p>
      <w:pPr>
        <w:ind w:left="320" w:hanging="317"/>
        <w:spacing w:after="0" w:line="221" w:lineRule="auto"/>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Bonds are required for U.S. Customs and other related matters.</w:t>
      </w:r>
    </w:p>
    <w:p>
      <w:pPr>
        <w:ind w:left="320" w:hanging="317"/>
        <w:spacing w:after="0" w:line="221" w:lineRule="auto"/>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Vessel construction obligations represent remaining contractual obligations entered into for the construction of new vessels.</w:t>
      </w:r>
    </w:p>
    <w:p>
      <w:pPr>
        <w:ind w:left="320" w:right="200" w:hanging="317"/>
        <w:spacing w:after="0" w:line="237" w:lineRule="auto"/>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Vendor and other obligations include: (i) non-cancellable contractual capital project obligations (excluding vessel construction obligations); (ii) dry-docking related obligations; and (iii) other contractual obligations.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amounts are not recorded on the Company’s Consolidated Balance Sheets and it is not expected that the Company or its subsidiaries will be called upon to advance funds under these commitments.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Contingencies and other litigation related matters are described as follows:</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Environmental Matters: The Company’s Ocean Transportation segment has certain risks that could result in expenditures for environmental remediation. The Company believes that based on all information available to it, the Company is currently in compliance, in all material respects, with applicable environmental laws and regulations.</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Matters: 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264" w:lineRule="exact"/>
        <w:rPr>
          <w:sz w:val="20"/>
          <w:szCs w:val="20"/>
          <w:color w:val="auto"/>
        </w:rPr>
      </w:pPr>
    </w:p>
    <w:p>
      <w:pPr>
        <w:ind w:left="720" w:hanging="717"/>
        <w:spacing w:after="0"/>
        <w:tabs>
          <w:tab w:leader="none" w:pos="7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Span Alaska Acquisition: </w:t>
      </w:r>
      <w:r>
        <w:rPr>
          <w:rFonts w:ascii="Arial" w:cs="Arial" w:eastAsia="Arial" w:hAnsi="Arial"/>
          <w:sz w:val="18"/>
          <w:szCs w:val="18"/>
          <w:color w:val="auto"/>
        </w:rPr>
        <w:t>On August 4, 2016 (the “Effective Date”), Matson Logistics completed the purchase of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 of the membership interests of Span Alaska pursuant to the terms of the Membership Interest Purchase Agreement, dated July 18, 2016. At the Effective Date, Span Alaska became a wholly-owned subsidiary of Matson Logistics. Span Alaska is an asset-light logistics company providing freight forwarding services primarily to the Alaska market. Span Alaska consolidates freight in Auburn, Washington, for shipment to Alaska and distribution through a network of terminals in Anchorage, Fairbanks, Wasilla, Kenai, Juneau and Kodiak. Span Alaska’s operations are recorded within the Logistics segment of the Company.</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Total consideration paid by the Company on the Effective Date for the membership interests in Span Alaska including the repayment of Span Alaska’s debt and accrued interest,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20"/>
                <w:szCs w:val="20"/>
                <w:color w:val="auto"/>
              </w:rPr>
            </w:pPr>
            <w:r>
              <w:rPr>
                <w:rFonts w:ascii="Arial" w:cs="Arial" w:eastAsia="Arial" w:hAnsi="Arial"/>
                <w:sz w:val="14"/>
                <w:szCs w:val="14"/>
                <w:b w:val="1"/>
                <w:bCs w:val="1"/>
                <w:color w:val="auto"/>
              </w:rPr>
              <w:t>Consideration (in millions)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210"/>
        </w:trPr>
        <w:tc>
          <w:tcPr>
            <w:tcW w:w="7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Membership interests</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Span Alaska’s debt and accrued interest</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tcPr>
          <w:p>
            <w:pPr>
              <w:spacing w:after="0"/>
              <w:rPr>
                <w:sz w:val="18"/>
                <w:szCs w:val="18"/>
                <w:color w:val="auto"/>
              </w:rPr>
            </w:pPr>
          </w:p>
        </w:tc>
      </w:tr>
      <w:tr>
        <w:trPr>
          <w:trHeight w:val="217"/>
        </w:trPr>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The Span Alaska acquisition was accounted for as a business combination in accordance with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(“ASC 805”). The assets acquired and liabilities assumed in the Span Alaska acquisition were recorded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fair value estimates as of the Effective Date, with the remaining unallocated purchase price recorded as goodwill. Such fair value estimates require significant judgment, and include estimates used in the valuation of property and equipment, and intangible assets. The Company finalized its purchase accounting for the Span Alaska acquisition as of December 31, 2016.</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final fair values assigned to Span Alaska’s assets acquired and liabilities assumed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20"/>
                <w:szCs w:val="20"/>
                <w:color w:val="auto"/>
              </w:rPr>
            </w:pPr>
            <w:r>
              <w:rPr>
                <w:rFonts w:ascii="Arial" w:cs="Arial" w:eastAsia="Arial" w:hAnsi="Arial"/>
                <w:sz w:val="14"/>
                <w:szCs w:val="14"/>
                <w:b w:val="1"/>
                <w:bCs w:val="1"/>
                <w:color w:val="auto"/>
              </w:rPr>
              <w:t>Purchase Price Allocation (in millions)</w:t>
            </w:r>
          </w:p>
        </w:tc>
        <w:tc>
          <w:tcPr>
            <w:tcW w:w="3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Final</w:t>
            </w: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Accounts receivable</w:t>
            </w:r>
          </w:p>
        </w:tc>
        <w:tc>
          <w:tcPr>
            <w:tcW w:w="3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3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Intangibles – Customer relationships</w:t>
            </w:r>
          </w:p>
        </w:tc>
        <w:tc>
          <w:tcPr>
            <w:tcW w:w="3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Intangibles – Trade name</w:t>
            </w:r>
          </w:p>
        </w:tc>
        <w:tc>
          <w:tcPr>
            <w:tcW w:w="3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3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Accounts payable</w:t>
            </w:r>
          </w:p>
        </w:tc>
        <w:tc>
          <w:tcPr>
            <w:tcW w:w="3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Accruals and other current liabilities</w:t>
            </w:r>
          </w:p>
        </w:tc>
        <w:tc>
          <w:tcPr>
            <w:tcW w:w="3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3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Span Alaska’s debt and accrued interest</w:t>
            </w:r>
          </w:p>
        </w:tc>
        <w:tc>
          <w:tcPr>
            <w:tcW w:w="3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(81.9)</w:t>
            </w: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Total identifiable assets less liabilities</w:t>
            </w:r>
          </w:p>
        </w:tc>
        <w:tc>
          <w:tcPr>
            <w:tcW w:w="3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80" w:type="dxa"/>
            <w:vAlign w:val="bottom"/>
          </w:tcPr>
          <w:p>
            <w:pPr>
              <w:spacing w:after="0"/>
              <w:rPr>
                <w:sz w:val="18"/>
                <w:szCs w:val="18"/>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consideration for membership interests</w:t>
            </w:r>
          </w:p>
        </w:tc>
        <w:tc>
          <w:tcPr>
            <w:tcW w:w="3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(117.0)</w:t>
            </w:r>
          </w:p>
        </w:tc>
      </w:tr>
      <w:tr>
        <w:trPr>
          <w:trHeight w:val="217"/>
        </w:trPr>
        <w:tc>
          <w:tcPr>
            <w:tcW w:w="3940" w:type="dxa"/>
            <w:vAlign w:val="bottom"/>
          </w:tcPr>
          <w:p>
            <w:pPr>
              <w:spacing w:after="0"/>
              <w:rPr>
                <w:sz w:val="20"/>
                <w:szCs w:val="20"/>
                <w:color w:val="auto"/>
              </w:rPr>
            </w:pPr>
            <w:r>
              <w:rPr>
                <w:rFonts w:ascii="Arial" w:cs="Arial" w:eastAsia="Arial" w:hAnsi="Arial"/>
                <w:sz w:val="18"/>
                <w:szCs w:val="18"/>
                <w:color w:val="auto"/>
              </w:rPr>
              <w:t>Goodwill</w:t>
            </w:r>
          </w:p>
        </w:tc>
        <w:tc>
          <w:tcPr>
            <w:tcW w:w="3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80" w:type="dxa"/>
            <w:vAlign w:val="bottom"/>
          </w:tcPr>
          <w:p>
            <w:pPr>
              <w:spacing w:after="0"/>
              <w:rPr>
                <w:sz w:val="18"/>
                <w:szCs w:val="18"/>
                <w:color w:val="auto"/>
              </w:rPr>
            </w:pPr>
          </w:p>
        </w:tc>
      </w:tr>
      <w:tr>
        <w:trPr>
          <w:trHeight w:val="648"/>
        </w:trPr>
        <w:tc>
          <w:tcPr>
            <w:tcW w:w="3940" w:type="dxa"/>
            <w:vAlign w:val="bottom"/>
          </w:tcPr>
          <w:p>
            <w:pPr>
              <w:spacing w:after="0"/>
              <w:rPr>
                <w:sz w:val="24"/>
                <w:szCs w:val="24"/>
                <w:color w:val="auto"/>
              </w:rPr>
            </w:pPr>
          </w:p>
        </w:tc>
        <w:tc>
          <w:tcPr>
            <w:tcW w:w="3120" w:type="dxa"/>
            <w:vAlign w:val="bottom"/>
          </w:tcPr>
          <w:p>
            <w:pPr>
              <w:jc w:val="right"/>
              <w:ind w:right="2350"/>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77"/>
        </w:trPr>
        <w:tc>
          <w:tcPr>
            <w:tcW w:w="39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Consolidated Statements of Income and Comprehensive Income for the year ended December 31, 2018, 2017 and 2016 include operating revenue of $66.5 million, $59.1 million and $22.8 million (after elimination of intercompany revenue), and operating income of $16.7 million, $12.8 million and $3.5 million, respectively, from Span Alaska’s operations. One-time acquisition related costs of approximately $3.0 million incurred as a result of the Span Alaska acquisition, is included in selling, general and administrative costs in the Consolidated Statements of Income and Comprehensive Income for the year ended December 31, 2016. One-time acquisition related costs incurred post December 31, 2016 were de minimis.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following unaudited pro forma financial information presents the combined operating results of the Company and Span Alaska, as if the Span Alaska acquisition had been completed at the beginning of the period presented below. The unaudited pro forma financial information includes the accounting effects of the business combination, including the amortization of intangible assets, depreciation of property and equipment, and interest expense. Unaudited pro forma operating revenue is presented after elimination of intercompany revenue.</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unaudited pro forma financial information is presented for informational purposes only and is not indicative of the result of operations that would have been achieved if the Span Alaska acquisitions had taken place at the beginning of the period presented, nor should it be taken as an indication of our future consolidated results of operations.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per-share amount)</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5"/>
          </w:tcPr>
          <w:p>
            <w:pPr>
              <w:jc w:val="right"/>
              <w:ind w:right="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auto"/>
            </w:tcBorders>
            <w:gridSpan w:val="2"/>
            <w:vMerge w:val="continue"/>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Combined:</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220"/>
              <w:spacing w:after="0"/>
              <w:rPr>
                <w:sz w:val="20"/>
                <w:szCs w:val="20"/>
                <w:color w:val="auto"/>
              </w:rPr>
            </w:pPr>
            <w:r>
              <w:rPr>
                <w:rFonts w:ascii="Arial" w:cs="Arial" w:eastAsia="Arial" w:hAnsi="Arial"/>
                <w:sz w:val="18"/>
                <w:szCs w:val="18"/>
                <w:color w:val="auto"/>
              </w:rPr>
              <w:t>Operating revenue</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1,974.2</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 after income taxes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Basic Earnings Per-Share:</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Weighted-Average Number of Shares Outstanding:</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44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661"/>
        </w:trPr>
        <w:tc>
          <w:tcPr>
            <w:tcW w:w="280" w:type="dxa"/>
            <w:vAlign w:val="bottom"/>
          </w:tcPr>
          <w:p>
            <w:pPr>
              <w:spacing w:after="0"/>
              <w:rPr>
                <w:sz w:val="20"/>
                <w:szCs w:val="20"/>
                <w:color w:val="auto"/>
              </w:rPr>
            </w:pPr>
            <w:r>
              <w:rPr>
                <w:rFonts w:ascii="Arial" w:cs="Arial" w:eastAsia="Arial" w:hAnsi="Arial"/>
                <w:sz w:val="18"/>
                <w:szCs w:val="18"/>
                <w:b w:val="1"/>
                <w:bCs w:val="1"/>
                <w:color w:val="auto"/>
              </w:rPr>
              <w:t>19.</w:t>
            </w:r>
          </w:p>
        </w:tc>
        <w:tc>
          <w:tcPr>
            <w:tcW w:w="4140" w:type="dxa"/>
            <w:vAlign w:val="bottom"/>
          </w:tcPr>
          <w:p>
            <w:pPr>
              <w:ind w:left="440"/>
              <w:spacing w:after="0"/>
              <w:rPr>
                <w:sz w:val="20"/>
                <w:szCs w:val="20"/>
                <w:color w:val="auto"/>
              </w:rPr>
            </w:pPr>
            <w:r>
              <w:rPr>
                <w:rFonts w:ascii="Arial" w:cs="Arial" w:eastAsia="Arial" w:hAnsi="Arial"/>
                <w:sz w:val="18"/>
                <w:szCs w:val="18"/>
                <w:b w:val="1"/>
                <w:bCs w:val="1"/>
                <w:color w:val="auto"/>
              </w:rPr>
              <w:t>QUARTERLY INFORMATION (Unaudited)</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20" w:type="dxa"/>
            <w:vAlign w:val="bottom"/>
            <w:gridSpan w:val="2"/>
          </w:tcPr>
          <w:p>
            <w:pPr>
              <w:spacing w:after="0"/>
              <w:rPr>
                <w:sz w:val="20"/>
                <w:szCs w:val="20"/>
                <w:color w:val="auto"/>
              </w:rPr>
            </w:pPr>
            <w:r>
              <w:rPr>
                <w:rFonts w:ascii="Arial" w:cs="Arial" w:eastAsia="Arial" w:hAnsi="Arial"/>
                <w:sz w:val="18"/>
                <w:szCs w:val="18"/>
                <w:color w:val="auto"/>
                <w:w w:val="90"/>
              </w:rPr>
              <w:t>Segment results by quarter for 2018 and 2017 are as follows:</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tcBorders>
              <w:bottom w:val="single" w:sz="8" w:color="auto"/>
            </w:tcBorders>
            <w:gridSpan w:val="13"/>
          </w:tcPr>
          <w:p>
            <w:pPr>
              <w:spacing w:after="0"/>
              <w:rPr>
                <w:sz w:val="20"/>
                <w:szCs w:val="20"/>
                <w:color w:val="auto"/>
              </w:rPr>
            </w:pPr>
            <w:r>
              <w:rPr>
                <w:rFonts w:ascii="Arial" w:cs="Arial" w:eastAsia="Arial" w:hAnsi="Arial"/>
                <w:sz w:val="14"/>
                <w:szCs w:val="14"/>
                <w:b w:val="1"/>
                <w:bCs w:val="1"/>
                <w:color w:val="auto"/>
                <w:w w:val="92"/>
              </w:rPr>
              <w:t>Quarters in the Year Ended December 31, 2018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7"/>
                <w:szCs w:val="17"/>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7"/>
                <w:szCs w:val="17"/>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Q3</w:t>
            </w:r>
          </w:p>
        </w:tc>
        <w:tc>
          <w:tcPr>
            <w:tcW w:w="120" w:type="dxa"/>
            <w:vAlign w:val="bottom"/>
          </w:tcPr>
          <w:p>
            <w:pPr>
              <w:spacing w:after="0"/>
              <w:rPr>
                <w:sz w:val="17"/>
                <w:szCs w:val="17"/>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Q4</w:t>
            </w:r>
          </w:p>
        </w:tc>
        <w:tc>
          <w:tcPr>
            <w:tcW w:w="0" w:type="dxa"/>
            <w:vAlign w:val="bottom"/>
          </w:tcPr>
          <w:p>
            <w:pPr>
              <w:spacing w:after="0"/>
              <w:rPr>
                <w:sz w:val="1"/>
                <w:szCs w:val="1"/>
                <w:color w:val="auto"/>
              </w:rPr>
            </w:pPr>
          </w:p>
        </w:tc>
      </w:tr>
      <w:tr>
        <w:trPr>
          <w:trHeight w:val="210"/>
        </w:trPr>
        <w:tc>
          <w:tcPr>
            <w:tcW w:w="4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220"/>
              <w:spacing w:after="0"/>
              <w:rPr>
                <w:sz w:val="20"/>
                <w:szCs w:val="20"/>
                <w:color w:val="auto"/>
              </w:rPr>
            </w:pPr>
            <w:r>
              <w:rPr>
                <w:rFonts w:ascii="Arial" w:cs="Arial" w:eastAsia="Arial" w:hAnsi="Arial"/>
                <w:sz w:val="18"/>
                <w:szCs w:val="18"/>
                <w:color w:val="auto"/>
              </w:rPr>
              <w:t>Ocean Transportation</w:t>
            </w:r>
          </w:p>
        </w:tc>
        <w:tc>
          <w:tcPr>
            <w:tcW w:w="1760" w:type="dxa"/>
            <w:vAlign w:val="bottom"/>
            <w:gridSpan w:val="3"/>
          </w:tcPr>
          <w:p>
            <w:pPr>
              <w:ind w:left="16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379.3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406.6</w:t>
            </w:r>
          </w:p>
        </w:tc>
        <w:tc>
          <w:tcPr>
            <w:tcW w:w="18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83"/>
              </w:rPr>
              <w:t>$ 437.3</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132.1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150.5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152.1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0" w:type="dxa"/>
            <w:vAlign w:val="bottom"/>
            <w:tcBorders>
              <w:bottom w:val="single" w:sz="8" w:color="CCEEFF"/>
            </w:tcBorders>
          </w:tcPr>
          <w:p>
            <w:pPr>
              <w:spacing w:after="0"/>
              <w:rPr>
                <w:sz w:val="18"/>
                <w:szCs w:val="18"/>
                <w:color w:val="auto"/>
              </w:rPr>
            </w:pPr>
          </w:p>
        </w:tc>
        <w:tc>
          <w:tcPr>
            <w:tcW w:w="4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Revenue</w:t>
            </w:r>
          </w:p>
        </w:tc>
        <w:tc>
          <w:tcPr>
            <w:tcW w:w="14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511.4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557.1</w:t>
            </w: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3"/>
              </w:rPr>
              <w:t>$ 589.4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564.9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220"/>
              <w:spacing w:after="0"/>
              <w:rPr>
                <w:sz w:val="20"/>
                <w:szCs w:val="20"/>
                <w:color w:val="auto"/>
              </w:rPr>
            </w:pPr>
            <w:r>
              <w:rPr>
                <w:rFonts w:ascii="Arial" w:cs="Arial" w:eastAsia="Arial" w:hAnsi="Arial"/>
                <w:sz w:val="18"/>
                <w:szCs w:val="18"/>
                <w:color w:val="auto"/>
              </w:rPr>
              <w:t>Ocean Transportation</w:t>
            </w:r>
          </w:p>
        </w:tc>
        <w:tc>
          <w:tcPr>
            <w:tcW w:w="1760" w:type="dxa"/>
            <w:vAlign w:val="bottom"/>
            <w:gridSpan w:val="3"/>
          </w:tcPr>
          <w:p>
            <w:pPr>
              <w:ind w:left="16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rPr>
              <w:t>Total Operating Income</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58.6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income (expense), net</w:t>
            </w:r>
          </w:p>
        </w:tc>
        <w:tc>
          <w:tcPr>
            <w:tcW w:w="14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shd w:val="clear" w:color="auto" w:fill="CCEEFF"/>
          </w:tcPr>
          <w:p>
            <w:pPr>
              <w:spacing w:after="0"/>
              <w:rPr>
                <w:sz w:val="18"/>
                <w:szCs w:val="18"/>
                <w:color w:val="auto"/>
              </w:rPr>
            </w:pPr>
          </w:p>
        </w:tc>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(10.3)</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8"/>
                <w:szCs w:val="18"/>
                <w:color w:val="auto"/>
                <w:w w:val="97"/>
              </w:rPr>
              <w:t>(13.3)</w:t>
            </w: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7"/>
        </w:trPr>
        <w:tc>
          <w:tcPr>
            <w:tcW w:w="4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760" w:type="dxa"/>
            <w:vAlign w:val="bottom"/>
            <w:gridSpan w:val="3"/>
            <w:shd w:val="clear" w:color="auto" w:fill="CCEEFF"/>
          </w:tcPr>
          <w:p>
            <w:pPr>
              <w:ind w:left="16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760" w:type="dxa"/>
            <w:vAlign w:val="bottom"/>
            <w:gridSpan w:val="3"/>
          </w:tcPr>
          <w:p>
            <w:pPr>
              <w:ind w:left="16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0.33</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0.76</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0.97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2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480" w:type="dxa"/>
            <w:vAlign w:val="bottom"/>
          </w:tcPr>
          <w:p>
            <w:pPr>
              <w:jc w:val="right"/>
              <w:ind w:right="1190"/>
              <w:spacing w:after="0"/>
              <w:rPr>
                <w:sz w:val="20"/>
                <w:szCs w:val="20"/>
                <w:color w:val="auto"/>
              </w:rPr>
            </w:pPr>
            <w:r>
              <w:rPr>
                <w:rFonts w:ascii="Arial" w:cs="Arial" w:eastAsia="Arial" w:hAnsi="Arial"/>
                <w:sz w:val="18"/>
                <w:szCs w:val="18"/>
                <w:color w:val="auto"/>
                <w:w w:val="89"/>
              </w:rPr>
              <w:t>75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2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12"/>
          </w:tcPr>
          <w:p>
            <w:pPr>
              <w:jc w:val="right"/>
              <w:ind w:right="71"/>
              <w:spacing w:after="0"/>
              <w:rPr>
                <w:sz w:val="20"/>
                <w:szCs w:val="20"/>
                <w:color w:val="auto"/>
              </w:rPr>
            </w:pPr>
            <w:r>
              <w:rPr>
                <w:rFonts w:ascii="Arial" w:cs="Arial" w:eastAsia="Arial" w:hAnsi="Arial"/>
                <w:sz w:val="14"/>
                <w:szCs w:val="14"/>
                <w:b w:val="1"/>
                <w:bCs w:val="1"/>
                <w:color w:val="auto"/>
                <w:w w:val="93"/>
              </w:rPr>
              <w:t>Quarters in the Year Ended December 31, 2017</w:t>
            </w:r>
          </w:p>
        </w:tc>
        <w:tc>
          <w:tcPr>
            <w:tcW w:w="40" w:type="dxa"/>
            <w:vAlign w:val="bottom"/>
          </w:tcPr>
          <w:p>
            <w:pPr>
              <w:spacing w:after="0"/>
              <w:rPr>
                <w:sz w:val="14"/>
                <w:szCs w:val="14"/>
                <w:color w:val="auto"/>
              </w:rPr>
            </w:pPr>
          </w:p>
        </w:tc>
      </w:tr>
      <w:tr>
        <w:trPr>
          <w:trHeight w:val="196"/>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120" w:type="dxa"/>
            <w:vAlign w:val="bottom"/>
          </w:tcPr>
          <w:p>
            <w:pPr>
              <w:spacing w:after="0"/>
              <w:rPr>
                <w:sz w:val="17"/>
                <w:szCs w:val="17"/>
                <w:color w:val="auto"/>
              </w:rPr>
            </w:pP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7"/>
                <w:szCs w:val="17"/>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Q4 (1)</w:t>
            </w:r>
          </w:p>
        </w:tc>
      </w:tr>
      <w:tr>
        <w:trPr>
          <w:trHeight w:val="210"/>
        </w:trPr>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Ocean Transportation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370.0</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392.7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419.2</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389.9</w:t>
            </w:r>
          </w:p>
        </w:tc>
        <w:tc>
          <w:tcPr>
            <w:tcW w:w="4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119.8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40" w:type="dxa"/>
            <w:vAlign w:val="bottom"/>
            <w:shd w:val="clear" w:color="auto" w:fill="CCEEFF"/>
          </w:tcPr>
          <w:p>
            <w:pPr>
              <w:spacing w:after="0"/>
              <w:rPr>
                <w:sz w:val="18"/>
                <w:szCs w:val="18"/>
                <w:color w:val="auto"/>
              </w:rPr>
            </w:pPr>
          </w:p>
        </w:tc>
      </w:tr>
      <w:tr>
        <w:trPr>
          <w:trHeight w:val="217"/>
        </w:trPr>
        <w:tc>
          <w:tcPr>
            <w:tcW w:w="58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Operating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474.4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512.5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543.9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516.1</w:t>
            </w:r>
          </w:p>
        </w:tc>
        <w:tc>
          <w:tcPr>
            <w:tcW w:w="40" w:type="dxa"/>
            <w:vAlign w:val="bottom"/>
            <w:tcBorders>
              <w:bottom w:val="single" w:sz="8" w:color="CCEEFF"/>
            </w:tcBorders>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Ocean Transportation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8"/>
                <w:szCs w:val="18"/>
                <w:color w:val="auto"/>
              </w:rPr>
            </w:pPr>
          </w:p>
        </w:tc>
      </w:tr>
      <w:tr>
        <w:trPr>
          <w:trHeight w:val="210"/>
        </w:trPr>
        <w:tc>
          <w:tcPr>
            <w:tcW w:w="5820" w:type="dxa"/>
            <w:vAlign w:val="bottom"/>
            <w:gridSpan w:val="2"/>
          </w:tcPr>
          <w:p>
            <w:pPr>
              <w:ind w:left="320"/>
              <w:spacing w:after="0"/>
              <w:rPr>
                <w:sz w:val="20"/>
                <w:szCs w:val="20"/>
                <w:color w:val="auto"/>
              </w:rPr>
            </w:pPr>
            <w:r>
              <w:rPr>
                <w:rFonts w:ascii="Arial" w:cs="Arial" w:eastAsia="Arial" w:hAnsi="Arial"/>
                <w:sz w:val="18"/>
                <w:szCs w:val="18"/>
                <w:color w:val="auto"/>
              </w:rPr>
              <w:t>Total Operating Income</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24.8</w:t>
            </w:r>
          </w:p>
        </w:tc>
        <w:tc>
          <w:tcPr>
            <w:tcW w:w="4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5820" w:type="dxa"/>
            <w:vAlign w:val="bottom"/>
            <w:gridSpan w:val="2"/>
          </w:tcPr>
          <w:p>
            <w:pPr>
              <w:ind w:left="1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r>
      <w:tr>
        <w:trPr>
          <w:trHeight w:val="210"/>
        </w:trPr>
        <w:tc>
          <w:tcPr>
            <w:tcW w:w="582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146.0</w:t>
            </w:r>
          </w:p>
        </w:tc>
        <w:tc>
          <w:tcPr>
            <w:tcW w:w="40" w:type="dxa"/>
            <w:vAlign w:val="bottom"/>
          </w:tcPr>
          <w:p>
            <w:pPr>
              <w:spacing w:after="0"/>
              <w:rPr>
                <w:sz w:val="18"/>
                <w:szCs w:val="18"/>
                <w:color w:val="auto"/>
              </w:rPr>
            </w:pPr>
          </w:p>
        </w:tc>
      </w:tr>
      <w:tr>
        <w:trPr>
          <w:trHeight w:val="217"/>
        </w:trPr>
        <w:tc>
          <w:tcPr>
            <w:tcW w:w="5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0" w:type="dxa"/>
            <w:vAlign w:val="bottom"/>
            <w:shd w:val="clear" w:color="auto" w:fill="CCEEFF"/>
          </w:tcPr>
          <w:p>
            <w:pPr>
              <w:spacing w:after="0"/>
              <w:rPr>
                <w:sz w:val="18"/>
                <w:szCs w:val="18"/>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0.55</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3.88</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7" w:lineRule="exact"/>
        <w:rPr>
          <w:sz w:val="20"/>
          <w:szCs w:val="20"/>
          <w:color w:val="auto"/>
        </w:rPr>
      </w:pPr>
    </w:p>
    <w:p>
      <w:pPr>
        <w:ind w:left="320" w:right="180" w:hanging="317"/>
        <w:spacing w:after="0" w:line="253" w:lineRule="auto"/>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Income taxes, net income and per-share amounts were adjusted for an immaterial correction of an error in the quarter ended December 31, 2017 (see Note 2).</w:t>
      </w:r>
    </w:p>
    <w:p>
      <w:pPr>
        <w:spacing w:after="0" w:line="178"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The following infrequent transactions impacted the Company’s quarterly segment results during the years ended December 31, 2018 and 2017: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3040" w:type="dxa"/>
            <w:vAlign w:val="bottom"/>
            <w:gridSpan w:val="11"/>
          </w:tcPr>
          <w:p>
            <w:pPr>
              <w:jc w:val="right"/>
              <w:ind w:right="100"/>
              <w:spacing w:after="0"/>
              <w:rPr>
                <w:sz w:val="20"/>
                <w:szCs w:val="20"/>
                <w:color w:val="auto"/>
              </w:rPr>
            </w:pPr>
            <w:r>
              <w:rPr>
                <w:rFonts w:ascii="Arial" w:cs="Arial" w:eastAsia="Arial" w:hAnsi="Arial"/>
                <w:sz w:val="14"/>
                <w:szCs w:val="14"/>
                <w:b w:val="1"/>
                <w:bCs w:val="1"/>
                <w:color w:val="auto"/>
                <w:w w:val="94"/>
              </w:rPr>
              <w:t>Quarters in the Year Ended December 31, 2018</w:t>
            </w:r>
          </w:p>
        </w:tc>
        <w:tc>
          <w:tcPr>
            <w:tcW w:w="0" w:type="dxa"/>
            <w:vAlign w:val="bottom"/>
          </w:tcPr>
          <w:p>
            <w:pPr>
              <w:spacing w:after="0"/>
              <w:rPr>
                <w:sz w:val="1"/>
                <w:szCs w:val="1"/>
                <w:color w:val="auto"/>
              </w:rPr>
            </w:pPr>
          </w:p>
        </w:tc>
      </w:tr>
      <w:tr>
        <w:trPr>
          <w:trHeight w:val="142"/>
        </w:trPr>
        <w:tc>
          <w:tcPr>
            <w:tcW w:w="5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Q1</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43"/>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jc w:val="right"/>
              <w:ind w:right="464"/>
              <w:spacing w:after="0" w:line="142" w:lineRule="exact"/>
              <w:rPr>
                <w:sz w:val="20"/>
                <w:szCs w:val="20"/>
                <w:color w:val="auto"/>
              </w:rPr>
            </w:pPr>
            <w:r>
              <w:rPr>
                <w:rFonts w:ascii="Arial" w:cs="Arial" w:eastAsia="Arial" w:hAnsi="Arial"/>
                <w:sz w:val="14"/>
                <w:szCs w:val="14"/>
                <w:b w:val="1"/>
                <w:bCs w:val="1"/>
                <w:color w:val="auto"/>
              </w:rPr>
              <w:t>Q3</w:t>
            </w:r>
          </w:p>
        </w:tc>
        <w:tc>
          <w:tcPr>
            <w:tcW w:w="440" w:type="dxa"/>
            <w:vAlign w:val="bottom"/>
            <w:tcBorders>
              <w:top w:val="single" w:sz="8" w:color="auto"/>
            </w:tcBorders>
          </w:tcPr>
          <w:p>
            <w:pPr>
              <w:jc w:val="right"/>
              <w:ind w:right="123"/>
              <w:spacing w:after="0" w:line="142" w:lineRule="exact"/>
              <w:rPr>
                <w:sz w:val="20"/>
                <w:szCs w:val="20"/>
                <w:color w:val="auto"/>
              </w:rPr>
            </w:pPr>
            <w:r>
              <w:rPr>
                <w:rFonts w:ascii="Arial" w:cs="Arial" w:eastAsia="Arial" w:hAnsi="Arial"/>
                <w:sz w:val="14"/>
                <w:szCs w:val="14"/>
                <w:b w:val="1"/>
                <w:bCs w:val="1"/>
                <w:color w:val="auto"/>
              </w:rPr>
              <w:t>Q4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Income taxes - Discrete adjustments related to the Tax Act (1)</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(3.3)</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3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7"/>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Amounts relate to discrete adjustments as a result of applying the Tax Act during the year ended December 31, 2018.</w:t>
      </w:r>
    </w:p>
    <w:p>
      <w:pPr>
        <w:spacing w:after="0" w:line="213"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Quarters in the Year</w:t>
      </w:r>
    </w:p>
    <w:p>
      <w:pPr>
        <w:jc w:val="center"/>
        <w:ind w:left="6080"/>
        <w:spacing w:after="0" w:line="236" w:lineRule="auto"/>
        <w:rPr>
          <w:sz w:val="20"/>
          <w:szCs w:val="20"/>
          <w:color w:val="auto"/>
        </w:rPr>
      </w:pPr>
      <w:r>
        <w:rPr>
          <w:rFonts w:ascii="Arial" w:cs="Arial" w:eastAsia="Arial" w:hAnsi="Arial"/>
          <w:sz w:val="14"/>
          <w:szCs w:val="14"/>
          <w:b w:val="1"/>
          <w:bCs w:val="1"/>
          <w:color w:val="auto"/>
        </w:rPr>
        <w:t>Ended December 31, 2017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880" w:type="dxa"/>
            <w:vAlign w:val="bottom"/>
            <w:tcBorders>
              <w:top w:val="single" w:sz="8" w:color="auto"/>
            </w:tcBorders>
            <w:gridSpan w:val="3"/>
          </w:tcPr>
          <w:p>
            <w:pPr>
              <w:jc w:val="right"/>
              <w:ind w:right="424"/>
              <w:spacing w:after="0" w:line="142" w:lineRule="exact"/>
              <w:rPr>
                <w:sz w:val="20"/>
                <w:szCs w:val="20"/>
                <w:color w:val="auto"/>
              </w:rPr>
            </w:pPr>
            <w:r>
              <w:rPr>
                <w:rFonts w:ascii="Arial" w:cs="Arial" w:eastAsia="Arial" w:hAnsi="Arial"/>
                <w:sz w:val="14"/>
                <w:szCs w:val="14"/>
                <w:b w:val="1"/>
                <w:bCs w:val="1"/>
                <w:color w:val="auto"/>
              </w:rPr>
              <w:t>Q1</w:t>
            </w:r>
          </w:p>
        </w:tc>
        <w:tc>
          <w:tcPr>
            <w:tcW w:w="720" w:type="dxa"/>
            <w:vAlign w:val="bottom"/>
            <w:tcBorders>
              <w:top w:val="single" w:sz="8" w:color="auto"/>
            </w:tcBorders>
            <w:gridSpan w:val="3"/>
          </w:tcPr>
          <w:p>
            <w:pPr>
              <w:jc w:val="right"/>
              <w:ind w:right="424"/>
              <w:spacing w:after="0" w:line="142" w:lineRule="exact"/>
              <w:rPr>
                <w:sz w:val="20"/>
                <w:szCs w:val="20"/>
                <w:color w:val="auto"/>
              </w:rPr>
            </w:pPr>
            <w:r>
              <w:rPr>
                <w:rFonts w:ascii="Arial" w:cs="Arial" w:eastAsia="Arial" w:hAnsi="Arial"/>
                <w:sz w:val="14"/>
                <w:szCs w:val="14"/>
                <w:b w:val="1"/>
                <w:bCs w:val="1"/>
                <w:color w:val="auto"/>
              </w:rPr>
              <w:t>Q2</w:t>
            </w:r>
          </w:p>
        </w:tc>
        <w:tc>
          <w:tcPr>
            <w:tcW w:w="4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Q3</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3"/>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r>
      <w:tr>
        <w:trPr>
          <w:trHeight w:val="196"/>
        </w:trPr>
        <w:tc>
          <w:tcPr>
            <w:tcW w:w="6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Income taxes - Remeasurement and discrete adjustments related to the Tax Act (2)</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$ 154.0</w:t>
            </w:r>
          </w:p>
        </w:tc>
        <w:tc>
          <w:tcPr>
            <w:tcW w:w="100" w:type="dxa"/>
            <w:vAlign w:val="bottom"/>
            <w:tcBorders>
              <w:top w:val="single" w:sz="8" w:color="CCEEFF"/>
            </w:tcBorders>
            <w:shd w:val="clear" w:color="auto" w:fill="CCEEFF"/>
          </w:tcPr>
          <w:p>
            <w:pPr>
              <w:spacing w:after="0"/>
              <w:rPr>
                <w:sz w:val="17"/>
                <w:szCs w:val="17"/>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89" w:lineRule="exact"/>
        <w:rPr>
          <w:sz w:val="20"/>
          <w:szCs w:val="20"/>
          <w:color w:val="auto"/>
        </w:rPr>
      </w:pPr>
    </w:p>
    <w:p>
      <w:pPr>
        <w:ind w:left="320" w:right="220" w:hanging="317"/>
        <w:spacing w:after="0" w:line="253" w:lineRule="auto"/>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Amount relates to the remeasurement of the Company’s deferred assets and liabilities, and other discrete adjustments as a result of applying the Tax Act during the year ended December 31, 2017.</w:t>
      </w:r>
    </w:p>
    <w:p>
      <w:pPr>
        <w:spacing w:after="0" w:line="39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Effectiveness of Disclosure Controls and Procedures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(the “Exchange Act”)) as of the end of the period covered by this report. Based on such evaluation, the Company’s Chief Executive Officer and Chief Financial Officer have concluded that, as of the end of such period, the Company’s disclosure controls and procedures are effective.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See page 39 for management’s annual report on internal control over financial reporting, which is incorporated herein by reference.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page 40 for the attestation report of the independent registered public accounting firm on the Company’s internal control over financial reporting, which is incorporated herein by reference.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Company’s fiscal fourth quarter ended December 31, 2018, that have materially affected, or are reasonably likely to materially affect,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ind w:left="1360" w:hanging="709"/>
        <w:spacing w:after="0"/>
        <w:tabs>
          <w:tab w:leader="none" w:pos="13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right="139"/>
        <w:spacing w:after="0" w:line="259" w:lineRule="auto"/>
        <w:rPr>
          <w:sz w:val="20"/>
          <w:szCs w:val="20"/>
          <w:color w:val="auto"/>
        </w:rPr>
      </w:pPr>
      <w:r>
        <w:rPr>
          <w:rFonts w:ascii="Arial" w:cs="Arial" w:eastAsia="Arial" w:hAnsi="Arial"/>
          <w:sz w:val="18"/>
          <w:szCs w:val="18"/>
          <w:color w:val="auto"/>
        </w:rPr>
        <w:t>The information about the Directors of Matson required under this item will be included under the section captioned “Election of Directors” in Matson’s Proxy Statement for the 2019 Annual Meeting of Shareholders to be filed with the SEC within 120 days of the fiscal year ended December 31, 2018 (“Matson’s 2019 Proxy Statement”), which section is incorporated herein by reference.</w:t>
      </w:r>
    </w:p>
    <w:p>
      <w:pPr>
        <w:spacing w:after="0" w:line="183" w:lineRule="exact"/>
        <w:rPr>
          <w:sz w:val="20"/>
          <w:szCs w:val="20"/>
          <w:color w:val="auto"/>
        </w:rPr>
      </w:pPr>
    </w:p>
    <w:p>
      <w:pPr>
        <w:ind w:left="1360" w:hanging="709"/>
        <w:spacing w:after="0"/>
        <w:tabs>
          <w:tab w:leader="none" w:pos="13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319"/>
        <w:spacing w:after="0" w:line="342" w:lineRule="auto"/>
        <w:rPr>
          <w:sz w:val="20"/>
          <w:szCs w:val="20"/>
          <w:color w:val="auto"/>
        </w:rPr>
      </w:pPr>
      <w:r>
        <w:rPr>
          <w:rFonts w:ascii="Arial" w:cs="Arial" w:eastAsia="Arial" w:hAnsi="Arial"/>
          <w:sz w:val="16"/>
          <w:szCs w:val="16"/>
          <w:color w:val="auto"/>
        </w:rPr>
        <w:t>The information about the executive officers of Matson required under this item will be included under the subsection captioned “Executive Officers” in Matson’s 2019 Proxy Statement, which subsection is incorporated herein by reference.</w:t>
      </w:r>
    </w:p>
    <w:p>
      <w:pPr>
        <w:spacing w:after="0" w:line="120" w:lineRule="exact"/>
        <w:rPr>
          <w:sz w:val="20"/>
          <w:szCs w:val="20"/>
          <w:color w:val="auto"/>
        </w:rPr>
      </w:pPr>
    </w:p>
    <w:p>
      <w:pPr>
        <w:ind w:left="1360" w:hanging="709"/>
        <w:spacing w:after="0"/>
        <w:tabs>
          <w:tab w:leader="none" w:pos="13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right="399"/>
        <w:spacing w:after="0" w:line="259" w:lineRule="auto"/>
        <w:rPr>
          <w:sz w:val="20"/>
          <w:szCs w:val="20"/>
          <w:color w:val="auto"/>
        </w:rPr>
      </w:pPr>
      <w:r>
        <w:rPr>
          <w:rFonts w:ascii="Arial" w:cs="Arial" w:eastAsia="Arial" w:hAnsi="Arial"/>
          <w:sz w:val="18"/>
          <w:szCs w:val="18"/>
          <w:color w:val="auto"/>
        </w:rPr>
        <w:t>The information about the Audit Committee of the Matson Board of Directors and compliance with Section 16(a) of the Exchange Act, will be included under the subsections captioned “Board of Directors and Committees of Board” and “Section 16(a) Beneficial Ownership Reporting Compliance” in Matson’s 2019 Proxy Statement, which subsections are incorporated herein by reference.</w:t>
      </w:r>
    </w:p>
    <w:p>
      <w:pPr>
        <w:spacing w:after="0" w:line="183" w:lineRule="exact"/>
        <w:rPr>
          <w:sz w:val="20"/>
          <w:szCs w:val="20"/>
          <w:color w:val="auto"/>
        </w:rPr>
      </w:pPr>
    </w:p>
    <w:p>
      <w:pPr>
        <w:ind w:left="1360" w:hanging="709"/>
        <w:spacing w:after="0"/>
        <w:tabs>
          <w:tab w:leader="none" w:pos="13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359"/>
        <w:spacing w:after="0" w:line="342" w:lineRule="auto"/>
        <w:rPr>
          <w:sz w:val="20"/>
          <w:szCs w:val="20"/>
          <w:color w:val="auto"/>
        </w:rPr>
      </w:pPr>
      <w:r>
        <w:rPr>
          <w:rFonts w:ascii="Arial" w:cs="Arial" w:eastAsia="Arial" w:hAnsi="Arial"/>
          <w:sz w:val="16"/>
          <w:szCs w:val="16"/>
          <w:color w:val="auto"/>
        </w:rPr>
        <w:t>The information about Matson’s Code of Ethics required under this item will be included under the subsection captioned “Code of Ethics” in Matson’s 2019 Proxy Statement, which subsection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99"/>
        <w:spacing w:after="0" w:line="264" w:lineRule="auto"/>
        <w:rPr>
          <w:sz w:val="20"/>
          <w:szCs w:val="20"/>
          <w:color w:val="auto"/>
        </w:rPr>
      </w:pPr>
      <w:r>
        <w:rPr>
          <w:rFonts w:ascii="Arial" w:cs="Arial" w:eastAsia="Arial" w:hAnsi="Arial"/>
          <w:sz w:val="18"/>
          <w:szCs w:val="18"/>
          <w:color w:val="auto"/>
        </w:rPr>
        <w:t>The information required under this item will be included under the section captioned “Executive Compensation” and the subsections captioned “Compensation of Directors” and “Pay Risk Assessment” in Matson’s 2019 Proxy Statement, which section and subsections are incorporated herein by reference.</w:t>
      </w:r>
    </w:p>
    <w:p>
      <w:pPr>
        <w:spacing w:after="0" w:line="177" w:lineRule="exact"/>
        <w:rPr>
          <w:sz w:val="20"/>
          <w:szCs w:val="20"/>
          <w:color w:val="auto"/>
        </w:rPr>
      </w:pPr>
    </w:p>
    <w:p>
      <w:pPr>
        <w:ind w:right="109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279"/>
        <w:spacing w:after="0" w:line="286" w:lineRule="auto"/>
        <w:rPr>
          <w:sz w:val="20"/>
          <w:szCs w:val="20"/>
          <w:color w:val="auto"/>
        </w:rPr>
      </w:pPr>
      <w:r>
        <w:rPr>
          <w:rFonts w:ascii="Arial" w:cs="Arial" w:eastAsia="Arial" w:hAnsi="Arial"/>
          <w:sz w:val="17"/>
          <w:szCs w:val="17"/>
          <w:color w:val="auto"/>
        </w:rPr>
        <w:t>The information required under this item will be included under the section captioned “Security Ownership of Certain Shareholders” and the subsections captioned “Security Ownership of Directors and Executive Officers” in Matson’s 2019 Proxy Statement, which section and subsections are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39"/>
        <w:spacing w:after="0" w:line="264" w:lineRule="auto"/>
        <w:rPr>
          <w:sz w:val="20"/>
          <w:szCs w:val="20"/>
          <w:color w:val="auto"/>
        </w:rPr>
      </w:pPr>
      <w:r>
        <w:rPr>
          <w:rFonts w:ascii="Arial" w:cs="Arial" w:eastAsia="Arial" w:hAnsi="Arial"/>
          <w:sz w:val="18"/>
          <w:szCs w:val="18"/>
          <w:color w:val="auto"/>
        </w:rPr>
        <w:t>The information required under this item will be included in the section captioned “Election of Directors” and the subsection captioned “Certain Relationships and Transactions” in Matson’s 2019 Proxy Statement, which section and subsection are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559"/>
        <w:spacing w:after="0" w:line="312" w:lineRule="auto"/>
        <w:rPr>
          <w:sz w:val="20"/>
          <w:szCs w:val="20"/>
          <w:color w:val="auto"/>
        </w:rPr>
      </w:pPr>
      <w:r>
        <w:rPr>
          <w:rFonts w:ascii="Arial" w:cs="Arial" w:eastAsia="Arial" w:hAnsi="Arial"/>
          <w:sz w:val="16"/>
          <w:szCs w:val="16"/>
          <w:color w:val="auto"/>
        </w:rPr>
        <w:t>The information concerning principal accountant fees and services required under this item will be included under the sections captioned “Audit Committee Report” and “Ratification of Appointment of Independent Registered Public Accounting Firm” in Matson’s 2019 Proxy Statement, which sections are incorporated herein by reference.</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740" w:hanging="737"/>
        <w:spacing w:after="0"/>
        <w:tabs>
          <w:tab w:leader="none" w:pos="7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are set forth in Item 8 of Part II above.</w:t>
      </w:r>
    </w:p>
    <w:p>
      <w:pPr>
        <w:spacing w:after="0" w:line="221" w:lineRule="exact"/>
        <w:rPr>
          <w:sz w:val="20"/>
          <w:szCs w:val="20"/>
          <w:color w:val="auto"/>
        </w:rPr>
      </w:pPr>
    </w:p>
    <w:p>
      <w:pPr>
        <w:ind w:left="720" w:hanging="717"/>
        <w:spacing w:after="0"/>
        <w:tabs>
          <w:tab w:leader="none" w:pos="7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Except as described below, all schedules are omitted because of the absence of the conditions under which they are required or because the information called for is included in the Consolidated Financial Statements or notes thereto.</w:t>
      </w:r>
    </w:p>
    <w:p>
      <w:pPr>
        <w:spacing w:after="0" w:line="14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At December 31, 2018, the Company’s investment in the Terminal Joint Venture, SSAT, exceeded the 10.0 percent and 20.0 percent thresholds in at least one of the tests under Rule 3-09 and Rule 4-08(g) of Regulation S-X, and as such the audited financial statements of the Terminal Joint Venture are required to be filed as financial statement schedules herein within 90 days of SSAT’s fiscal year end, which is January 31. Accordingly, the financial statements of the Terminal Joint Venture will be filed via an amendment to this Annual Report on Form 10-K on or before May 1, 2019.</w:t>
      </w:r>
    </w:p>
    <w:p>
      <w:pPr>
        <w:spacing w:after="0" w:line="169" w:lineRule="exact"/>
        <w:rPr>
          <w:sz w:val="20"/>
          <w:szCs w:val="20"/>
          <w:color w:val="auto"/>
        </w:rPr>
      </w:pPr>
    </w:p>
    <w:p>
      <w:pPr>
        <w:ind w:left="740" w:hanging="737"/>
        <w:spacing w:after="0"/>
        <w:tabs>
          <w:tab w:leader="none" w:pos="7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Exhibits Required by Item 601 of Regulation S</w:t>
      </w:r>
      <w:r>
        <w:rPr>
          <w:rFonts w:ascii="Arial" w:cs="Arial" w:eastAsia="Arial" w:hAnsi="Arial"/>
          <w:sz w:val="18"/>
          <w:szCs w:val="18"/>
          <w:color w:val="auto"/>
        </w:rPr>
        <w:t>-</w:t>
      </w:r>
      <w:r>
        <w:rPr>
          <w:rFonts w:ascii="Arial" w:cs="Arial" w:eastAsia="Arial" w:hAnsi="Arial"/>
          <w:sz w:val="18"/>
          <w:szCs w:val="18"/>
          <w:b w:val="1"/>
          <w:bCs w:val="1"/>
          <w:color w:val="auto"/>
        </w:rPr>
        <w:t>K</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Exhibits not filed herewith are incorporated by reference to the exhibit number and previous filing shown in parentheses. All previous exhibits were filed with the Securities and Exchange Commission in Washington, D.C.</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Exhibits filed pursuant to the Securities Exchange Act of 1934 were filed under file number 001-34187. Shareholders may obtain copies of exhibits for a copying and handling charge of $0.15 per page by writing to, Corporate Secretary, Matson, Inc., 555 12th Street, Oakland, California 94607.</w:t>
      </w:r>
    </w:p>
    <w:p>
      <w:pPr>
        <w:spacing w:after="0" w:line="208" w:lineRule="exact"/>
        <w:rPr>
          <w:sz w:val="20"/>
          <w:szCs w:val="20"/>
          <w:color w:val="auto"/>
        </w:rPr>
      </w:pPr>
    </w:p>
    <w:p>
      <w:pPr>
        <w:ind w:left="1100" w:hanging="1097"/>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Plan of acquisition, reorganization, arrangement, liquidation or succession.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jc w:val="right"/>
              <w:ind w:right="790"/>
              <w:spacing w:after="0"/>
              <w:rPr>
                <w:sz w:val="20"/>
                <w:szCs w:val="20"/>
                <w:color w:val="auto"/>
              </w:rPr>
            </w:pPr>
            <w:r>
              <w:rPr>
                <w:rFonts w:ascii="Arial" w:cs="Arial" w:eastAsia="Arial" w:hAnsi="Arial"/>
                <w:sz w:val="18"/>
                <w:szCs w:val="18"/>
                <w:color w:val="auto"/>
                <w:w w:val="79"/>
              </w:rPr>
              <w:t>2.1</w:t>
            </w:r>
          </w:p>
        </w:tc>
        <w:tc>
          <w:tcPr>
            <w:tcW w:w="7960" w:type="dxa"/>
            <w:vAlign w:val="bottom"/>
            <w:gridSpan w:val="15"/>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Agreement and Plan of Merger, dated as of November 11, 2014, by and among Matson Navigation Company,</w:t>
              </w:r>
            </w:hyperlink>
          </w:p>
        </w:tc>
      </w:tr>
      <w:tr>
        <w:trPr>
          <w:trHeight w:val="196"/>
        </w:trPr>
        <w:tc>
          <w:tcPr>
            <w:tcW w:w="1100" w:type="dxa"/>
            <w:vAlign w:val="bottom"/>
          </w:tcPr>
          <w:p>
            <w:pPr>
              <w:spacing w:after="0"/>
              <w:rPr>
                <w:sz w:val="17"/>
                <w:szCs w:val="17"/>
                <w:color w:val="auto"/>
              </w:rPr>
            </w:pPr>
          </w:p>
        </w:tc>
        <w:tc>
          <w:tcPr>
            <w:tcW w:w="76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Inc., Hogan Acquisition Inc. and Horizon Lines, Inc. (incorporated by reference to Exhibit 2.1 of Matson’s</w:t>
              </w:r>
            </w:hyperlink>
          </w:p>
        </w:tc>
        <w:tc>
          <w:tcPr>
            <w:tcW w:w="200" w:type="dxa"/>
            <w:vAlign w:val="bottom"/>
            <w:tcBorders>
              <w:top w:val="single" w:sz="8" w:color="0000EE"/>
            </w:tcBorders>
            <w:gridSpan w:val="4"/>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960" w:type="dxa"/>
            <w:vAlign w:val="bottom"/>
            <w:gridSpan w:val="15"/>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Form 8-K dated November 11, 2014).</w:t>
              </w:r>
            </w:hyperlink>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1100" w:type="dxa"/>
            <w:vAlign w:val="bottom"/>
          </w:tcPr>
          <w:p>
            <w:pPr>
              <w:jc w:val="right"/>
              <w:ind w:right="790"/>
              <w:spacing w:after="0"/>
              <w:rPr>
                <w:sz w:val="20"/>
                <w:szCs w:val="20"/>
                <w:color w:val="auto"/>
              </w:rPr>
            </w:pPr>
            <w:r>
              <w:rPr>
                <w:rFonts w:ascii="Arial" w:cs="Arial" w:eastAsia="Arial" w:hAnsi="Arial"/>
                <w:sz w:val="18"/>
                <w:szCs w:val="18"/>
                <w:color w:val="auto"/>
                <w:w w:val="79"/>
              </w:rPr>
              <w:t>2.2</w:t>
            </w:r>
          </w:p>
        </w:tc>
        <w:tc>
          <w:tcPr>
            <w:tcW w:w="7960" w:type="dxa"/>
            <w:vAlign w:val="bottom"/>
            <w:gridSpan w:val="15"/>
          </w:tcPr>
          <w:p>
            <w:pPr>
              <w:spacing w:after="0"/>
              <w:rPr>
                <w:rFonts w:ascii="Arial" w:cs="Arial" w:eastAsia="Arial" w:hAnsi="Arial"/>
                <w:sz w:val="18"/>
                <w:szCs w:val="18"/>
                <w:color w:val="0000EE"/>
                <w:w w:val="92"/>
              </w:rPr>
            </w:pPr>
            <w:hyperlink r:id="rId108">
              <w:r>
                <w:rPr>
                  <w:rFonts w:ascii="Arial" w:cs="Arial" w:eastAsia="Arial" w:hAnsi="Arial"/>
                  <w:sz w:val="18"/>
                  <w:szCs w:val="18"/>
                  <w:color w:val="0000EE"/>
                  <w:w w:val="92"/>
                </w:rPr>
                <w:t>Amendment No. 1 to Agreement and Plan of Merger, dated as of February 13, 2015, by and among Matson</w:t>
              </w:r>
            </w:hyperlink>
          </w:p>
        </w:tc>
      </w:tr>
      <w:tr>
        <w:trPr>
          <w:trHeight w:val="196"/>
        </w:trPr>
        <w:tc>
          <w:tcPr>
            <w:tcW w:w="1100" w:type="dxa"/>
            <w:vAlign w:val="bottom"/>
          </w:tcPr>
          <w:p>
            <w:pPr>
              <w:spacing w:after="0"/>
              <w:rPr>
                <w:sz w:val="17"/>
                <w:szCs w:val="17"/>
                <w:color w:val="auto"/>
              </w:rPr>
            </w:pPr>
          </w:p>
        </w:tc>
        <w:tc>
          <w:tcPr>
            <w:tcW w:w="75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Navigation Company, Inc., Hogan Acquisition Inc. and Horizon Lines, Inc. (incorporated by reference to</w:t>
              </w:r>
            </w:hyperlink>
          </w:p>
        </w:tc>
        <w:tc>
          <w:tcPr>
            <w:tcW w:w="160" w:type="dxa"/>
            <w:vAlign w:val="bottom"/>
            <w:tcBorders>
              <w:top w:val="single" w:sz="8" w:color="0000EE"/>
            </w:tcBorders>
            <w:gridSpan w:val="2"/>
          </w:tcPr>
          <w:p>
            <w:pPr>
              <w:spacing w:after="0"/>
              <w:rPr>
                <w:sz w:val="17"/>
                <w:szCs w:val="17"/>
                <w:color w:val="auto"/>
              </w:rPr>
            </w:pPr>
          </w:p>
        </w:tc>
        <w:tc>
          <w:tcPr>
            <w:tcW w:w="24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960" w:type="dxa"/>
            <w:vAlign w:val="bottom"/>
            <w:gridSpan w:val="15"/>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Exhibit 2.1 of Matson’s Form 8-K dated February 17, 2015).</w:t>
              </w:r>
            </w:hyperlink>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90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1100" w:type="dxa"/>
            <w:vAlign w:val="bottom"/>
          </w:tcPr>
          <w:p>
            <w:pPr>
              <w:jc w:val="right"/>
              <w:ind w:right="790"/>
              <w:spacing w:after="0"/>
              <w:rPr>
                <w:sz w:val="20"/>
                <w:szCs w:val="20"/>
                <w:color w:val="auto"/>
              </w:rPr>
            </w:pPr>
            <w:r>
              <w:rPr>
                <w:rFonts w:ascii="Arial" w:cs="Arial" w:eastAsia="Arial" w:hAnsi="Arial"/>
                <w:sz w:val="18"/>
                <w:szCs w:val="18"/>
                <w:color w:val="auto"/>
                <w:w w:val="79"/>
              </w:rPr>
              <w:t>2.3</w:t>
            </w:r>
          </w:p>
        </w:tc>
        <w:tc>
          <w:tcPr>
            <w:tcW w:w="7960" w:type="dxa"/>
            <w:vAlign w:val="bottom"/>
            <w:tcBorders>
              <w:bottom w:val="single" w:sz="8" w:color="0000EE"/>
            </w:tcBorders>
            <w:gridSpan w:val="15"/>
          </w:tcPr>
          <w:p>
            <w:pPr>
              <w:spacing w:after="0"/>
              <w:rPr>
                <w:rFonts w:ascii="Arial" w:cs="Arial" w:eastAsia="Arial" w:hAnsi="Arial"/>
                <w:sz w:val="18"/>
                <w:szCs w:val="18"/>
                <w:color w:val="0000EE"/>
                <w:w w:val="89"/>
              </w:rPr>
            </w:pPr>
            <w:hyperlink r:id="rId109">
              <w:r>
                <w:rPr>
                  <w:rFonts w:ascii="Arial" w:cs="Arial" w:eastAsia="Arial" w:hAnsi="Arial"/>
                  <w:sz w:val="18"/>
                  <w:szCs w:val="18"/>
                  <w:color w:val="0000EE"/>
                  <w:w w:val="89"/>
                </w:rPr>
                <w:t>Contribution, Assumption and Purchase Agreement, dated as of November 11, 2014, by and among The Pasha</w:t>
              </w:r>
            </w:hyperlink>
          </w:p>
        </w:tc>
      </w:tr>
      <w:tr>
        <w:trPr>
          <w:trHeight w:val="196"/>
        </w:trPr>
        <w:tc>
          <w:tcPr>
            <w:tcW w:w="1100" w:type="dxa"/>
            <w:vAlign w:val="bottom"/>
          </w:tcPr>
          <w:p>
            <w:pPr>
              <w:spacing w:after="0"/>
              <w:rPr>
                <w:sz w:val="17"/>
                <w:szCs w:val="17"/>
                <w:color w:val="auto"/>
              </w:rPr>
            </w:pPr>
          </w:p>
        </w:tc>
        <w:tc>
          <w:tcPr>
            <w:tcW w:w="7960" w:type="dxa"/>
            <w:vAlign w:val="bottom"/>
            <w:gridSpan w:val="15"/>
          </w:tcPr>
          <w:p>
            <w:pPr>
              <w:spacing w:after="0" w:line="196" w:lineRule="exact"/>
              <w:rPr>
                <w:rFonts w:ascii="Arial" w:cs="Arial" w:eastAsia="Arial" w:hAnsi="Arial"/>
                <w:sz w:val="18"/>
                <w:szCs w:val="18"/>
                <w:color w:val="0000EE"/>
                <w:w w:val="97"/>
              </w:rPr>
            </w:pPr>
            <w:hyperlink r:id="rId109">
              <w:r>
                <w:rPr>
                  <w:rFonts w:ascii="Arial" w:cs="Arial" w:eastAsia="Arial" w:hAnsi="Arial"/>
                  <w:sz w:val="18"/>
                  <w:szCs w:val="18"/>
                  <w:color w:val="0000EE"/>
                  <w:w w:val="97"/>
                </w:rPr>
                <w:t>Group, SR Holding LLC, Horizon Lines, Inc. and Sunrise Operations LLC (incorporated by reference to</w:t>
              </w:r>
            </w:hyperlink>
          </w:p>
        </w:tc>
      </w:tr>
      <w:tr>
        <w:trPr>
          <w:trHeight w:val="196"/>
        </w:trPr>
        <w:tc>
          <w:tcPr>
            <w:tcW w:w="1100" w:type="dxa"/>
            <w:vAlign w:val="bottom"/>
          </w:tcPr>
          <w:p>
            <w:pPr>
              <w:spacing w:after="0"/>
              <w:rPr>
                <w:sz w:val="17"/>
                <w:szCs w:val="17"/>
                <w:color w:val="auto"/>
              </w:rPr>
            </w:pPr>
          </w:p>
        </w:tc>
        <w:tc>
          <w:tcPr>
            <w:tcW w:w="75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Exhibit 2.2 of Horizon Lines, Inc.’s Form 8-K dated November 11, 2014).</w:t>
              </w:r>
            </w:hyperlink>
          </w:p>
        </w:tc>
        <w:tc>
          <w:tcPr>
            <w:tcW w:w="440" w:type="dxa"/>
            <w:vAlign w:val="bottom"/>
            <w:gridSpan w:val="7"/>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60" w:type="dxa"/>
            <w:vAlign w:val="bottom"/>
            <w:gridSpan w:val="3"/>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1100" w:type="dxa"/>
            <w:vAlign w:val="bottom"/>
          </w:tcPr>
          <w:p>
            <w:pPr>
              <w:jc w:val="right"/>
              <w:ind w:right="790"/>
              <w:spacing w:after="0"/>
              <w:rPr>
                <w:sz w:val="20"/>
                <w:szCs w:val="20"/>
                <w:color w:val="auto"/>
              </w:rPr>
            </w:pPr>
            <w:r>
              <w:rPr>
                <w:rFonts w:ascii="Arial" w:cs="Arial" w:eastAsia="Arial" w:hAnsi="Arial"/>
                <w:sz w:val="18"/>
                <w:szCs w:val="18"/>
                <w:color w:val="auto"/>
                <w:w w:val="79"/>
              </w:rPr>
              <w:t>2.4</w:t>
            </w:r>
          </w:p>
        </w:tc>
        <w:tc>
          <w:tcPr>
            <w:tcW w:w="7960" w:type="dxa"/>
            <w:vAlign w:val="bottom"/>
            <w:gridSpan w:val="15"/>
          </w:tcPr>
          <w:p>
            <w:pPr>
              <w:spacing w:after="0"/>
              <w:rPr>
                <w:rFonts w:ascii="Arial" w:cs="Arial" w:eastAsia="Arial" w:hAnsi="Arial"/>
                <w:sz w:val="18"/>
                <w:szCs w:val="18"/>
                <w:color w:val="0000EE"/>
                <w:w w:val="93"/>
              </w:rPr>
            </w:pPr>
            <w:hyperlink r:id="rId110">
              <w:r>
                <w:rPr>
                  <w:rFonts w:ascii="Arial" w:cs="Arial" w:eastAsia="Arial" w:hAnsi="Arial"/>
                  <w:sz w:val="18"/>
                  <w:szCs w:val="18"/>
                  <w:color w:val="0000EE"/>
                  <w:w w:val="93"/>
                </w:rPr>
                <w:t>Amendment No. 1 to the Contribution, Assumption and Purchase Agreement, dated as of May 29, 2015, by</w:t>
              </w:r>
            </w:hyperlink>
          </w:p>
        </w:tc>
      </w:tr>
      <w:tr>
        <w:trPr>
          <w:trHeight w:val="196"/>
        </w:trPr>
        <w:tc>
          <w:tcPr>
            <w:tcW w:w="110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and among The Pasha Group, SR Holding LLC, Horizon Lines, Inc. and Sunrise Operations LLC</w:t>
              </w:r>
            </w:hyperlink>
          </w:p>
        </w:tc>
        <w:tc>
          <w:tcPr>
            <w:tcW w:w="720" w:type="dxa"/>
            <w:vAlign w:val="bottom"/>
            <w:tcBorders>
              <w:top w:val="single" w:sz="8" w:color="0000EE"/>
            </w:tcBorders>
            <w:gridSpan w:val="7"/>
          </w:tcPr>
          <w:p>
            <w:pPr>
              <w:spacing w:after="0"/>
              <w:rPr>
                <w:sz w:val="17"/>
                <w:szCs w:val="17"/>
                <w:color w:val="auto"/>
              </w:rPr>
            </w:pPr>
          </w:p>
        </w:tc>
        <w:tc>
          <w:tcPr>
            <w:tcW w:w="220" w:type="dxa"/>
            <w:vAlign w:val="bottom"/>
            <w:gridSpan w:val="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960" w:type="dxa"/>
            <w:vAlign w:val="bottom"/>
            <w:gridSpan w:val="15"/>
          </w:tcPr>
          <w:p>
            <w:pPr>
              <w:spacing w:after="0" w:line="196" w:lineRule="exact"/>
              <w:rPr>
                <w:rFonts w:ascii="Arial" w:cs="Arial" w:eastAsia="Arial" w:hAnsi="Arial"/>
                <w:sz w:val="18"/>
                <w:szCs w:val="18"/>
                <w:color w:val="0000EE"/>
                <w:w w:val="97"/>
              </w:rPr>
            </w:pPr>
            <w:hyperlink r:id="rId110">
              <w:r>
                <w:rPr>
                  <w:rFonts w:ascii="Arial" w:cs="Arial" w:eastAsia="Arial" w:hAnsi="Arial"/>
                  <w:sz w:val="18"/>
                  <w:szCs w:val="18"/>
                  <w:color w:val="0000EE"/>
                  <w:w w:val="97"/>
                </w:rPr>
                <w:t>(incorporated by reference to Exhibit 2.2 of Matson’s Form 10-Q for the quarter ended June 30, 2015).</w:t>
              </w:r>
            </w:hyperlink>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92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1100" w:type="dxa"/>
            <w:vAlign w:val="bottom"/>
          </w:tcPr>
          <w:p>
            <w:pPr>
              <w:jc w:val="right"/>
              <w:ind w:right="790"/>
              <w:spacing w:after="0"/>
              <w:rPr>
                <w:sz w:val="20"/>
                <w:szCs w:val="20"/>
                <w:color w:val="auto"/>
              </w:rPr>
            </w:pPr>
            <w:r>
              <w:rPr>
                <w:rFonts w:ascii="Arial" w:cs="Arial" w:eastAsia="Arial" w:hAnsi="Arial"/>
                <w:sz w:val="18"/>
                <w:szCs w:val="18"/>
                <w:color w:val="auto"/>
                <w:w w:val="79"/>
              </w:rPr>
              <w:t>2.5</w:t>
            </w:r>
          </w:p>
        </w:tc>
        <w:tc>
          <w:tcPr>
            <w:tcW w:w="7800" w:type="dxa"/>
            <w:vAlign w:val="bottom"/>
            <w:tcBorders>
              <w:bottom w:val="single" w:sz="8" w:color="0000EE"/>
            </w:tcBorders>
            <w:gridSpan w:val="13"/>
          </w:tcPr>
          <w:p>
            <w:pPr>
              <w:spacing w:after="0"/>
              <w:rPr>
                <w:rFonts w:ascii="Arial" w:cs="Arial" w:eastAsia="Arial" w:hAnsi="Arial"/>
                <w:sz w:val="18"/>
                <w:szCs w:val="18"/>
                <w:color w:val="0000EE"/>
                <w:w w:val="89"/>
              </w:rPr>
            </w:pPr>
            <w:hyperlink r:id="rId111">
              <w:r>
                <w:rPr>
                  <w:rFonts w:ascii="Arial" w:cs="Arial" w:eastAsia="Arial" w:hAnsi="Arial"/>
                  <w:sz w:val="18"/>
                  <w:szCs w:val="18"/>
                  <w:color w:val="0000EE"/>
                  <w:w w:val="89"/>
                </w:rPr>
                <w:t>Membership Interest Purchase Agreement, dated as of July 18, 2016, by and between Matson Logistics, Inc.</w:t>
              </w:r>
            </w:hyperlink>
          </w:p>
        </w:tc>
        <w:tc>
          <w:tcPr>
            <w:tcW w:w="160" w:type="dxa"/>
            <w:vAlign w:val="bottom"/>
            <w:gridSpan w:val="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15"/>
          </w:tcPr>
          <w:p>
            <w:pPr>
              <w:spacing w:after="0" w:line="196" w:lineRule="exact"/>
              <w:rPr>
                <w:rFonts w:ascii="Arial" w:cs="Arial" w:eastAsia="Arial" w:hAnsi="Arial"/>
                <w:sz w:val="18"/>
                <w:szCs w:val="18"/>
                <w:color w:val="0000EE"/>
                <w:w w:val="97"/>
              </w:rPr>
            </w:pPr>
            <w:hyperlink r:id="rId111">
              <w:r>
                <w:rPr>
                  <w:rFonts w:ascii="Arial" w:cs="Arial" w:eastAsia="Arial" w:hAnsi="Arial"/>
                  <w:sz w:val="18"/>
                  <w:szCs w:val="18"/>
                  <w:color w:val="0000EE"/>
                  <w:w w:val="97"/>
                </w:rPr>
                <w:t>and Span Holdings, LLC (incorporated by reference to Exhibit 2.1 of Matson’s Form 8</w:t>
              </w:r>
              <w:r>
                <w:rPr>
                  <w:rFonts w:ascii="MS PGothic" w:cs="MS PGothic" w:eastAsia="MS PGothic" w:hAnsi="MS PGothic"/>
                  <w:sz w:val="18"/>
                  <w:szCs w:val="18"/>
                  <w:color w:val="0000EE"/>
                  <w:w w:val="97"/>
                </w:rPr>
                <w:t>‑</w:t>
              </w:r>
              <w:r>
                <w:rPr>
                  <w:rFonts w:ascii="Arial" w:cs="Arial" w:eastAsia="Arial" w:hAnsi="Arial"/>
                  <w:sz w:val="18"/>
                  <w:szCs w:val="18"/>
                  <w:color w:val="0000EE"/>
                  <w:w w:val="97"/>
                </w:rPr>
                <w:t>K dated July 18,</w:t>
              </w:r>
            </w:hyperlink>
          </w:p>
        </w:tc>
      </w:tr>
      <w:tr>
        <w:trPr>
          <w:trHeight w:val="196"/>
        </w:trPr>
        <w:tc>
          <w:tcPr>
            <w:tcW w:w="11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11">
              <w:r>
                <w:rPr>
                  <w:rFonts w:ascii="Arial" w:cs="Arial" w:eastAsia="Arial" w:hAnsi="Arial"/>
                  <w:sz w:val="18"/>
                  <w:szCs w:val="18"/>
                  <w:color w:val="0000EE"/>
                  <w:w w:val="86"/>
                </w:rPr>
                <w:t>2016).</w:t>
              </w:r>
            </w:hyperlink>
          </w:p>
        </w:tc>
        <w:tc>
          <w:tcPr>
            <w:tcW w:w="226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29" w:lineRule="exact"/>
        <w:rPr>
          <w:sz w:val="20"/>
          <w:szCs w:val="20"/>
          <w:color w:val="auto"/>
        </w:rPr>
      </w:pPr>
    </w:p>
    <w:p>
      <w:pPr>
        <w:ind w:left="1100" w:hanging="1097"/>
        <w:spacing w:after="0"/>
        <w:tabs>
          <w:tab w:leader="none" w:pos="11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jc w:val="right"/>
              <w:ind w:right="790"/>
              <w:spacing w:after="0"/>
              <w:rPr>
                <w:sz w:val="20"/>
                <w:szCs w:val="20"/>
                <w:color w:val="auto"/>
              </w:rPr>
            </w:pPr>
            <w:r>
              <w:rPr>
                <w:rFonts w:ascii="Arial" w:cs="Arial" w:eastAsia="Arial" w:hAnsi="Arial"/>
                <w:sz w:val="18"/>
                <w:szCs w:val="18"/>
                <w:color w:val="auto"/>
                <w:w w:val="79"/>
              </w:rPr>
              <w:t>3.1</w:t>
            </w:r>
          </w:p>
        </w:tc>
        <w:tc>
          <w:tcPr>
            <w:tcW w:w="7960" w:type="dxa"/>
            <w:vAlign w:val="bottom"/>
            <w:gridSpan w:val="3"/>
          </w:tcPr>
          <w:p>
            <w:pPr>
              <w:spacing w:after="0"/>
              <w:rPr>
                <w:rFonts w:ascii="Arial" w:cs="Arial" w:eastAsia="Arial" w:hAnsi="Arial"/>
                <w:sz w:val="18"/>
                <w:szCs w:val="18"/>
                <w:color w:val="0000EE"/>
                <w:w w:val="93"/>
              </w:rPr>
            </w:pPr>
            <w:hyperlink r:id="rId112">
              <w:r>
                <w:rPr>
                  <w:rFonts w:ascii="Arial" w:cs="Arial" w:eastAsia="Arial" w:hAnsi="Arial"/>
                  <w:sz w:val="18"/>
                  <w:szCs w:val="18"/>
                  <w:color w:val="0000EE"/>
                  <w:w w:val="93"/>
                </w:rPr>
                <w:t>Amended and Restated Articles of Incorporation of Matson, Inc. (incorporated by reference to Exhibit 3.1 of</w:t>
              </w:r>
            </w:hyperlink>
          </w:p>
        </w:tc>
      </w:tr>
      <w:tr>
        <w:trPr>
          <w:trHeight w:val="196"/>
        </w:trPr>
        <w:tc>
          <w:tcPr>
            <w:tcW w:w="1100" w:type="dxa"/>
            <w:vAlign w:val="bottom"/>
          </w:tcPr>
          <w:p>
            <w:pPr>
              <w:spacing w:after="0"/>
              <w:rPr>
                <w:sz w:val="17"/>
                <w:szCs w:val="17"/>
                <w:color w:val="auto"/>
              </w:rPr>
            </w:pPr>
          </w:p>
        </w:tc>
        <w:tc>
          <w:tcPr>
            <w:tcW w:w="78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Matson’s Form 10-Q for the quarter ended June 30, 2012).</w:t>
              </w:r>
            </w:hyperlink>
          </w:p>
        </w:tc>
        <w:tc>
          <w:tcPr>
            <w:tcW w:w="140" w:type="dxa"/>
            <w:vAlign w:val="bottom"/>
          </w:tcPr>
          <w:p>
            <w:pPr>
              <w:spacing w:after="0"/>
              <w:rPr>
                <w:sz w:val="17"/>
                <w:szCs w:val="17"/>
                <w:color w:val="auto"/>
              </w:rPr>
            </w:pPr>
          </w:p>
        </w:tc>
      </w:tr>
      <w:tr>
        <w:trPr>
          <w:trHeight w:val="669"/>
        </w:trPr>
        <w:tc>
          <w:tcPr>
            <w:tcW w:w="1100" w:type="dxa"/>
            <w:vAlign w:val="bottom"/>
          </w:tcPr>
          <w:p>
            <w:pPr>
              <w:spacing w:after="0"/>
              <w:rPr>
                <w:sz w:val="24"/>
                <w:szCs w:val="24"/>
                <w:color w:val="auto"/>
              </w:rPr>
            </w:pPr>
          </w:p>
        </w:tc>
        <w:tc>
          <w:tcPr>
            <w:tcW w:w="4220" w:type="dxa"/>
            <w:vAlign w:val="bottom"/>
            <w:tcBorders>
              <w:top w:val="single" w:sz="8" w:color="0000EE"/>
            </w:tcBorders>
          </w:tcPr>
          <w:p>
            <w:pPr>
              <w:jc w:val="right"/>
              <w:ind w:right="610"/>
              <w:spacing w:after="0"/>
              <w:rPr>
                <w:sz w:val="20"/>
                <w:szCs w:val="20"/>
                <w:color w:val="auto"/>
              </w:rPr>
            </w:pPr>
            <w:r>
              <w:rPr>
                <w:rFonts w:ascii="Arial" w:cs="Arial" w:eastAsia="Arial" w:hAnsi="Arial"/>
                <w:sz w:val="18"/>
                <w:szCs w:val="18"/>
                <w:color w:val="auto"/>
              </w:rPr>
              <w:t>79</w:t>
            </w:r>
          </w:p>
        </w:tc>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77"/>
        </w:trPr>
        <w:tc>
          <w:tcPr>
            <w:tcW w:w="11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3.2</w:t>
            </w:r>
          </w:p>
        </w:tc>
        <w:tc>
          <w:tcPr>
            <w:tcW w:w="7620" w:type="dxa"/>
            <w:vAlign w:val="bottom"/>
            <w:tcBorders>
              <w:bottom w:val="single" w:sz="8" w:color="0000EE"/>
            </w:tcBorders>
            <w:gridSpan w:val="18"/>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Articles of Amendment to Change Corporate Name (incorporated by reference to Exhibit 4.2 of Matson’s</w:t>
              </w:r>
            </w:hyperlink>
          </w:p>
        </w:tc>
        <w:tc>
          <w:tcPr>
            <w:tcW w:w="340" w:type="dxa"/>
            <w:vAlign w:val="bottom"/>
            <w:gridSpan w:val="9"/>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7"/>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Form S-8 dated October 26, 2012).</w:t>
              </w:r>
            </w:hyperlink>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3.3</w:t>
            </w:r>
          </w:p>
        </w:tc>
        <w:tc>
          <w:tcPr>
            <w:tcW w:w="7960" w:type="dxa"/>
            <w:vAlign w:val="bottom"/>
            <w:gridSpan w:val="27"/>
          </w:tcPr>
          <w:p>
            <w:pPr>
              <w:spacing w:after="0"/>
              <w:rPr>
                <w:rFonts w:ascii="Arial" w:cs="Arial" w:eastAsia="Arial" w:hAnsi="Arial"/>
                <w:sz w:val="18"/>
                <w:szCs w:val="18"/>
                <w:color w:val="0000EE"/>
                <w:w w:val="96"/>
              </w:rPr>
            </w:pPr>
            <w:hyperlink r:id="rId114">
              <w:r>
                <w:rPr>
                  <w:rFonts w:ascii="Arial" w:cs="Arial" w:eastAsia="Arial" w:hAnsi="Arial"/>
                  <w:sz w:val="18"/>
                  <w:szCs w:val="18"/>
                  <w:color w:val="0000EE"/>
                  <w:w w:val="96"/>
                </w:rPr>
                <w:t>Amended and Restated Bylaws of Matson, Inc. (as amended as of November 6, 2013) (incorporated by</w:t>
              </w:r>
            </w:hyperlink>
          </w:p>
        </w:tc>
      </w:tr>
      <w:tr>
        <w:trPr>
          <w:trHeight w:val="196"/>
        </w:trPr>
        <w:tc>
          <w:tcPr>
            <w:tcW w:w="110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reference to Exhibit 3.1 of Matson’s Form 10-Q for the quarter ended September 30, 2013).</w:t>
              </w:r>
            </w:hyperlink>
          </w:p>
        </w:tc>
        <w:tc>
          <w:tcPr>
            <w:tcW w:w="820" w:type="dxa"/>
            <w:vAlign w:val="bottom"/>
            <w:tcBorders>
              <w:top w:val="single" w:sz="8" w:color="0000EE"/>
            </w:tcBorders>
            <w:gridSpan w:val="8"/>
          </w:tcPr>
          <w:p>
            <w:pPr>
              <w:spacing w:after="0"/>
              <w:rPr>
                <w:sz w:val="17"/>
                <w:szCs w:val="17"/>
                <w:color w:val="auto"/>
              </w:rPr>
            </w:pPr>
          </w:p>
        </w:tc>
        <w:tc>
          <w:tcPr>
            <w:tcW w:w="540" w:type="dxa"/>
            <w:vAlign w:val="bottom"/>
            <w:gridSpan w:val="11"/>
          </w:tcPr>
          <w:p>
            <w:pPr>
              <w:spacing w:after="0"/>
              <w:rPr>
                <w:sz w:val="17"/>
                <w:szCs w:val="17"/>
                <w:color w:val="auto"/>
              </w:rPr>
            </w:pPr>
          </w:p>
        </w:tc>
      </w:tr>
      <w:tr>
        <w:trPr>
          <w:trHeight w:val="453"/>
        </w:trPr>
        <w:tc>
          <w:tcPr>
            <w:tcW w:w="1100" w:type="dxa"/>
            <w:vAlign w:val="bottom"/>
          </w:tcPr>
          <w:p>
            <w:pPr>
              <w:spacing w:after="0"/>
              <w:rPr>
                <w:sz w:val="20"/>
                <w:szCs w:val="20"/>
                <w:color w:val="auto"/>
              </w:rPr>
            </w:pPr>
            <w:r>
              <w:rPr>
                <w:rFonts w:ascii="Arial" w:cs="Arial" w:eastAsia="Arial" w:hAnsi="Arial"/>
                <w:sz w:val="18"/>
                <w:szCs w:val="18"/>
                <w:color w:val="auto"/>
              </w:rPr>
              <w:t>10</w:t>
            </w:r>
          </w:p>
        </w:tc>
        <w:tc>
          <w:tcPr>
            <w:tcW w:w="7960" w:type="dxa"/>
            <w:vAlign w:val="bottom"/>
            <w:gridSpan w:val="27"/>
          </w:tcPr>
          <w:p>
            <w:pPr>
              <w:spacing w:after="0"/>
              <w:rPr>
                <w:sz w:val="20"/>
                <w:szCs w:val="20"/>
                <w:color w:val="auto"/>
              </w:rPr>
            </w:pPr>
            <w:r>
              <w:rPr>
                <w:rFonts w:ascii="Arial" w:cs="Arial" w:eastAsia="Arial" w:hAnsi="Arial"/>
                <w:sz w:val="18"/>
                <w:szCs w:val="18"/>
                <w:color w:val="auto"/>
              </w:rPr>
              <w:t>Material contracts.</w:t>
            </w:r>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7960" w:type="dxa"/>
            <w:vAlign w:val="bottom"/>
            <w:gridSpan w:val="27"/>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Amended and Restated Credit Agreement among Matson, Inc., Bank of America, N.A., as the Agent, and the</w:t>
              </w:r>
            </w:hyperlink>
          </w:p>
        </w:tc>
      </w:tr>
      <w:tr>
        <w:trPr>
          <w:trHeight w:val="196"/>
        </w:trPr>
        <w:tc>
          <w:tcPr>
            <w:tcW w:w="1100" w:type="dxa"/>
            <w:vAlign w:val="bottom"/>
          </w:tcPr>
          <w:p>
            <w:pPr>
              <w:spacing w:after="0"/>
              <w:rPr>
                <w:sz w:val="17"/>
                <w:szCs w:val="17"/>
                <w:color w:val="auto"/>
              </w:rPr>
            </w:pPr>
          </w:p>
        </w:tc>
        <w:tc>
          <w:tcPr>
            <w:tcW w:w="77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lenders thereto, dated as of June 29, 2017 (incorporated by reference to Exhibit 10.1 of Matson’s Form 8-K</w:t>
              </w:r>
            </w:hyperlink>
          </w:p>
        </w:tc>
        <w:tc>
          <w:tcPr>
            <w:tcW w:w="140" w:type="dxa"/>
            <w:vAlign w:val="bottom"/>
            <w:tcBorders>
              <w:top w:val="single" w:sz="8" w:color="0000EE"/>
            </w:tcBorders>
            <w:gridSpan w:val="3"/>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7"/>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dated June 29, 2017).</w:t>
              </w:r>
            </w:hyperlink>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w:t>
            </w:r>
          </w:p>
        </w:tc>
        <w:tc>
          <w:tcPr>
            <w:tcW w:w="7840" w:type="dxa"/>
            <w:vAlign w:val="bottom"/>
            <w:tcBorders>
              <w:bottom w:val="single" w:sz="8" w:color="0000EE"/>
            </w:tcBorders>
            <w:gridSpan w:val="22"/>
          </w:tcPr>
          <w:p>
            <w:pPr>
              <w:spacing w:after="0"/>
              <w:rPr>
                <w:rFonts w:ascii="Arial" w:cs="Arial" w:eastAsia="Arial" w:hAnsi="Arial"/>
                <w:sz w:val="18"/>
                <w:szCs w:val="18"/>
                <w:color w:val="0000EE"/>
                <w:w w:val="89"/>
              </w:rPr>
            </w:pPr>
            <w:hyperlink r:id="rId116">
              <w:r>
                <w:rPr>
                  <w:rFonts w:ascii="Arial" w:cs="Arial" w:eastAsia="Arial" w:hAnsi="Arial"/>
                  <w:sz w:val="18"/>
                  <w:szCs w:val="18"/>
                  <w:color w:val="0000EE"/>
                  <w:w w:val="89"/>
                </w:rPr>
                <w:t>Amendment to Note Purchase Agreement among Matson, Inc. and the purchasers named therein, dated as of</w:t>
              </w:r>
            </w:hyperlink>
          </w:p>
        </w:tc>
        <w:tc>
          <w:tcPr>
            <w:tcW w:w="120" w:type="dxa"/>
            <w:vAlign w:val="bottom"/>
            <w:gridSpan w:val="5"/>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3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June 29, 2017 (incorporated by reference to Exhibit 10.2 of Matson’s Form 8-K dated June 29, 2017).</w:t>
              </w:r>
            </w:hyperlink>
          </w:p>
        </w:tc>
        <w:tc>
          <w:tcPr>
            <w:tcW w:w="620" w:type="dxa"/>
            <w:vAlign w:val="bottom"/>
            <w:gridSpan w:val="14"/>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w:t>
            </w:r>
          </w:p>
        </w:tc>
        <w:tc>
          <w:tcPr>
            <w:tcW w:w="7840" w:type="dxa"/>
            <w:vAlign w:val="bottom"/>
            <w:tcBorders>
              <w:bottom w:val="single" w:sz="8" w:color="0000EE"/>
            </w:tcBorders>
            <w:gridSpan w:val="22"/>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Amendment to Note Purchase Agreement among Matson, Inc. and the purchasers named therein, dated as of</w:t>
              </w:r>
            </w:hyperlink>
          </w:p>
        </w:tc>
        <w:tc>
          <w:tcPr>
            <w:tcW w:w="120" w:type="dxa"/>
            <w:vAlign w:val="bottom"/>
            <w:gridSpan w:val="5"/>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7"/>
          </w:tcPr>
          <w:p>
            <w:pPr>
              <w:spacing w:after="0" w:line="196" w:lineRule="exact"/>
              <w:rPr>
                <w:rFonts w:ascii="Arial" w:cs="Arial" w:eastAsia="Arial" w:hAnsi="Arial"/>
                <w:sz w:val="18"/>
                <w:szCs w:val="18"/>
                <w:color w:val="0000EE"/>
                <w:w w:val="98"/>
              </w:rPr>
            </w:pPr>
            <w:hyperlink r:id="rId117">
              <w:r>
                <w:rPr>
                  <w:rFonts w:ascii="Arial" w:cs="Arial" w:eastAsia="Arial" w:hAnsi="Arial"/>
                  <w:sz w:val="18"/>
                  <w:szCs w:val="18"/>
                  <w:color w:val="0000EE"/>
                  <w:w w:val="98"/>
                </w:rPr>
                <w:t>June 29, 2017 (incorporated by reference to Exhibit 10.3 of Matson’s Form 8-K dated June 29, 2017).</w:t>
              </w:r>
            </w:hyperlink>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72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r:id="rId118">
              <w:r>
                <w:rPr>
                  <w:rFonts w:ascii="Arial" w:cs="Arial" w:eastAsia="Arial" w:hAnsi="Arial"/>
                  <w:sz w:val="18"/>
                  <w:szCs w:val="18"/>
                  <w:color w:val="0000EE"/>
                  <w:w w:val="89"/>
                </w:rPr>
                <w:t>Amendment to Third Amended and Restated Note Purchase Agreement among Matson, Inc. and the</w:t>
              </w:r>
            </w:hyperlink>
          </w:p>
        </w:tc>
        <w:tc>
          <w:tcPr>
            <w:tcW w:w="100" w:type="dxa"/>
            <w:vAlign w:val="bottom"/>
            <w:tcBorders>
              <w:top w:val="single" w:sz="8" w:color="0000EE"/>
            </w:tcBorders>
          </w:tcPr>
          <w:p>
            <w:pPr>
              <w:spacing w:after="0"/>
              <w:rPr>
                <w:sz w:val="24"/>
                <w:szCs w:val="24"/>
                <w:color w:val="auto"/>
              </w:rPr>
            </w:pPr>
          </w:p>
        </w:tc>
        <w:tc>
          <w:tcPr>
            <w:tcW w:w="640" w:type="dxa"/>
            <w:vAlign w:val="bottom"/>
            <w:gridSpan w:val="15"/>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7"/>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purchasers named therein, dated as of June 29, 2017 (incorporated by reference to Exhibit 10.4 of Matson’s</w:t>
              </w:r>
            </w:hyperlink>
          </w:p>
        </w:tc>
      </w:tr>
      <w:tr>
        <w:trPr>
          <w:trHeight w:val="196"/>
        </w:trPr>
        <w:tc>
          <w:tcPr>
            <w:tcW w:w="1100" w:type="dxa"/>
            <w:vAlign w:val="bottom"/>
          </w:tcPr>
          <w:p>
            <w:pPr>
              <w:spacing w:after="0"/>
              <w:rPr>
                <w:sz w:val="17"/>
                <w:szCs w:val="17"/>
                <w:color w:val="auto"/>
              </w:rPr>
            </w:pPr>
          </w:p>
        </w:tc>
        <w:tc>
          <w:tcPr>
            <w:tcW w:w="77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Form 8-K dated June 29, 2017).</w:t>
              </w:r>
            </w:hyperlink>
          </w:p>
        </w:tc>
        <w:tc>
          <w:tcPr>
            <w:tcW w:w="240" w:type="dxa"/>
            <w:vAlign w:val="bottom"/>
            <w:gridSpan w:val="7"/>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10.5</w:t>
            </w:r>
          </w:p>
        </w:tc>
        <w:tc>
          <w:tcPr>
            <w:tcW w:w="7840" w:type="dxa"/>
            <w:vAlign w:val="bottom"/>
            <w:tcBorders>
              <w:bottom w:val="single" w:sz="8" w:color="0000EE"/>
            </w:tcBorders>
            <w:gridSpan w:val="22"/>
          </w:tcPr>
          <w:p>
            <w:pPr>
              <w:spacing w:after="0"/>
              <w:rPr>
                <w:rFonts w:ascii="Arial" w:cs="Arial" w:eastAsia="Arial" w:hAnsi="Arial"/>
                <w:sz w:val="18"/>
                <w:szCs w:val="18"/>
                <w:color w:val="0000EE"/>
                <w:w w:val="89"/>
              </w:rPr>
            </w:pPr>
            <w:hyperlink r:id="rId119">
              <w:r>
                <w:rPr>
                  <w:rFonts w:ascii="Arial" w:cs="Arial" w:eastAsia="Arial" w:hAnsi="Arial"/>
                  <w:sz w:val="18"/>
                  <w:szCs w:val="18"/>
                  <w:color w:val="0000EE"/>
                  <w:w w:val="89"/>
                </w:rPr>
                <w:t>Amendment to Note Purchase Agreement among Matson, Inc. and the purchasers named therein, dated as of</w:t>
              </w:r>
            </w:hyperlink>
          </w:p>
        </w:tc>
        <w:tc>
          <w:tcPr>
            <w:tcW w:w="120" w:type="dxa"/>
            <w:vAlign w:val="bottom"/>
            <w:gridSpan w:val="5"/>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3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June 29, 2017 (incorporated by reference to Exhibit 10.5 of Matson’s Form 8-K dated June 29, 2017).</w:t>
              </w:r>
            </w:hyperlink>
          </w:p>
        </w:tc>
        <w:tc>
          <w:tcPr>
            <w:tcW w:w="620" w:type="dxa"/>
            <w:vAlign w:val="bottom"/>
            <w:gridSpan w:val="14"/>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10.6</w:t>
            </w:r>
          </w:p>
        </w:tc>
        <w:tc>
          <w:tcPr>
            <w:tcW w:w="7640" w:type="dxa"/>
            <w:vAlign w:val="bottom"/>
            <w:tcBorders>
              <w:bottom w:val="single" w:sz="8" w:color="0000EE"/>
            </w:tcBorders>
            <w:gridSpan w:val="19"/>
          </w:tcPr>
          <w:p>
            <w:pPr>
              <w:spacing w:after="0"/>
              <w:rPr>
                <w:rFonts w:ascii="Arial" w:cs="Arial" w:eastAsia="Arial" w:hAnsi="Arial"/>
                <w:sz w:val="18"/>
                <w:szCs w:val="18"/>
                <w:color w:val="0000EE"/>
                <w:w w:val="88"/>
              </w:rPr>
            </w:pPr>
            <w:hyperlink r:id="rId120">
              <w:r>
                <w:rPr>
                  <w:rFonts w:ascii="Arial" w:cs="Arial" w:eastAsia="Arial" w:hAnsi="Arial"/>
                  <w:sz w:val="18"/>
                  <w:szCs w:val="18"/>
                  <w:color w:val="0000EE"/>
                  <w:w w:val="88"/>
                </w:rPr>
                <w:t>Note Purchase Agreement among Matson, Inc. and the purchasers party thereto, dated as of December 21,</w:t>
              </w:r>
            </w:hyperlink>
          </w:p>
        </w:tc>
        <w:tc>
          <w:tcPr>
            <w:tcW w:w="320" w:type="dxa"/>
            <w:vAlign w:val="bottom"/>
            <w:gridSpan w:val="8"/>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1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2016 (incorporated by reference to Exhibit 10.1 of Matson’s Form 8-K dated December 21, 2016).</w:t>
              </w:r>
            </w:hyperlink>
          </w:p>
        </w:tc>
        <w:tc>
          <w:tcPr>
            <w:tcW w:w="860" w:type="dxa"/>
            <w:vAlign w:val="bottom"/>
            <w:gridSpan w:val="17"/>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10.7</w:t>
            </w:r>
          </w:p>
        </w:tc>
        <w:tc>
          <w:tcPr>
            <w:tcW w:w="7960" w:type="dxa"/>
            <w:vAlign w:val="bottom"/>
            <w:gridSpan w:val="27"/>
          </w:tcPr>
          <w:p>
            <w:pPr>
              <w:spacing w:after="0"/>
              <w:rPr>
                <w:rFonts w:ascii="Arial" w:cs="Arial" w:eastAsia="Arial" w:hAnsi="Arial"/>
                <w:sz w:val="18"/>
                <w:szCs w:val="18"/>
                <w:color w:val="0000EE"/>
                <w:w w:val="96"/>
              </w:rPr>
            </w:pPr>
            <w:hyperlink r:id="rId121">
              <w:r>
                <w:rPr>
                  <w:rFonts w:ascii="Arial" w:cs="Arial" w:eastAsia="Arial" w:hAnsi="Arial"/>
                  <w:sz w:val="18"/>
                  <w:szCs w:val="18"/>
                  <w:color w:val="0000EE"/>
                  <w:w w:val="96"/>
                </w:rPr>
                <w:t>Third Amended and Restated Note Purchase and Private Shelf Agreement among Matson, Inc. and the</w:t>
              </w:r>
            </w:hyperlink>
          </w:p>
        </w:tc>
      </w:tr>
      <w:tr>
        <w:trPr>
          <w:trHeight w:val="196"/>
        </w:trPr>
        <w:tc>
          <w:tcPr>
            <w:tcW w:w="1100" w:type="dxa"/>
            <w:vAlign w:val="bottom"/>
          </w:tcPr>
          <w:p>
            <w:pPr>
              <w:spacing w:after="0"/>
              <w:rPr>
                <w:sz w:val="17"/>
                <w:szCs w:val="17"/>
                <w:color w:val="auto"/>
              </w:rPr>
            </w:pPr>
          </w:p>
        </w:tc>
        <w:tc>
          <w:tcPr>
            <w:tcW w:w="73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purchasers party thereto, dated as of September 14, 2016 (incorporated by reference to Exhibit 10.1 of</w:t>
              </w:r>
            </w:hyperlink>
          </w:p>
        </w:tc>
        <w:tc>
          <w:tcPr>
            <w:tcW w:w="20" w:type="dxa"/>
            <w:vAlign w:val="bottom"/>
            <w:tcBorders>
              <w:top w:val="single" w:sz="8" w:color="0000EE"/>
            </w:tcBorders>
          </w:tcPr>
          <w:p>
            <w:pPr>
              <w:spacing w:after="0"/>
              <w:rPr>
                <w:sz w:val="17"/>
                <w:szCs w:val="17"/>
                <w:color w:val="auto"/>
              </w:rPr>
            </w:pPr>
          </w:p>
        </w:tc>
        <w:tc>
          <w:tcPr>
            <w:tcW w:w="580" w:type="dxa"/>
            <w:vAlign w:val="bottom"/>
            <w:gridSpan w:val="12"/>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7"/>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Matson’s Form 8-K dated September 14, 2016).</w:t>
              </w:r>
            </w:hyperlink>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10.8</w:t>
            </w:r>
          </w:p>
        </w:tc>
        <w:tc>
          <w:tcPr>
            <w:tcW w:w="7620" w:type="dxa"/>
            <w:vAlign w:val="bottom"/>
            <w:tcBorders>
              <w:bottom w:val="single" w:sz="8" w:color="0000EE"/>
            </w:tcBorders>
            <w:gridSpan w:val="18"/>
          </w:tcPr>
          <w:p>
            <w:pPr>
              <w:spacing w:after="0"/>
              <w:rPr>
                <w:rFonts w:ascii="Arial" w:cs="Arial" w:eastAsia="Arial" w:hAnsi="Arial"/>
                <w:sz w:val="18"/>
                <w:szCs w:val="18"/>
                <w:color w:val="0000EE"/>
                <w:w w:val="89"/>
              </w:rPr>
            </w:pPr>
            <w:hyperlink r:id="rId122">
              <w:r>
                <w:rPr>
                  <w:rFonts w:ascii="Arial" w:cs="Arial" w:eastAsia="Arial" w:hAnsi="Arial"/>
                  <w:sz w:val="18"/>
                  <w:szCs w:val="18"/>
                  <w:color w:val="0000EE"/>
                  <w:w w:val="89"/>
                </w:rPr>
                <w:t>Note Purchase Agreement among Matson, Inc. and the purchasers party thereto, dated as of July 30, 2015</w:t>
              </w:r>
            </w:hyperlink>
          </w:p>
        </w:tc>
        <w:tc>
          <w:tcPr>
            <w:tcW w:w="340" w:type="dxa"/>
            <w:vAlign w:val="bottom"/>
            <w:gridSpan w:val="9"/>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63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(incorporated by reference to Exhibit 10.1 of Matson’s Form 8-K dated August 3, 2015).</w:t>
              </w:r>
            </w:hyperlink>
          </w:p>
        </w:tc>
        <w:tc>
          <w:tcPr>
            <w:tcW w:w="1580" w:type="dxa"/>
            <w:vAlign w:val="bottom"/>
            <w:gridSpan w:val="20"/>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10.9</w:t>
            </w:r>
          </w:p>
        </w:tc>
        <w:tc>
          <w:tcPr>
            <w:tcW w:w="7780" w:type="dxa"/>
            <w:vAlign w:val="bottom"/>
            <w:tcBorders>
              <w:bottom w:val="single" w:sz="8" w:color="0000EE"/>
            </w:tcBorders>
            <w:gridSpan w:val="21"/>
          </w:tcPr>
          <w:p>
            <w:pPr>
              <w:spacing w:after="0"/>
              <w:rPr>
                <w:rFonts w:ascii="Arial" w:cs="Arial" w:eastAsia="Arial" w:hAnsi="Arial"/>
                <w:sz w:val="18"/>
                <w:szCs w:val="18"/>
                <w:color w:val="0000EE"/>
                <w:w w:val="89"/>
              </w:rPr>
            </w:pPr>
            <w:hyperlink r:id="rId123">
              <w:r>
                <w:rPr>
                  <w:rFonts w:ascii="Arial" w:cs="Arial" w:eastAsia="Arial" w:hAnsi="Arial"/>
                  <w:sz w:val="18"/>
                  <w:szCs w:val="18"/>
                  <w:color w:val="0000EE"/>
                  <w:w w:val="89"/>
                </w:rPr>
                <w:t>Amendment to the Note Purchase Agreement among Matson, Inc. and the purchasers party thereto, dated as</w:t>
              </w:r>
            </w:hyperlink>
          </w:p>
        </w:tc>
        <w:tc>
          <w:tcPr>
            <w:tcW w:w="180" w:type="dxa"/>
            <w:vAlign w:val="bottom"/>
            <w:gridSpan w:val="6"/>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6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of July 30, 2015 (incorporated by reference to Exhibit 10.3 of Matson’s Form 8-K dated August 3, 2015).</w:t>
              </w:r>
            </w:hyperlink>
          </w:p>
        </w:tc>
        <w:tc>
          <w:tcPr>
            <w:tcW w:w="360" w:type="dxa"/>
            <w:vAlign w:val="bottom"/>
            <w:gridSpan w:val="10"/>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10.10</w:t>
            </w:r>
          </w:p>
        </w:tc>
        <w:tc>
          <w:tcPr>
            <w:tcW w:w="7940" w:type="dxa"/>
            <w:vAlign w:val="bottom"/>
            <w:tcBorders>
              <w:bottom w:val="single" w:sz="8" w:color="0000EE"/>
            </w:tcBorders>
            <w:gridSpan w:val="26"/>
          </w:tcPr>
          <w:p>
            <w:pPr>
              <w:spacing w:after="0"/>
              <w:rPr>
                <w:rFonts w:ascii="Arial" w:cs="Arial" w:eastAsia="Arial" w:hAnsi="Arial"/>
                <w:sz w:val="18"/>
                <w:szCs w:val="18"/>
                <w:color w:val="0000EE"/>
                <w:w w:val="89"/>
              </w:rPr>
            </w:pPr>
            <w:hyperlink r:id="rId124">
              <w:r>
                <w:rPr>
                  <w:rFonts w:ascii="Arial" w:cs="Arial" w:eastAsia="Arial" w:hAnsi="Arial"/>
                  <w:sz w:val="18"/>
                  <w:szCs w:val="18"/>
                  <w:color w:val="0000EE"/>
                  <w:w w:val="89"/>
                </w:rPr>
                <w:t>First Amendment to Note Purchase Agreement amount Matson, Inc. and the purchasers party thereto, dated as</w:t>
              </w:r>
            </w:hyperlink>
          </w:p>
        </w:tc>
        <w:tc>
          <w:tcPr>
            <w:tcW w:w="2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8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of October 1, 2015 (incorporated by reference to Exhibit 10.1 of Matson’s Form 8-K dated October 2, 2015).</w:t>
              </w:r>
            </w:hyperlink>
          </w:p>
        </w:tc>
        <w:tc>
          <w:tcPr>
            <w:tcW w:w="120" w:type="dxa"/>
            <w:vAlign w:val="bottom"/>
            <w:gridSpan w:val="5"/>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10.11</w:t>
            </w:r>
          </w:p>
        </w:tc>
        <w:tc>
          <w:tcPr>
            <w:tcW w:w="7620" w:type="dxa"/>
            <w:vAlign w:val="bottom"/>
            <w:tcBorders>
              <w:bottom w:val="single" w:sz="8" w:color="0000EE"/>
            </w:tcBorders>
            <w:gridSpan w:val="18"/>
          </w:tcPr>
          <w:p>
            <w:pPr>
              <w:spacing w:after="0"/>
              <w:rPr>
                <w:rFonts w:ascii="Arial" w:cs="Arial" w:eastAsia="Arial" w:hAnsi="Arial"/>
                <w:sz w:val="18"/>
                <w:szCs w:val="18"/>
                <w:color w:val="0000EE"/>
                <w:w w:val="89"/>
              </w:rPr>
            </w:pPr>
            <w:hyperlink r:id="rId125">
              <w:r>
                <w:rPr>
                  <w:rFonts w:ascii="Arial" w:cs="Arial" w:eastAsia="Arial" w:hAnsi="Arial"/>
                  <w:sz w:val="18"/>
                  <w:szCs w:val="18"/>
                  <w:color w:val="0000EE"/>
                  <w:w w:val="89"/>
                </w:rPr>
                <w:t>Note Purchase Agreement among Matson, Inc., and the purchasers party thereto, dated as of November 5,</w:t>
              </w:r>
            </w:hyperlink>
          </w:p>
        </w:tc>
        <w:tc>
          <w:tcPr>
            <w:tcW w:w="340" w:type="dxa"/>
            <w:vAlign w:val="bottom"/>
            <w:gridSpan w:val="9"/>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69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2013 (incorporated by reference to Exhibit 10.1 of Matson’s Form 8-K dated January 29, 2014).</w:t>
              </w:r>
            </w:hyperlink>
          </w:p>
        </w:tc>
        <w:tc>
          <w:tcPr>
            <w:tcW w:w="1040" w:type="dxa"/>
            <w:vAlign w:val="bottom"/>
            <w:gridSpan w:val="18"/>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10.12</w:t>
            </w:r>
          </w:p>
        </w:tc>
        <w:tc>
          <w:tcPr>
            <w:tcW w:w="7960" w:type="dxa"/>
            <w:vAlign w:val="bottom"/>
            <w:gridSpan w:val="27"/>
          </w:tcPr>
          <w:p>
            <w:pPr>
              <w:spacing w:after="0"/>
              <w:rPr>
                <w:rFonts w:ascii="Arial" w:cs="Arial" w:eastAsia="Arial" w:hAnsi="Arial"/>
                <w:sz w:val="18"/>
                <w:szCs w:val="18"/>
                <w:color w:val="0000EE"/>
                <w:w w:val="93"/>
              </w:rPr>
            </w:pPr>
            <w:hyperlink r:id="rId126">
              <w:r>
                <w:rPr>
                  <w:rFonts w:ascii="Arial" w:cs="Arial" w:eastAsia="Arial" w:hAnsi="Arial"/>
                  <w:sz w:val="18"/>
                  <w:szCs w:val="18"/>
                  <w:color w:val="0000EE"/>
                  <w:w w:val="93"/>
                </w:rPr>
                <w:t>Amended and Restated Limited Liability Company Agreement of SSA Terminals, LLC by and between SSA</w:t>
              </w:r>
            </w:hyperlink>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420" w:type="dxa"/>
            <w:vAlign w:val="bottom"/>
            <w:gridSpan w:val="5"/>
            <w:shd w:val="clear" w:color="auto" w:fill="0000EE"/>
          </w:tcPr>
          <w:p>
            <w:pPr>
              <w:spacing w:after="0" w:line="20" w:lineRule="exact"/>
              <w:rPr>
                <w:sz w:val="1"/>
                <w:szCs w:val="1"/>
                <w:color w:val="auto"/>
              </w:rPr>
            </w:pPr>
          </w:p>
        </w:tc>
        <w:tc>
          <w:tcPr>
            <w:tcW w:w="2320" w:type="dxa"/>
            <w:vAlign w:val="bottom"/>
            <w:tcBorders>
              <w:right w:val="single" w:sz="8" w:color="0000EE"/>
            </w:tcBorders>
            <w:gridSpan w:val="16"/>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94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Ventures, Inc. and Matson Ventures, Inc., dated as of April 24, 2002 (certain portions of this exhibit have been</w:t>
              </w:r>
            </w:hyperlink>
          </w:p>
        </w:tc>
        <w:tc>
          <w:tcPr>
            <w:tcW w:w="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7"/>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omitted pursuant to a confidential treatment request submitted to the Commission) (incorporated by reference</w:t>
              </w:r>
            </w:hyperlink>
          </w:p>
        </w:tc>
      </w:tr>
      <w:tr>
        <w:trPr>
          <w:trHeight w:val="196"/>
        </w:trPr>
        <w:tc>
          <w:tcPr>
            <w:tcW w:w="1100" w:type="dxa"/>
            <w:vAlign w:val="bottom"/>
          </w:tcPr>
          <w:p>
            <w:pPr>
              <w:spacing w:after="0"/>
              <w:rPr>
                <w:sz w:val="17"/>
                <w:szCs w:val="17"/>
                <w:color w:val="auto"/>
              </w:rPr>
            </w:pPr>
          </w:p>
        </w:tc>
        <w:tc>
          <w:tcPr>
            <w:tcW w:w="78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to Exhibit 10.1 of Matson’s Form 10-Q for the quarter ended June 30, 2012).</w:t>
              </w:r>
            </w:hyperlink>
          </w:p>
        </w:tc>
        <w:tc>
          <w:tcPr>
            <w:tcW w:w="80" w:type="dxa"/>
            <w:vAlign w:val="bottom"/>
            <w:gridSpan w:val="3"/>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420" w:type="dxa"/>
            <w:vAlign w:val="bottom"/>
            <w:gridSpan w:val="5"/>
            <w:shd w:val="clear" w:color="auto" w:fill="0000EE"/>
          </w:tcPr>
          <w:p>
            <w:pPr>
              <w:spacing w:after="0" w:line="20" w:lineRule="exact"/>
              <w:rPr>
                <w:sz w:val="1"/>
                <w:szCs w:val="1"/>
                <w:color w:val="auto"/>
              </w:rPr>
            </w:pPr>
          </w:p>
        </w:tc>
        <w:tc>
          <w:tcPr>
            <w:tcW w:w="2320" w:type="dxa"/>
            <w:vAlign w:val="bottom"/>
            <w:gridSpan w:val="1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10.13</w:t>
            </w:r>
          </w:p>
        </w:tc>
        <w:tc>
          <w:tcPr>
            <w:tcW w:w="7900" w:type="dxa"/>
            <w:vAlign w:val="bottom"/>
            <w:tcBorders>
              <w:bottom w:val="single" w:sz="8" w:color="0000EE"/>
            </w:tcBorders>
            <w:gridSpan w:val="25"/>
          </w:tcPr>
          <w:p>
            <w:pPr>
              <w:spacing w:after="0"/>
              <w:rPr>
                <w:rFonts w:ascii="Arial" w:cs="Arial" w:eastAsia="Arial" w:hAnsi="Arial"/>
                <w:sz w:val="18"/>
                <w:szCs w:val="18"/>
                <w:color w:val="0000EE"/>
                <w:w w:val="91"/>
              </w:rPr>
            </w:pPr>
            <w:hyperlink r:id="rId127">
              <w:r>
                <w:rPr>
                  <w:rFonts w:ascii="Arial" w:cs="Arial" w:eastAsia="Arial" w:hAnsi="Arial"/>
                  <w:sz w:val="18"/>
                  <w:szCs w:val="18"/>
                  <w:color w:val="0000EE"/>
                  <w:w w:val="91"/>
                </w:rPr>
                <w:t>Parent Company Agreement, dated as of April 24, 2002, by and among SSA Pacific Terminals, Inc., formerly</w:t>
              </w:r>
            </w:hyperlink>
          </w:p>
        </w:tc>
        <w:tc>
          <w:tcPr>
            <w:tcW w:w="60" w:type="dxa"/>
            <w:vAlign w:val="bottom"/>
            <w:gridSpan w:val="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8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known as Stevedoring Services of America, Inc., SSA Ventures, Inc., Matson Navigation Company, Inc. and</w:t>
              </w:r>
            </w:hyperlink>
          </w:p>
        </w:tc>
        <w:tc>
          <w:tcPr>
            <w:tcW w:w="120" w:type="dxa"/>
            <w:vAlign w:val="bottom"/>
            <w:gridSpan w:val="5"/>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7"/>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Matson Ventures, Inc. (incorporated by reference to Exhibit 10.2 of Matson’s Form 10-Q for the quarter ended</w:t>
              </w:r>
            </w:hyperlink>
          </w:p>
        </w:tc>
      </w:tr>
      <w:tr>
        <w:trPr>
          <w:trHeight w:val="196"/>
        </w:trPr>
        <w:tc>
          <w:tcPr>
            <w:tcW w:w="1100" w:type="dxa"/>
            <w:vAlign w:val="bottom"/>
          </w:tcPr>
          <w:p>
            <w:pPr>
              <w:spacing w:after="0"/>
              <w:rPr>
                <w:sz w:val="17"/>
                <w:szCs w:val="17"/>
                <w:color w:val="auto"/>
              </w:rPr>
            </w:pPr>
          </w:p>
        </w:tc>
        <w:tc>
          <w:tcPr>
            <w:tcW w:w="79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June 30, 2012).</w:t>
              </w:r>
            </w:hyperlink>
          </w:p>
        </w:tc>
        <w:tc>
          <w:tcPr>
            <w:tcW w:w="20" w:type="dxa"/>
            <w:vAlign w:val="bottom"/>
          </w:tcPr>
          <w:p>
            <w:pPr>
              <w:spacing w:after="0"/>
              <w:rPr>
                <w:sz w:val="17"/>
                <w:szCs w:val="17"/>
                <w:color w:val="auto"/>
              </w:rPr>
            </w:pPr>
          </w:p>
        </w:tc>
      </w:tr>
      <w:tr>
        <w:trPr>
          <w:trHeight w:val="669"/>
        </w:trPr>
        <w:tc>
          <w:tcPr>
            <w:tcW w:w="110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4420" w:type="dxa"/>
            <w:vAlign w:val="bottom"/>
            <w:gridSpan w:val="5"/>
          </w:tcPr>
          <w:p>
            <w:pPr>
              <w:jc w:val="right"/>
              <w:ind w:right="2000"/>
              <w:spacing w:after="0"/>
              <w:rPr>
                <w:sz w:val="20"/>
                <w:szCs w:val="20"/>
                <w:color w:val="auto"/>
              </w:rPr>
            </w:pPr>
            <w:r>
              <w:rPr>
                <w:rFonts w:ascii="Arial" w:cs="Arial" w:eastAsia="Arial" w:hAnsi="Arial"/>
                <w:sz w:val="18"/>
                <w:szCs w:val="18"/>
                <w:color w:val="auto"/>
              </w:rPr>
              <w:t>80</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77"/>
        </w:trPr>
        <w:tc>
          <w:tcPr>
            <w:tcW w:w="1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10.14</w:t>
            </w:r>
          </w:p>
        </w:tc>
        <w:tc>
          <w:tcPr>
            <w:tcW w:w="7960" w:type="dxa"/>
            <w:vAlign w:val="bottom"/>
            <w:gridSpan w:val="31"/>
          </w:tcPr>
          <w:p>
            <w:pPr>
              <w:spacing w:after="0"/>
              <w:rPr>
                <w:rFonts w:ascii="Arial" w:cs="Arial" w:eastAsia="Arial" w:hAnsi="Arial"/>
                <w:sz w:val="18"/>
                <w:szCs w:val="18"/>
                <w:color w:val="0000EE"/>
                <w:w w:val="97"/>
              </w:rPr>
            </w:pPr>
            <w:hyperlink r:id="rId128">
              <w:r>
                <w:rPr>
                  <w:rFonts w:ascii="Arial" w:cs="Arial" w:eastAsia="Arial" w:hAnsi="Arial"/>
                  <w:sz w:val="18"/>
                  <w:szCs w:val="18"/>
                  <w:color w:val="0000EE"/>
                  <w:w w:val="97"/>
                </w:rPr>
                <w:t>Security Agreement between Matson Navigation Company, Inc. and the United States of America, with</w:t>
              </w:r>
            </w:hyperlink>
          </w:p>
        </w:tc>
      </w:tr>
      <w:tr>
        <w:trPr>
          <w:trHeight w:val="20"/>
        </w:trPr>
        <w:tc>
          <w:tcPr>
            <w:tcW w:w="1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5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 xml:space="preserve">respect to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55 million of Title XI ship financing bonds, dated July 29, 2004 (incorporated by reference to</w:t>
              </w:r>
            </w:hyperlink>
          </w:p>
        </w:tc>
        <w:tc>
          <w:tcPr>
            <w:tcW w:w="380" w:type="dxa"/>
            <w:vAlign w:val="bottom"/>
            <w:gridSpan w:val="11"/>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68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Exhibit 10.a.(xxvi) of Alexander &amp; Baldwin, Inc.’s Form 10-Q for the quarter ended September 30, 2004).</w:t>
              </w:r>
            </w:hyperlink>
          </w:p>
        </w:tc>
        <w:tc>
          <w:tcPr>
            <w:tcW w:w="280" w:type="dxa"/>
            <w:vAlign w:val="bottom"/>
            <w:gridSpan w:val="8"/>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10.15</w:t>
            </w:r>
          </w:p>
        </w:tc>
        <w:tc>
          <w:tcPr>
            <w:tcW w:w="7960" w:type="dxa"/>
            <w:vAlign w:val="bottom"/>
            <w:gridSpan w:val="31"/>
          </w:tcPr>
          <w:p>
            <w:pPr>
              <w:spacing w:after="0"/>
              <w:rPr>
                <w:rFonts w:ascii="Arial" w:cs="Arial" w:eastAsia="Arial" w:hAnsi="Arial"/>
                <w:sz w:val="18"/>
                <w:szCs w:val="18"/>
                <w:color w:val="0000EE"/>
                <w:w w:val="91"/>
              </w:rPr>
            </w:pPr>
            <w:hyperlink r:id="rId129">
              <w:r>
                <w:rPr>
                  <w:rFonts w:ascii="Arial" w:cs="Arial" w:eastAsia="Arial" w:hAnsi="Arial"/>
                  <w:sz w:val="18"/>
                  <w:szCs w:val="18"/>
                  <w:color w:val="0000EE"/>
                  <w:w w:val="91"/>
                </w:rPr>
                <w:t>Amendment No. 1 dated September 21, 2007, to Security Agreement between Matson Navigation Company,</w:t>
              </w:r>
            </w:hyperlink>
          </w:p>
        </w:tc>
      </w:tr>
      <w:tr>
        <w:trPr>
          <w:trHeight w:val="20"/>
        </w:trPr>
        <w:tc>
          <w:tcPr>
            <w:tcW w:w="1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92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 xml:space="preserve">Inc. and the United States of America, with respect to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55 million of Title XI ship financing bonds, dated July</w:t>
              </w:r>
            </w:hyperlink>
          </w:p>
        </w:tc>
        <w:tc>
          <w:tcPr>
            <w:tcW w:w="40" w:type="dxa"/>
            <w:vAlign w:val="bottom"/>
            <w:gridSpan w:val="2"/>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960" w:type="dxa"/>
            <w:vAlign w:val="bottom"/>
            <w:gridSpan w:val="31"/>
          </w:tcPr>
          <w:p>
            <w:pPr>
              <w:spacing w:after="0" w:line="196" w:lineRule="exact"/>
              <w:rPr>
                <w:rFonts w:ascii="Arial" w:cs="Arial" w:eastAsia="Arial" w:hAnsi="Arial"/>
                <w:sz w:val="18"/>
                <w:szCs w:val="18"/>
                <w:color w:val="0000EE"/>
                <w:w w:val="94"/>
              </w:rPr>
            </w:pPr>
            <w:hyperlink r:id="rId129">
              <w:r>
                <w:rPr>
                  <w:rFonts w:ascii="Arial" w:cs="Arial" w:eastAsia="Arial" w:hAnsi="Arial"/>
                  <w:sz w:val="18"/>
                  <w:szCs w:val="18"/>
                  <w:color w:val="0000EE"/>
                  <w:w w:val="94"/>
                </w:rPr>
                <w:t>29, 2004 (incorporated by reference to Exhibit 10.a.(xxx) of Alexander &amp; Baldwin, Inc.’s Form 10-Q for the</w:t>
              </w:r>
            </w:hyperlink>
          </w:p>
        </w:tc>
      </w:tr>
      <w:tr>
        <w:trPr>
          <w:trHeight w:val="196"/>
        </w:trPr>
        <w:tc>
          <w:tcPr>
            <w:tcW w:w="110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r:id="rId129">
              <w:r>
                <w:rPr>
                  <w:rFonts w:ascii="Arial" w:cs="Arial" w:eastAsia="Arial" w:hAnsi="Arial"/>
                  <w:sz w:val="18"/>
                  <w:szCs w:val="18"/>
                  <w:color w:val="0000EE"/>
                  <w:w w:val="87"/>
                </w:rPr>
                <w:t>quarter ended September 30, 2007).</w:t>
              </w:r>
            </w:hyperlink>
          </w:p>
        </w:tc>
        <w:tc>
          <w:tcPr>
            <w:tcW w:w="5240" w:type="dxa"/>
            <w:vAlign w:val="bottom"/>
            <w:tcBorders>
              <w:top w:val="single" w:sz="8" w:color="0000EE"/>
            </w:tcBorders>
            <w:gridSpan w:val="21"/>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10.16*</w:t>
            </w:r>
          </w:p>
        </w:tc>
        <w:tc>
          <w:tcPr>
            <w:tcW w:w="7120" w:type="dxa"/>
            <w:vAlign w:val="bottom"/>
            <w:tcBorders>
              <w:bottom w:val="single" w:sz="8" w:color="0000EE"/>
            </w:tcBorders>
            <w:gridSpan w:val="14"/>
          </w:tcPr>
          <w:p>
            <w:pPr>
              <w:spacing w:after="0"/>
              <w:rPr>
                <w:rFonts w:ascii="Arial" w:cs="Arial" w:eastAsia="Arial" w:hAnsi="Arial"/>
                <w:sz w:val="18"/>
                <w:szCs w:val="18"/>
                <w:color w:val="0000EE"/>
                <w:w w:val="89"/>
              </w:rPr>
            </w:pPr>
            <w:hyperlink r:id="rId130">
              <w:r>
                <w:rPr>
                  <w:rFonts w:ascii="Arial" w:cs="Arial" w:eastAsia="Arial" w:hAnsi="Arial"/>
                  <w:sz w:val="18"/>
                  <w:szCs w:val="18"/>
                  <w:color w:val="0000EE"/>
                  <w:w w:val="89"/>
                </w:rPr>
                <w:t>Matson, Inc. 2007 Incentive Compensation Plan, amended and restated, effective January 29, 2015</w:t>
              </w:r>
            </w:hyperlink>
          </w:p>
        </w:tc>
        <w:tc>
          <w:tcPr>
            <w:tcW w:w="840" w:type="dxa"/>
            <w:vAlign w:val="bottom"/>
            <w:gridSpan w:val="17"/>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7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(incorporated by reference to Exhibit 10.13 of Matson’s Form 10-K for the year ended December 31, 2014).</w:t>
              </w:r>
            </w:hyperlink>
          </w:p>
        </w:tc>
        <w:tc>
          <w:tcPr>
            <w:tcW w:w="180" w:type="dxa"/>
            <w:vAlign w:val="bottom"/>
            <w:gridSpan w:val="6"/>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10.17*</w:t>
            </w:r>
          </w:p>
        </w:tc>
        <w:tc>
          <w:tcPr>
            <w:tcW w:w="7680" w:type="dxa"/>
            <w:vAlign w:val="bottom"/>
            <w:tcBorders>
              <w:bottom w:val="single" w:sz="8" w:color="0000EE"/>
            </w:tcBorders>
            <w:gridSpan w:val="23"/>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Form of Notice of Performance Share Award Grant (incorporated by reference to Exhibit 10.1 of Matson’s</w:t>
              </w:r>
            </w:hyperlink>
          </w:p>
        </w:tc>
        <w:tc>
          <w:tcPr>
            <w:tcW w:w="280" w:type="dxa"/>
            <w:vAlign w:val="bottom"/>
            <w:gridSpan w:val="8"/>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25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Form 8-K dated January 29, 2013).</w:t>
              </w:r>
            </w:hyperlink>
          </w:p>
        </w:tc>
        <w:tc>
          <w:tcPr>
            <w:tcW w:w="5420" w:type="dxa"/>
            <w:vAlign w:val="bottom"/>
            <w:gridSpan w:val="27"/>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10.18*</w:t>
            </w:r>
          </w:p>
        </w:tc>
        <w:tc>
          <w:tcPr>
            <w:tcW w:w="7960" w:type="dxa"/>
            <w:vAlign w:val="bottom"/>
            <w:gridSpan w:val="31"/>
          </w:tcPr>
          <w:p>
            <w:pPr>
              <w:spacing w:after="0"/>
              <w:rPr>
                <w:rFonts w:ascii="Arial" w:cs="Arial" w:eastAsia="Arial" w:hAnsi="Arial"/>
                <w:sz w:val="18"/>
                <w:szCs w:val="18"/>
                <w:color w:val="0000EE"/>
                <w:w w:val="95"/>
              </w:rPr>
            </w:pPr>
            <w:hyperlink r:id="rId132">
              <w:r>
                <w:rPr>
                  <w:rFonts w:ascii="Arial" w:cs="Arial" w:eastAsia="Arial" w:hAnsi="Arial"/>
                  <w:sz w:val="18"/>
                  <w:szCs w:val="18"/>
                  <w:color w:val="0000EE"/>
                  <w:w w:val="95"/>
                </w:rPr>
                <w:t>Form of Matson, Inc. Performance Share Award Agreement (incorporated by reference to Exhibit 10.2 of</w:t>
              </w:r>
            </w:hyperlink>
          </w:p>
        </w:tc>
      </w:tr>
      <w:tr>
        <w:trPr>
          <w:trHeight w:val="196"/>
        </w:trPr>
        <w:tc>
          <w:tcPr>
            <w:tcW w:w="110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Matson’s Form 8-K dated January 29, 2013).</w:t>
              </w:r>
            </w:hyperlink>
          </w:p>
        </w:tc>
        <w:tc>
          <w:tcPr>
            <w:tcW w:w="4340" w:type="dxa"/>
            <w:vAlign w:val="bottom"/>
            <w:tcBorders>
              <w:top w:val="single" w:sz="8" w:color="0000EE"/>
            </w:tcBorders>
            <w:gridSpan w:val="13"/>
          </w:tcPr>
          <w:p>
            <w:pPr>
              <w:spacing w:after="0"/>
              <w:rPr>
                <w:sz w:val="17"/>
                <w:szCs w:val="17"/>
                <w:color w:val="auto"/>
              </w:rPr>
            </w:pPr>
          </w:p>
        </w:tc>
        <w:tc>
          <w:tcPr>
            <w:tcW w:w="380" w:type="dxa"/>
            <w:vAlign w:val="bottom"/>
            <w:gridSpan w:val="11"/>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10.19*</w:t>
            </w:r>
          </w:p>
        </w:tc>
        <w:tc>
          <w:tcPr>
            <w:tcW w:w="7900" w:type="dxa"/>
            <w:vAlign w:val="bottom"/>
            <w:tcBorders>
              <w:bottom w:val="single" w:sz="8" w:color="0000EE"/>
            </w:tcBorders>
            <w:gridSpan w:val="28"/>
          </w:tcPr>
          <w:p>
            <w:pPr>
              <w:spacing w:after="0" w:line="207"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Form of Notice of Stock Option Grant (incorporated by reference to Exhibit 99.2 to Matson’s Form S</w:t>
              </w:r>
              <w:r>
                <w:rPr>
                  <w:rFonts w:ascii="MS PGothic" w:cs="MS PGothic" w:eastAsia="MS PGothic" w:hAnsi="MS PGothic"/>
                  <w:sz w:val="18"/>
                  <w:szCs w:val="18"/>
                  <w:color w:val="0000EE"/>
                  <w:w w:val="91"/>
                </w:rPr>
                <w:t>‑</w:t>
              </w:r>
              <w:r>
                <w:rPr>
                  <w:rFonts w:ascii="Arial" w:cs="Arial" w:eastAsia="Arial" w:hAnsi="Arial"/>
                  <w:sz w:val="18"/>
                  <w:szCs w:val="18"/>
                  <w:color w:val="0000EE"/>
                  <w:w w:val="91"/>
                </w:rPr>
                <w:t>8 dated</w:t>
              </w:r>
            </w:hyperlink>
          </w:p>
        </w:tc>
        <w:tc>
          <w:tcPr>
            <w:tcW w:w="60" w:type="dxa"/>
            <w:vAlign w:val="bottom"/>
            <w:gridSpan w:val="3"/>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3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33">
              <w:r>
                <w:rPr>
                  <w:rFonts w:ascii="Arial" w:cs="Arial" w:eastAsia="Arial" w:hAnsi="Arial"/>
                  <w:sz w:val="18"/>
                  <w:szCs w:val="18"/>
                  <w:color w:val="0000EE"/>
                  <w:w w:val="89"/>
                </w:rPr>
                <w:t>October 26, 2012).</w:t>
              </w:r>
            </w:hyperlink>
          </w:p>
        </w:tc>
        <w:tc>
          <w:tcPr>
            <w:tcW w:w="6600" w:type="dxa"/>
            <w:vAlign w:val="bottom"/>
            <w:gridSpan w:val="29"/>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10.20*</w:t>
            </w:r>
          </w:p>
        </w:tc>
        <w:tc>
          <w:tcPr>
            <w:tcW w:w="7960" w:type="dxa"/>
            <w:vAlign w:val="bottom"/>
            <w:gridSpan w:val="31"/>
          </w:tcPr>
          <w:p>
            <w:pPr>
              <w:spacing w:after="0"/>
              <w:rPr>
                <w:rFonts w:ascii="Arial" w:cs="Arial" w:eastAsia="Arial" w:hAnsi="Arial"/>
                <w:sz w:val="18"/>
                <w:szCs w:val="18"/>
                <w:color w:val="0000EE"/>
                <w:w w:val="92"/>
              </w:rPr>
            </w:pPr>
            <w:hyperlink r:id="rId134">
              <w:r>
                <w:rPr>
                  <w:rFonts w:ascii="Arial" w:cs="Arial" w:eastAsia="Arial" w:hAnsi="Arial"/>
                  <w:sz w:val="18"/>
                  <w:szCs w:val="18"/>
                  <w:color w:val="0000EE"/>
                  <w:w w:val="92"/>
                </w:rPr>
                <w:t>Form of Stock Option Agreement for Non-Executive Employees (incorporated by reference to Exhibit 99.3 of</w:t>
              </w:r>
            </w:hyperlink>
          </w:p>
        </w:tc>
      </w:tr>
      <w:tr>
        <w:trPr>
          <w:trHeight w:val="196"/>
        </w:trPr>
        <w:tc>
          <w:tcPr>
            <w:tcW w:w="1100" w:type="dxa"/>
            <w:vAlign w:val="bottom"/>
          </w:tcPr>
          <w:p>
            <w:pPr>
              <w:spacing w:after="0"/>
              <w:rPr>
                <w:sz w:val="17"/>
                <w:szCs w:val="17"/>
                <w:color w:val="auto"/>
              </w:rPr>
            </w:pPr>
          </w:p>
        </w:tc>
        <w:tc>
          <w:tcPr>
            <w:tcW w:w="79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Matson’s Form S-8 dated October 26, 2012).</w:t>
              </w:r>
            </w:hyperlink>
          </w:p>
        </w:tc>
        <w:tc>
          <w:tcPr>
            <w:tcW w:w="40" w:type="dxa"/>
            <w:vAlign w:val="bottom"/>
            <w:gridSpan w:val="2"/>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10.21*</w:t>
            </w:r>
          </w:p>
        </w:tc>
        <w:tc>
          <w:tcPr>
            <w:tcW w:w="7560" w:type="dxa"/>
            <w:vAlign w:val="bottom"/>
            <w:tcBorders>
              <w:bottom w:val="single" w:sz="8" w:color="0000EE"/>
            </w:tcBorders>
            <w:gridSpan w:val="19"/>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Form of Stock Option Agreement for Executive Employees (incorporated by reference to Exhibit 99.4 of</w:t>
              </w:r>
            </w:hyperlink>
          </w:p>
        </w:tc>
        <w:tc>
          <w:tcPr>
            <w:tcW w:w="400" w:type="dxa"/>
            <w:vAlign w:val="bottom"/>
            <w:gridSpan w:val="1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31"/>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Matson’s Form S-8 dated October 26, 2012).</w:t>
              </w:r>
            </w:hyperlink>
          </w:p>
        </w:tc>
      </w:tr>
      <w:tr>
        <w:trPr>
          <w:trHeight w:val="20"/>
        </w:trPr>
        <w:tc>
          <w:tcPr>
            <w:tcW w:w="1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10.22*</w:t>
            </w:r>
          </w:p>
        </w:tc>
        <w:tc>
          <w:tcPr>
            <w:tcW w:w="7540" w:type="dxa"/>
            <w:vAlign w:val="bottom"/>
            <w:tcBorders>
              <w:bottom w:val="single" w:sz="8" w:color="0000EE"/>
            </w:tcBorders>
            <w:gridSpan w:val="18"/>
          </w:tcPr>
          <w:p>
            <w:pPr>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Form of Notice of Time-Based Restricted Stock Unit Grant (incorporated by reference to Exhibit 99.5 of</w:t>
              </w:r>
            </w:hyperlink>
          </w:p>
        </w:tc>
        <w:tc>
          <w:tcPr>
            <w:tcW w:w="420" w:type="dxa"/>
            <w:vAlign w:val="bottom"/>
            <w:gridSpan w:val="13"/>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31"/>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Matson’s Form S-8 dated October 26, 2012).</w:t>
              </w:r>
            </w:hyperlink>
          </w:p>
        </w:tc>
      </w:tr>
      <w:tr>
        <w:trPr>
          <w:trHeight w:val="20"/>
        </w:trPr>
        <w:tc>
          <w:tcPr>
            <w:tcW w:w="1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10.23*</w:t>
            </w:r>
          </w:p>
        </w:tc>
        <w:tc>
          <w:tcPr>
            <w:tcW w:w="7460" w:type="dxa"/>
            <w:vAlign w:val="bottom"/>
            <w:tcBorders>
              <w:bottom w:val="single" w:sz="8" w:color="0000EE"/>
            </w:tcBorders>
            <w:gridSpan w:val="17"/>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Form of Time-Based Restricted Stock Unit Agreement for Non-Executive Employees (incorporated by</w:t>
              </w:r>
            </w:hyperlink>
          </w:p>
        </w:tc>
        <w:tc>
          <w:tcPr>
            <w:tcW w:w="500" w:type="dxa"/>
            <w:vAlign w:val="bottom"/>
            <w:gridSpan w:val="14"/>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52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reference to Exhibit 99.6 of Matson’s Form S-8 dated October 26, 2012).</w:t>
              </w:r>
            </w:hyperlink>
          </w:p>
        </w:tc>
        <w:tc>
          <w:tcPr>
            <w:tcW w:w="2700" w:type="dxa"/>
            <w:vAlign w:val="bottom"/>
            <w:gridSpan w:val="21"/>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10.24*</w:t>
            </w:r>
          </w:p>
        </w:tc>
        <w:tc>
          <w:tcPr>
            <w:tcW w:w="7960" w:type="dxa"/>
            <w:vAlign w:val="bottom"/>
            <w:gridSpan w:val="31"/>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Form of Time-Based Restricted Stock Unit Agreement for Executive Employees (incorporated by reference to</w:t>
              </w:r>
            </w:hyperlink>
          </w:p>
        </w:tc>
      </w:tr>
      <w:tr>
        <w:trPr>
          <w:trHeight w:val="196"/>
        </w:trPr>
        <w:tc>
          <w:tcPr>
            <w:tcW w:w="110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Exhibit 99.7 of Matson’s Form S-8 dated October 26, 2012).</w:t>
              </w:r>
            </w:hyperlink>
          </w:p>
        </w:tc>
        <w:tc>
          <w:tcPr>
            <w:tcW w:w="3580" w:type="dxa"/>
            <w:vAlign w:val="bottom"/>
            <w:tcBorders>
              <w:top w:val="single" w:sz="8" w:color="0000EE"/>
            </w:tcBorders>
            <w:gridSpan w:val="2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10.25*</w:t>
            </w:r>
          </w:p>
        </w:tc>
        <w:tc>
          <w:tcPr>
            <w:tcW w:w="7700" w:type="dxa"/>
            <w:vAlign w:val="bottom"/>
            <w:tcBorders>
              <w:bottom w:val="single" w:sz="8" w:color="0000EE"/>
            </w:tcBorders>
            <w:gridSpan w:val="24"/>
          </w:tcPr>
          <w:p>
            <w:pPr>
              <w:spacing w:after="0"/>
              <w:rPr>
                <w:rFonts w:ascii="Arial" w:cs="Arial" w:eastAsia="Arial" w:hAnsi="Arial"/>
                <w:sz w:val="18"/>
                <w:szCs w:val="18"/>
                <w:color w:val="0000EE"/>
                <w:w w:val="91"/>
              </w:rPr>
            </w:pPr>
            <w:hyperlink r:id="rId139">
              <w:r>
                <w:rPr>
                  <w:rFonts w:ascii="Arial" w:cs="Arial" w:eastAsia="Arial" w:hAnsi="Arial"/>
                  <w:sz w:val="18"/>
                  <w:szCs w:val="18"/>
                  <w:color w:val="0000EE"/>
                  <w:w w:val="91"/>
                </w:rPr>
                <w:t>Form of Amended and Restated Restricted Stock Unit Award Agreement for Non-Employee Directors (No</w:t>
              </w:r>
            </w:hyperlink>
          </w:p>
        </w:tc>
        <w:tc>
          <w:tcPr>
            <w:tcW w:w="260" w:type="dxa"/>
            <w:vAlign w:val="bottom"/>
            <w:gridSpan w:val="7"/>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31"/>
          </w:tcPr>
          <w:p>
            <w:pPr>
              <w:spacing w:after="0" w:line="196" w:lineRule="exact"/>
              <w:rPr>
                <w:rFonts w:ascii="Arial" w:cs="Arial" w:eastAsia="Arial" w:hAnsi="Arial"/>
                <w:sz w:val="18"/>
                <w:szCs w:val="18"/>
                <w:color w:val="0000EE"/>
                <w:w w:val="94"/>
              </w:rPr>
            </w:pPr>
            <w:hyperlink r:id="rId139">
              <w:r>
                <w:rPr>
                  <w:rFonts w:ascii="Arial" w:cs="Arial" w:eastAsia="Arial" w:hAnsi="Arial"/>
                  <w:sz w:val="18"/>
                  <w:szCs w:val="18"/>
                  <w:color w:val="0000EE"/>
                  <w:w w:val="94"/>
                </w:rPr>
                <w:t>Deferral) (incorporated by reference to Exhibit 10.20 of Matson’s Form 10-K for the year ended December</w:t>
              </w:r>
            </w:hyperlink>
          </w:p>
        </w:tc>
      </w:tr>
      <w:tr>
        <w:trPr>
          <w:trHeight w:val="196"/>
        </w:trPr>
        <w:tc>
          <w:tcPr>
            <w:tcW w:w="110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39">
              <w:r>
                <w:rPr>
                  <w:rFonts w:ascii="Arial" w:cs="Arial" w:eastAsia="Arial" w:hAnsi="Arial"/>
                  <w:sz w:val="18"/>
                  <w:szCs w:val="18"/>
                  <w:color w:val="0000EE"/>
                  <w:w w:val="88"/>
                </w:rPr>
                <w:t>31, 2013).</w:t>
              </w:r>
            </w:hyperlink>
          </w:p>
        </w:tc>
        <w:tc>
          <w:tcPr>
            <w:tcW w:w="6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10.26*</w:t>
            </w:r>
          </w:p>
        </w:tc>
        <w:tc>
          <w:tcPr>
            <w:tcW w:w="7960" w:type="dxa"/>
            <w:vAlign w:val="bottom"/>
            <w:gridSpan w:val="31"/>
          </w:tcPr>
          <w:p>
            <w:pPr>
              <w:spacing w:after="0"/>
              <w:rPr>
                <w:rFonts w:ascii="Arial" w:cs="Arial" w:eastAsia="Arial" w:hAnsi="Arial"/>
                <w:sz w:val="18"/>
                <w:szCs w:val="18"/>
                <w:color w:val="0000EE"/>
                <w:w w:val="98"/>
              </w:rPr>
            </w:pPr>
            <w:hyperlink r:id="rId140">
              <w:r>
                <w:rPr>
                  <w:rFonts w:ascii="Arial" w:cs="Arial" w:eastAsia="Arial" w:hAnsi="Arial"/>
                  <w:sz w:val="18"/>
                  <w:szCs w:val="18"/>
                  <w:color w:val="0000EE"/>
                  <w:w w:val="98"/>
                </w:rPr>
                <w:t>Form of Amended and Restated Restricted Stock Unit Award Agreement for Non-Employee Directors</w:t>
              </w:r>
            </w:hyperlink>
          </w:p>
        </w:tc>
      </w:tr>
      <w:tr>
        <w:trPr>
          <w:trHeight w:val="20"/>
        </w:trPr>
        <w:tc>
          <w:tcPr>
            <w:tcW w:w="110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920" w:type="dxa"/>
            <w:vAlign w:val="bottom"/>
            <w:gridSpan w:val="6"/>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960" w:type="dxa"/>
            <w:vAlign w:val="bottom"/>
            <w:gridSpan w:val="31"/>
          </w:tcPr>
          <w:p>
            <w:pPr>
              <w:spacing w:after="0" w:line="196" w:lineRule="exact"/>
              <w:rPr>
                <w:rFonts w:ascii="Arial" w:cs="Arial" w:eastAsia="Arial" w:hAnsi="Arial"/>
                <w:sz w:val="18"/>
                <w:szCs w:val="18"/>
                <w:color w:val="0000EE"/>
                <w:w w:val="95"/>
              </w:rPr>
            </w:pPr>
            <w:hyperlink r:id="rId140">
              <w:r>
                <w:rPr>
                  <w:rFonts w:ascii="Arial" w:cs="Arial" w:eastAsia="Arial" w:hAnsi="Arial"/>
                  <w:sz w:val="18"/>
                  <w:szCs w:val="18"/>
                  <w:color w:val="0000EE"/>
                  <w:w w:val="95"/>
                </w:rPr>
                <w:t>(Deferral Election) (incorporated by reference to Exhibit 10.21 of Matson’s Form 10-K for the year ended</w:t>
              </w:r>
            </w:hyperlink>
          </w:p>
        </w:tc>
      </w:tr>
      <w:tr>
        <w:trPr>
          <w:trHeight w:val="196"/>
        </w:trPr>
        <w:tc>
          <w:tcPr>
            <w:tcW w:w="110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140">
              <w:r>
                <w:rPr>
                  <w:rFonts w:ascii="Arial" w:cs="Arial" w:eastAsia="Arial" w:hAnsi="Arial"/>
                  <w:sz w:val="18"/>
                  <w:szCs w:val="18"/>
                  <w:color w:val="0000EE"/>
                  <w:w w:val="88"/>
                </w:rPr>
                <w:t>December 31, 2013).</w:t>
              </w:r>
            </w:hyperlink>
          </w:p>
        </w:tc>
        <w:tc>
          <w:tcPr>
            <w:tcW w:w="6100" w:type="dxa"/>
            <w:vAlign w:val="bottom"/>
            <w:tcBorders>
              <w:top w:val="single" w:sz="8" w:color="0000EE"/>
            </w:tcBorders>
            <w:gridSpan w:val="18"/>
          </w:tcPr>
          <w:p>
            <w:pPr>
              <w:spacing w:after="0"/>
              <w:rPr>
                <w:sz w:val="17"/>
                <w:szCs w:val="17"/>
                <w:color w:val="auto"/>
              </w:rPr>
            </w:pPr>
          </w:p>
        </w:tc>
        <w:tc>
          <w:tcPr>
            <w:tcW w:w="340" w:type="dxa"/>
            <w:vAlign w:val="bottom"/>
            <w:gridSpan w:val="10"/>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10.27*</w:t>
            </w:r>
          </w:p>
        </w:tc>
        <w:tc>
          <w:tcPr>
            <w:tcW w:w="7880" w:type="dxa"/>
            <w:vAlign w:val="bottom"/>
            <w:tcBorders>
              <w:bottom w:val="single" w:sz="8" w:color="0000EE"/>
            </w:tcBorders>
            <w:gridSpan w:val="27"/>
          </w:tcPr>
          <w:p>
            <w:pPr>
              <w:spacing w:after="0"/>
              <w:rPr>
                <w:rFonts w:ascii="Arial" w:cs="Arial" w:eastAsia="Arial" w:hAnsi="Arial"/>
                <w:sz w:val="18"/>
                <w:szCs w:val="18"/>
                <w:color w:val="0000EE"/>
                <w:w w:val="92"/>
              </w:rPr>
            </w:pPr>
            <w:hyperlink r:id="rId141">
              <w:r>
                <w:rPr>
                  <w:rFonts w:ascii="Arial" w:cs="Arial" w:eastAsia="Arial" w:hAnsi="Arial"/>
                  <w:sz w:val="18"/>
                  <w:szCs w:val="18"/>
                  <w:color w:val="0000EE"/>
                  <w:w w:val="92"/>
                </w:rPr>
                <w:t>Form of Anti-Dilution Adjustment Amendment to Restricted Stock Unit Award Agreements (incorporated by</w:t>
              </w:r>
            </w:hyperlink>
          </w:p>
        </w:tc>
        <w:tc>
          <w:tcPr>
            <w:tcW w:w="80" w:type="dxa"/>
            <w:vAlign w:val="bottom"/>
            <w:gridSpan w:val="4"/>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31"/>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reference to Exhibit 99.10 of Matson’s Form S-8 dated October 26, 2012).</w:t>
              </w:r>
            </w:hyperlink>
          </w:p>
        </w:tc>
      </w:tr>
      <w:tr>
        <w:trPr>
          <w:trHeight w:val="20"/>
        </w:trPr>
        <w:tc>
          <w:tcPr>
            <w:tcW w:w="1100" w:type="dxa"/>
            <w:vAlign w:val="bottom"/>
          </w:tcPr>
          <w:p>
            <w:pPr>
              <w:spacing w:after="0" w:line="20" w:lineRule="exact"/>
              <w:rPr>
                <w:sz w:val="1"/>
                <w:szCs w:val="1"/>
                <w:color w:val="auto"/>
              </w:rPr>
            </w:pPr>
          </w:p>
        </w:tc>
        <w:tc>
          <w:tcPr>
            <w:tcW w:w="4440" w:type="dxa"/>
            <w:vAlign w:val="bottom"/>
            <w:gridSpan w:val="9"/>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10.28*</w:t>
            </w:r>
          </w:p>
        </w:tc>
        <w:tc>
          <w:tcPr>
            <w:tcW w:w="7960" w:type="dxa"/>
            <w:vAlign w:val="bottom"/>
            <w:gridSpan w:val="31"/>
          </w:tcPr>
          <w:p>
            <w:pPr>
              <w:spacing w:after="0"/>
              <w:rPr>
                <w:rFonts w:ascii="Arial" w:cs="Arial" w:eastAsia="Arial" w:hAnsi="Arial"/>
                <w:sz w:val="18"/>
                <w:szCs w:val="18"/>
                <w:color w:val="0000EE"/>
                <w:w w:val="95"/>
              </w:rPr>
            </w:pPr>
            <w:hyperlink r:id="rId142">
              <w:r>
                <w:rPr>
                  <w:rFonts w:ascii="Arial" w:cs="Arial" w:eastAsia="Arial" w:hAnsi="Arial"/>
                  <w:sz w:val="18"/>
                  <w:szCs w:val="18"/>
                  <w:color w:val="0000EE"/>
                  <w:w w:val="95"/>
                </w:rPr>
                <w:t>Form of Anti-Dilution Adjustment Amendment to Stock Option Agreements (incorporated by reference to</w:t>
              </w:r>
            </w:hyperlink>
          </w:p>
        </w:tc>
      </w:tr>
      <w:tr>
        <w:trPr>
          <w:trHeight w:val="196"/>
        </w:trPr>
        <w:tc>
          <w:tcPr>
            <w:tcW w:w="110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Exhibit 99.11 of Matson’s Form S-8 dated October 26, 2012).</w:t>
              </w:r>
            </w:hyperlink>
          </w:p>
        </w:tc>
        <w:tc>
          <w:tcPr>
            <w:tcW w:w="3220" w:type="dxa"/>
            <w:vAlign w:val="bottom"/>
            <w:tcBorders>
              <w:top w:val="single" w:sz="8" w:color="0000EE"/>
            </w:tcBorders>
            <w:gridSpan w:val="13"/>
          </w:tcPr>
          <w:p>
            <w:pPr>
              <w:spacing w:after="0"/>
              <w:rPr>
                <w:sz w:val="17"/>
                <w:szCs w:val="17"/>
                <w:color w:val="auto"/>
              </w:rPr>
            </w:pPr>
          </w:p>
        </w:tc>
        <w:tc>
          <w:tcPr>
            <w:tcW w:w="300" w:type="dxa"/>
            <w:vAlign w:val="bottom"/>
            <w:gridSpan w:val="9"/>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10.29*</w:t>
            </w:r>
          </w:p>
        </w:tc>
        <w:tc>
          <w:tcPr>
            <w:tcW w:w="7960" w:type="dxa"/>
            <w:vAlign w:val="bottom"/>
            <w:gridSpan w:val="31"/>
          </w:tcPr>
          <w:p>
            <w:pPr>
              <w:spacing w:after="0" w:line="207" w:lineRule="exact"/>
              <w:rPr>
                <w:rFonts w:ascii="Arial" w:cs="Arial" w:eastAsia="Arial" w:hAnsi="Arial"/>
                <w:sz w:val="18"/>
                <w:szCs w:val="18"/>
                <w:color w:val="0000EE"/>
                <w:w w:val="95"/>
              </w:rPr>
            </w:pPr>
            <w:hyperlink r:id="rId143">
              <w:r>
                <w:rPr>
                  <w:rFonts w:ascii="Arial" w:cs="Arial" w:eastAsia="Arial" w:hAnsi="Arial"/>
                  <w:sz w:val="18"/>
                  <w:szCs w:val="18"/>
                  <w:color w:val="0000EE"/>
                  <w:w w:val="95"/>
                </w:rPr>
                <w:t>Form of Stock Option Assumption Agreement (incorporated by reference to Exhibit 99.4 of Post</w:t>
              </w:r>
              <w:r>
                <w:rPr>
                  <w:rFonts w:ascii="MS PGothic" w:cs="MS PGothic" w:eastAsia="MS PGothic" w:hAnsi="MS PGothic"/>
                  <w:sz w:val="18"/>
                  <w:szCs w:val="18"/>
                  <w:color w:val="0000EE"/>
                  <w:w w:val="95"/>
                </w:rPr>
                <w:t>‑</w:t>
              </w:r>
              <w:r>
                <w:rPr>
                  <w:rFonts w:ascii="Arial" w:cs="Arial" w:eastAsia="Arial" w:hAnsi="Arial"/>
                  <w:sz w:val="18"/>
                  <w:szCs w:val="18"/>
                  <w:color w:val="0000EE"/>
                  <w:w w:val="95"/>
                </w:rPr>
                <w:t>Effective</w:t>
              </w:r>
            </w:hyperlink>
          </w:p>
        </w:tc>
      </w:tr>
      <w:tr>
        <w:trPr>
          <w:trHeight w:val="196"/>
        </w:trPr>
        <w:tc>
          <w:tcPr>
            <w:tcW w:w="1100" w:type="dxa"/>
            <w:vAlign w:val="bottom"/>
          </w:tcPr>
          <w:p>
            <w:pPr>
              <w:spacing w:after="0"/>
              <w:rPr>
                <w:sz w:val="17"/>
                <w:szCs w:val="17"/>
                <w:color w:val="auto"/>
              </w:rPr>
            </w:pPr>
          </w:p>
        </w:tc>
        <w:tc>
          <w:tcPr>
            <w:tcW w:w="76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Amendment No. 2 to Alexander &amp; Baldwin, Inc.’s Form S-8 dated June 6, 2012).</w:t>
              </w:r>
            </w:hyperlink>
          </w:p>
        </w:tc>
        <w:tc>
          <w:tcPr>
            <w:tcW w:w="280" w:type="dxa"/>
            <w:vAlign w:val="bottom"/>
            <w:gridSpan w:val="8"/>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5860" w:type="dxa"/>
            <w:vAlign w:val="bottom"/>
            <w:gridSpan w:val="1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16"/>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10.30*</w:t>
            </w:r>
          </w:p>
        </w:tc>
        <w:tc>
          <w:tcPr>
            <w:tcW w:w="7960" w:type="dxa"/>
            <w:vAlign w:val="bottom"/>
            <w:gridSpan w:val="31"/>
          </w:tcPr>
          <w:p>
            <w:pPr>
              <w:spacing w:after="0"/>
              <w:rPr>
                <w:rFonts w:ascii="Arial" w:cs="Arial" w:eastAsia="Arial" w:hAnsi="Arial"/>
                <w:sz w:val="18"/>
                <w:szCs w:val="18"/>
                <w:color w:val="0000EE"/>
              </w:rPr>
            </w:pPr>
            <w:hyperlink r:id="rId144">
              <w:r>
                <w:rPr>
                  <w:rFonts w:ascii="Arial" w:cs="Arial" w:eastAsia="Arial" w:hAnsi="Arial"/>
                  <w:sz w:val="18"/>
                  <w:szCs w:val="18"/>
                  <w:color w:val="0000EE"/>
                </w:rPr>
                <w:t>Special Form of Stock Option Assumption Agreement (incorporated by reference to Exhibit 99.6 of</w:t>
              </w:r>
            </w:hyperlink>
          </w:p>
        </w:tc>
      </w:tr>
      <w:tr>
        <w:trPr>
          <w:trHeight w:val="196"/>
        </w:trPr>
        <w:tc>
          <w:tcPr>
            <w:tcW w:w="1100" w:type="dxa"/>
            <w:vAlign w:val="bottom"/>
          </w:tcPr>
          <w:p>
            <w:pPr>
              <w:spacing w:after="0"/>
              <w:rPr>
                <w:sz w:val="17"/>
                <w:szCs w:val="17"/>
                <w:color w:val="auto"/>
              </w:rPr>
            </w:pPr>
          </w:p>
        </w:tc>
        <w:tc>
          <w:tcPr>
            <w:tcW w:w="7180" w:type="dxa"/>
            <w:vAlign w:val="bottom"/>
            <w:tcBorders>
              <w:top w:val="single" w:sz="8" w:color="0000EE"/>
            </w:tcBorders>
            <w:gridSpan w:val="15"/>
          </w:tcPr>
          <w:p>
            <w:pPr>
              <w:spacing w:after="0" w:line="196" w:lineRule="exact"/>
              <w:rPr>
                <w:rFonts w:ascii="Arial" w:cs="Arial" w:eastAsia="Arial" w:hAnsi="Arial"/>
                <w:sz w:val="18"/>
                <w:szCs w:val="18"/>
                <w:color w:val="0000EE"/>
                <w:w w:val="94"/>
              </w:rPr>
            </w:pPr>
            <w:hyperlink r:id="rId144">
              <w:r>
                <w:rPr>
                  <w:rFonts w:ascii="Arial" w:cs="Arial" w:eastAsia="Arial" w:hAnsi="Arial"/>
                  <w:sz w:val="18"/>
                  <w:szCs w:val="18"/>
                  <w:color w:val="0000EE"/>
                  <w:w w:val="94"/>
                </w:rPr>
                <w:t>Post</w:t>
              </w:r>
              <w:r>
                <w:rPr>
                  <w:rFonts w:ascii="MS PGothic" w:cs="MS PGothic" w:eastAsia="MS PGothic" w:hAnsi="MS PGothic"/>
                  <w:sz w:val="18"/>
                  <w:szCs w:val="18"/>
                  <w:color w:val="0000EE"/>
                  <w:w w:val="94"/>
                </w:rPr>
                <w:t>‑</w:t>
              </w:r>
              <w:r>
                <w:rPr>
                  <w:rFonts w:ascii="Arial" w:cs="Arial" w:eastAsia="Arial" w:hAnsi="Arial"/>
                  <w:sz w:val="18"/>
                  <w:szCs w:val="18"/>
                  <w:color w:val="0000EE"/>
                  <w:w w:val="94"/>
                </w:rPr>
                <w:t>Effective Amendment No. 2 to Alexander &amp; Baldwin, Inc.’s Form S-8 dated June 6, 2012).</w:t>
              </w:r>
            </w:hyperlink>
          </w:p>
        </w:tc>
        <w:tc>
          <w:tcPr>
            <w:tcW w:w="780" w:type="dxa"/>
            <w:vAlign w:val="bottom"/>
            <w:gridSpan w:val="16"/>
          </w:tcPr>
          <w:p>
            <w:pPr>
              <w:spacing w:after="0"/>
              <w:rPr>
                <w:sz w:val="17"/>
                <w:szCs w:val="17"/>
                <w:color w:val="auto"/>
              </w:rPr>
            </w:pPr>
          </w:p>
        </w:tc>
      </w:tr>
      <w:tr>
        <w:trPr>
          <w:trHeight w:val="453"/>
        </w:trPr>
        <w:tc>
          <w:tcPr>
            <w:tcW w:w="1100" w:type="dxa"/>
            <w:vAlign w:val="bottom"/>
          </w:tcPr>
          <w:p>
            <w:pPr>
              <w:spacing w:after="0"/>
              <w:rPr>
                <w:sz w:val="24"/>
                <w:szCs w:val="24"/>
                <w:color w:val="auto"/>
              </w:rPr>
            </w:pPr>
          </w:p>
        </w:tc>
        <w:tc>
          <w:tcPr>
            <w:tcW w:w="4360" w:type="dxa"/>
            <w:vAlign w:val="bottom"/>
            <w:tcBorders>
              <w:top w:val="single" w:sz="8" w:color="0000EE"/>
            </w:tcBorders>
            <w:gridSpan w:val="8"/>
          </w:tcPr>
          <w:p>
            <w:pPr>
              <w:ind w:left="3340"/>
              <w:spacing w:after="0"/>
              <w:rPr>
                <w:sz w:val="20"/>
                <w:szCs w:val="20"/>
                <w:color w:val="auto"/>
              </w:rPr>
            </w:pPr>
            <w:r>
              <w:rPr>
                <w:rFonts w:ascii="Arial" w:cs="Arial" w:eastAsia="Arial" w:hAnsi="Arial"/>
                <w:sz w:val="18"/>
                <w:szCs w:val="18"/>
                <w:color w:val="auto"/>
              </w:rPr>
              <w:t>81</w:t>
            </w:r>
          </w:p>
        </w:tc>
        <w:tc>
          <w:tcPr>
            <w:tcW w:w="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77"/>
        </w:trPr>
        <w:tc>
          <w:tcPr>
            <w:tcW w:w="1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10.31*</w:t>
            </w:r>
          </w:p>
        </w:tc>
        <w:tc>
          <w:tcPr>
            <w:tcW w:w="7780" w:type="dxa"/>
            <w:vAlign w:val="bottom"/>
            <w:tcBorders>
              <w:bottom w:val="single" w:sz="8" w:color="0000EE"/>
            </w:tcBorders>
            <w:gridSpan w:val="25"/>
          </w:tcPr>
          <w:p>
            <w:pPr>
              <w:spacing w:after="0"/>
              <w:rPr>
                <w:rFonts w:ascii="Arial" w:cs="Arial" w:eastAsia="Arial" w:hAnsi="Arial"/>
                <w:sz w:val="18"/>
                <w:szCs w:val="18"/>
                <w:color w:val="0000EE"/>
                <w:w w:val="91"/>
              </w:rPr>
            </w:pPr>
            <w:hyperlink r:id="rId145">
              <w:r>
                <w:rPr>
                  <w:rFonts w:ascii="Arial" w:cs="Arial" w:eastAsia="Arial" w:hAnsi="Arial"/>
                  <w:sz w:val="18"/>
                  <w:szCs w:val="18"/>
                  <w:color w:val="0000EE"/>
                  <w:w w:val="91"/>
                </w:rPr>
                <w:t>Matson, Inc. Deferred Compensation Plan for Outside Directors (incorporated by reference to Exhibit 10.34</w:t>
              </w:r>
            </w:hyperlink>
          </w:p>
        </w:tc>
        <w:tc>
          <w:tcPr>
            <w:tcW w:w="18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6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of Matson’s Form 10-K for the year ended December 31, 2012).</w:t>
              </w:r>
            </w:hyperlink>
          </w:p>
        </w:tc>
        <w:tc>
          <w:tcPr>
            <w:tcW w:w="3340" w:type="dxa"/>
            <w:vAlign w:val="bottom"/>
            <w:gridSpan w:val="20"/>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10.32*</w:t>
            </w:r>
          </w:p>
        </w:tc>
        <w:tc>
          <w:tcPr>
            <w:tcW w:w="7260" w:type="dxa"/>
            <w:vAlign w:val="bottom"/>
            <w:tcBorders>
              <w:bottom w:val="single" w:sz="8" w:color="0000EE"/>
            </w:tcBorders>
            <w:gridSpan w:val="15"/>
          </w:tcPr>
          <w:p>
            <w:pPr>
              <w:spacing w:after="0"/>
              <w:rPr>
                <w:rFonts w:ascii="Arial" w:cs="Arial" w:eastAsia="Arial" w:hAnsi="Arial"/>
                <w:sz w:val="18"/>
                <w:szCs w:val="18"/>
                <w:color w:val="0000EE"/>
                <w:w w:val="89"/>
              </w:rPr>
            </w:pPr>
            <w:hyperlink r:id="rId146">
              <w:r>
                <w:rPr>
                  <w:rFonts w:ascii="Arial" w:cs="Arial" w:eastAsia="Arial" w:hAnsi="Arial"/>
                  <w:sz w:val="18"/>
                  <w:szCs w:val="18"/>
                  <w:color w:val="0000EE"/>
                  <w:w w:val="89"/>
                </w:rPr>
                <w:t>Matson, Inc. Excess Benefits Plan, amended and restated effective August 27, 2014 (incorporated by</w:t>
              </w:r>
            </w:hyperlink>
          </w:p>
        </w:tc>
        <w:tc>
          <w:tcPr>
            <w:tcW w:w="700" w:type="dxa"/>
            <w:vAlign w:val="bottom"/>
            <w:gridSpan w:val="14"/>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9"/>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reference to Exhibit 10.1 of Matson’s Form 8-K dated August 28, 2014).</w:t>
              </w:r>
            </w:hyperlink>
          </w:p>
        </w:tc>
      </w:tr>
      <w:tr>
        <w:trPr>
          <w:trHeight w:val="20"/>
        </w:trPr>
        <w:tc>
          <w:tcPr>
            <w:tcW w:w="110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10.33*,**</w:t>
            </w:r>
          </w:p>
        </w:tc>
        <w:tc>
          <w:tcPr>
            <w:tcW w:w="7860" w:type="dxa"/>
            <w:vAlign w:val="bottom"/>
            <w:tcBorders>
              <w:bottom w:val="single" w:sz="8" w:color="0000EE"/>
            </w:tcBorders>
            <w:gridSpan w:val="27"/>
          </w:tcPr>
          <w:p>
            <w:pPr>
              <w:spacing w:after="0"/>
              <w:rPr>
                <w:rFonts w:ascii="Arial" w:cs="Arial" w:eastAsia="Arial" w:hAnsi="Arial"/>
                <w:sz w:val="18"/>
                <w:szCs w:val="18"/>
                <w:color w:val="0000EE"/>
                <w:w w:val="92"/>
              </w:rPr>
            </w:pPr>
            <w:hyperlink w:anchor="page89">
              <w:r>
                <w:rPr>
                  <w:rFonts w:ascii="Arial" w:cs="Arial" w:eastAsia="Arial" w:hAnsi="Arial"/>
                  <w:sz w:val="18"/>
                  <w:szCs w:val="18"/>
                  <w:color w:val="0000EE"/>
                  <w:w w:val="92"/>
                </w:rPr>
                <w:t>Matson, Inc. Executive Survivor/Retirement Benefit Plan (formerly known as the Alexander &amp; Baldwin, Inc.</w:t>
              </w:r>
            </w:hyperlink>
          </w:p>
        </w:tc>
        <w:tc>
          <w:tcPr>
            <w:tcW w:w="100" w:type="dxa"/>
            <w:vAlign w:val="bottom"/>
            <w:gridSpan w:val="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66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Executive Survivor/Retirement Benefit Plan), amended and restated effective June 29, 2012.</w:t>
              </w:r>
            </w:hyperlink>
          </w:p>
        </w:tc>
        <w:tc>
          <w:tcPr>
            <w:tcW w:w="1300" w:type="dxa"/>
            <w:vAlign w:val="bottom"/>
            <w:gridSpan w:val="16"/>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10.34*</w:t>
            </w:r>
          </w:p>
        </w:tc>
        <w:tc>
          <w:tcPr>
            <w:tcW w:w="7960" w:type="dxa"/>
            <w:vAlign w:val="bottom"/>
            <w:gridSpan w:val="29"/>
          </w:tcPr>
          <w:p>
            <w:pPr>
              <w:spacing w:after="0"/>
              <w:rPr>
                <w:rFonts w:ascii="Arial" w:cs="Arial" w:eastAsia="Arial" w:hAnsi="Arial"/>
                <w:sz w:val="18"/>
                <w:szCs w:val="18"/>
                <w:color w:val="0000EE"/>
                <w:w w:val="94"/>
              </w:rPr>
            </w:pPr>
            <w:hyperlink r:id="rId147">
              <w:r>
                <w:rPr>
                  <w:rFonts w:ascii="Arial" w:cs="Arial" w:eastAsia="Arial" w:hAnsi="Arial"/>
                  <w:sz w:val="18"/>
                  <w:szCs w:val="18"/>
                  <w:color w:val="0000EE"/>
                  <w:w w:val="94"/>
                </w:rPr>
                <w:t>Matson, Inc. 1985 Supplemental Executive Retirement Plan (formerly known as the Alexander &amp; Baldwin,</w:t>
              </w:r>
            </w:hyperlink>
          </w:p>
        </w:tc>
      </w:tr>
      <w:tr>
        <w:trPr>
          <w:trHeight w:val="196"/>
        </w:trPr>
        <w:tc>
          <w:tcPr>
            <w:tcW w:w="1100" w:type="dxa"/>
            <w:vAlign w:val="bottom"/>
          </w:tcPr>
          <w:p>
            <w:pPr>
              <w:spacing w:after="0"/>
              <w:rPr>
                <w:sz w:val="17"/>
                <w:szCs w:val="17"/>
                <w:color w:val="auto"/>
              </w:rPr>
            </w:pPr>
          </w:p>
        </w:tc>
        <w:tc>
          <w:tcPr>
            <w:tcW w:w="766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89"/>
              </w:rPr>
            </w:pPr>
            <w:hyperlink r:id="rId147">
              <w:r>
                <w:rPr>
                  <w:rFonts w:ascii="Arial" w:cs="Arial" w:eastAsia="Arial" w:hAnsi="Arial"/>
                  <w:sz w:val="18"/>
                  <w:szCs w:val="18"/>
                  <w:color w:val="0000EE"/>
                  <w:w w:val="89"/>
                </w:rPr>
                <w:t>Inc. 1985 Supplemental Executive Retirement Plan), amended and restated effective as of January 1, 2008</w:t>
              </w:r>
            </w:hyperlink>
          </w:p>
        </w:tc>
        <w:tc>
          <w:tcPr>
            <w:tcW w:w="60" w:type="dxa"/>
            <w:vAlign w:val="bottom"/>
            <w:tcBorders>
              <w:top w:val="single" w:sz="8" w:color="0000EE"/>
            </w:tcBorders>
            <w:gridSpan w:val="2"/>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147">
              <w:r>
                <w:rPr>
                  <w:rFonts w:ascii="Arial" w:cs="Arial" w:eastAsia="Arial" w:hAnsi="Arial"/>
                  <w:sz w:val="18"/>
                  <w:szCs w:val="18"/>
                  <w:color w:val="0000EE"/>
                  <w:w w:val="93"/>
                </w:rPr>
                <w:t>(incorporated by reference to Exhibit 10.b.1.(lii) of Alexander &amp; Baldwin, Inc.’s Form 10-K for the year</w:t>
              </w:r>
            </w:hyperlink>
          </w:p>
        </w:tc>
        <w:tc>
          <w:tcPr>
            <w:tcW w:w="440" w:type="dxa"/>
            <w:vAlign w:val="bottom"/>
            <w:gridSpan w:val="11"/>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9"/>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ended December 31, 2011).</w:t>
              </w:r>
            </w:hyperlink>
          </w:p>
        </w:tc>
      </w:tr>
      <w:tr>
        <w:trPr>
          <w:trHeight w:val="20"/>
        </w:trPr>
        <w:tc>
          <w:tcPr>
            <w:tcW w:w="110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10.35*</w:t>
            </w:r>
          </w:p>
        </w:tc>
        <w:tc>
          <w:tcPr>
            <w:tcW w:w="7880" w:type="dxa"/>
            <w:vAlign w:val="bottom"/>
            <w:tcBorders>
              <w:bottom w:val="single" w:sz="8" w:color="0000EE"/>
            </w:tcBorders>
            <w:gridSpan w:val="28"/>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Amendment No. 1 to the Matson, Inc. 1985 Supplemental Executive Retirement Plan (formerly known as the</w:t>
              </w:r>
            </w:hyperlink>
          </w:p>
        </w:tc>
        <w:tc>
          <w:tcPr>
            <w:tcW w:w="8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9"/>
          </w:tcPr>
          <w:p>
            <w:pPr>
              <w:spacing w:after="0" w:line="196" w:lineRule="exact"/>
              <w:rPr>
                <w:rFonts w:ascii="Arial" w:cs="Arial" w:eastAsia="Arial" w:hAnsi="Arial"/>
                <w:sz w:val="18"/>
                <w:szCs w:val="18"/>
                <w:color w:val="0000EE"/>
                <w:w w:val="95"/>
              </w:rPr>
            </w:pPr>
            <w:hyperlink r:id="rId148">
              <w:r>
                <w:rPr>
                  <w:rFonts w:ascii="Arial" w:cs="Arial" w:eastAsia="Arial" w:hAnsi="Arial"/>
                  <w:sz w:val="18"/>
                  <w:szCs w:val="18"/>
                  <w:color w:val="0000EE"/>
                  <w:w w:val="95"/>
                </w:rPr>
                <w:t>Alexander &amp; Baldwin, Inc. 1985 Supplemental Executive Retirement Plan), effective as of December 31,</w:t>
              </w:r>
            </w:hyperlink>
          </w:p>
        </w:tc>
      </w:tr>
      <w:tr>
        <w:trPr>
          <w:trHeight w:val="20"/>
        </w:trPr>
        <w:tc>
          <w:tcPr>
            <w:tcW w:w="110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960" w:type="dxa"/>
            <w:vAlign w:val="bottom"/>
            <w:tcBorders>
              <w:bottom w:val="single" w:sz="8" w:color="0000EE"/>
            </w:tcBorders>
            <w:gridSpan w:val="29"/>
          </w:tcPr>
          <w:p>
            <w:pPr>
              <w:spacing w:after="0" w:line="196" w:lineRule="exact"/>
              <w:rPr>
                <w:rFonts w:ascii="Arial" w:cs="Arial" w:eastAsia="Arial" w:hAnsi="Arial"/>
                <w:sz w:val="18"/>
                <w:szCs w:val="18"/>
                <w:color w:val="0000EE"/>
                <w:w w:val="93"/>
              </w:rPr>
            </w:pPr>
            <w:hyperlink r:id="rId148">
              <w:r>
                <w:rPr>
                  <w:rFonts w:ascii="Arial" w:cs="Arial" w:eastAsia="Arial" w:hAnsi="Arial"/>
                  <w:sz w:val="18"/>
                  <w:szCs w:val="18"/>
                  <w:color w:val="0000EE"/>
                  <w:w w:val="93"/>
                </w:rPr>
                <w:t>2011 (incorporated by reference to Exhibit 10.b.1.(liii) of Alexander &amp; Baldwin, Inc.’s Form 10-K for the year</w:t>
              </w:r>
            </w:hyperlink>
          </w:p>
        </w:tc>
      </w:tr>
      <w:tr>
        <w:trPr>
          <w:trHeight w:val="196"/>
        </w:trPr>
        <w:tc>
          <w:tcPr>
            <w:tcW w:w="1100" w:type="dxa"/>
            <w:vAlign w:val="bottom"/>
          </w:tcPr>
          <w:p>
            <w:pPr>
              <w:spacing w:after="0"/>
              <w:rPr>
                <w:sz w:val="17"/>
                <w:szCs w:val="17"/>
                <w:color w:val="auto"/>
              </w:rPr>
            </w:pPr>
          </w:p>
        </w:tc>
        <w:tc>
          <w:tcPr>
            <w:tcW w:w="7960" w:type="dxa"/>
            <w:vAlign w:val="bottom"/>
            <w:gridSpan w:val="29"/>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ended December 31, 2011).</w:t>
              </w:r>
            </w:hyperlink>
          </w:p>
        </w:tc>
      </w:tr>
      <w:tr>
        <w:trPr>
          <w:trHeight w:val="20"/>
        </w:trPr>
        <w:tc>
          <w:tcPr>
            <w:tcW w:w="110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10.36*</w:t>
            </w:r>
          </w:p>
        </w:tc>
        <w:tc>
          <w:tcPr>
            <w:tcW w:w="7880" w:type="dxa"/>
            <w:vAlign w:val="bottom"/>
            <w:tcBorders>
              <w:bottom w:val="single" w:sz="8" w:color="0000EE"/>
            </w:tcBorders>
            <w:gridSpan w:val="28"/>
          </w:tcPr>
          <w:p>
            <w:pPr>
              <w:spacing w:after="0"/>
              <w:rPr>
                <w:rFonts w:ascii="Arial" w:cs="Arial" w:eastAsia="Arial" w:hAnsi="Arial"/>
                <w:sz w:val="18"/>
                <w:szCs w:val="18"/>
                <w:color w:val="0000EE"/>
                <w:w w:val="91"/>
              </w:rPr>
            </w:pPr>
            <w:hyperlink r:id="rId149">
              <w:r>
                <w:rPr>
                  <w:rFonts w:ascii="Arial" w:cs="Arial" w:eastAsia="Arial" w:hAnsi="Arial"/>
                  <w:sz w:val="18"/>
                  <w:szCs w:val="18"/>
                  <w:color w:val="0000EE"/>
                  <w:w w:val="91"/>
                </w:rPr>
                <w:t>Amendment No. 2 to the Matson, Inc. 1985 Supplemental Executive Retirement Plan (formerly known as the</w:t>
              </w:r>
            </w:hyperlink>
          </w:p>
        </w:tc>
        <w:tc>
          <w:tcPr>
            <w:tcW w:w="8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9"/>
          </w:tcPr>
          <w:p>
            <w:pPr>
              <w:spacing w:after="0" w:line="196" w:lineRule="exact"/>
              <w:rPr>
                <w:rFonts w:ascii="Arial" w:cs="Arial" w:eastAsia="Arial" w:hAnsi="Arial"/>
                <w:sz w:val="18"/>
                <w:szCs w:val="18"/>
                <w:color w:val="0000EE"/>
                <w:w w:val="94"/>
              </w:rPr>
            </w:pPr>
            <w:hyperlink r:id="rId149">
              <w:r>
                <w:rPr>
                  <w:rFonts w:ascii="Arial" w:cs="Arial" w:eastAsia="Arial" w:hAnsi="Arial"/>
                  <w:sz w:val="18"/>
                  <w:szCs w:val="18"/>
                  <w:color w:val="0000EE"/>
                  <w:w w:val="94"/>
                </w:rPr>
                <w:t>Alexander &amp; Baldwin, Inc. 1985 Supplemental Executive Retirement Plan), effective as of January 1, 2012</w:t>
              </w:r>
            </w:hyperlink>
          </w:p>
        </w:tc>
      </w:tr>
      <w:tr>
        <w:trPr>
          <w:trHeight w:val="196"/>
        </w:trPr>
        <w:tc>
          <w:tcPr>
            <w:tcW w:w="1100" w:type="dxa"/>
            <w:vAlign w:val="bottom"/>
          </w:tcPr>
          <w:p>
            <w:pPr>
              <w:spacing w:after="0"/>
              <w:rPr>
                <w:sz w:val="17"/>
                <w:szCs w:val="17"/>
                <w:color w:val="auto"/>
              </w:rPr>
            </w:pPr>
          </w:p>
        </w:tc>
        <w:tc>
          <w:tcPr>
            <w:tcW w:w="7720" w:type="dxa"/>
            <w:vAlign w:val="bottom"/>
            <w:tcBorders>
              <w:top w:val="single" w:sz="8" w:color="0000EE"/>
            </w:tcBorders>
            <w:gridSpan w:val="24"/>
          </w:tcPr>
          <w:p>
            <w:pPr>
              <w:spacing w:after="0" w:line="196" w:lineRule="exact"/>
              <w:rPr>
                <w:rFonts w:ascii="Arial" w:cs="Arial" w:eastAsia="Arial" w:hAnsi="Arial"/>
                <w:sz w:val="18"/>
                <w:szCs w:val="18"/>
                <w:color w:val="0000EE"/>
                <w:w w:val="95"/>
              </w:rPr>
            </w:pPr>
            <w:hyperlink r:id="rId149">
              <w:r>
                <w:rPr>
                  <w:rFonts w:ascii="Arial" w:cs="Arial" w:eastAsia="Arial" w:hAnsi="Arial"/>
                  <w:sz w:val="18"/>
                  <w:szCs w:val="18"/>
                  <w:color w:val="0000EE"/>
                  <w:w w:val="95"/>
                </w:rPr>
                <w:t>(incorporated by reference to Exhibit 10.b.1.(liv) of Alexander &amp;Baldwin, Inc.’s Form 10-K for the year</w:t>
              </w:r>
            </w:hyperlink>
          </w:p>
        </w:tc>
        <w:tc>
          <w:tcPr>
            <w:tcW w:w="240" w:type="dxa"/>
            <w:vAlign w:val="bottom"/>
            <w:gridSpan w:val="5"/>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5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ended December 31, 2011).</w:t>
              </w:r>
            </w:hyperlink>
          </w:p>
        </w:tc>
        <w:tc>
          <w:tcPr>
            <w:tcW w:w="460" w:type="dxa"/>
            <w:vAlign w:val="bottom"/>
            <w:gridSpan w:val="12"/>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10.37*</w:t>
            </w:r>
          </w:p>
        </w:tc>
        <w:tc>
          <w:tcPr>
            <w:tcW w:w="7960" w:type="dxa"/>
            <w:vAlign w:val="bottom"/>
            <w:gridSpan w:val="29"/>
          </w:tcPr>
          <w:p>
            <w:pPr>
              <w:spacing w:after="0"/>
              <w:rPr>
                <w:rFonts w:ascii="Arial" w:cs="Arial" w:eastAsia="Arial" w:hAnsi="Arial"/>
                <w:sz w:val="18"/>
                <w:szCs w:val="18"/>
                <w:color w:val="0000EE"/>
              </w:rPr>
            </w:pPr>
            <w:hyperlink r:id="rId150">
              <w:r>
                <w:rPr>
                  <w:rFonts w:ascii="Arial" w:cs="Arial" w:eastAsia="Arial" w:hAnsi="Arial"/>
                  <w:sz w:val="18"/>
                  <w:szCs w:val="18"/>
                  <w:color w:val="0000EE"/>
                </w:rPr>
                <w:t>Form of Letter Agreement entered into with certain executive officers (incorporated by reference to</w:t>
              </w:r>
            </w:hyperlink>
          </w:p>
        </w:tc>
      </w:tr>
      <w:tr>
        <w:trPr>
          <w:trHeight w:val="196"/>
        </w:trPr>
        <w:tc>
          <w:tcPr>
            <w:tcW w:w="1100" w:type="dxa"/>
            <w:vAlign w:val="bottom"/>
          </w:tcPr>
          <w:p>
            <w:pPr>
              <w:spacing w:after="0"/>
              <w:rPr>
                <w:sz w:val="17"/>
                <w:szCs w:val="17"/>
                <w:color w:val="auto"/>
              </w:rPr>
            </w:pPr>
          </w:p>
        </w:tc>
        <w:tc>
          <w:tcPr>
            <w:tcW w:w="71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Exhibit 10.45 of Matson’s Form 10-K for the year ended December 31, 2012).</w:t>
              </w:r>
            </w:hyperlink>
          </w:p>
        </w:tc>
        <w:tc>
          <w:tcPr>
            <w:tcW w:w="800" w:type="dxa"/>
            <w:vAlign w:val="bottom"/>
            <w:gridSpan w:val="15"/>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10.38*</w:t>
            </w:r>
          </w:p>
        </w:tc>
        <w:tc>
          <w:tcPr>
            <w:tcW w:w="7960" w:type="dxa"/>
            <w:vAlign w:val="bottom"/>
            <w:gridSpan w:val="29"/>
          </w:tcPr>
          <w:p>
            <w:pPr>
              <w:spacing w:after="0"/>
              <w:rPr>
                <w:rFonts w:ascii="Arial" w:cs="Arial" w:eastAsia="Arial" w:hAnsi="Arial"/>
                <w:sz w:val="18"/>
                <w:szCs w:val="18"/>
                <w:color w:val="0000EE"/>
                <w:w w:val="95"/>
              </w:rPr>
            </w:pPr>
            <w:hyperlink r:id="rId151">
              <w:r>
                <w:rPr>
                  <w:rFonts w:ascii="Arial" w:cs="Arial" w:eastAsia="Arial" w:hAnsi="Arial"/>
                  <w:sz w:val="18"/>
                  <w:szCs w:val="18"/>
                  <w:color w:val="0000EE"/>
                  <w:w w:val="95"/>
                </w:rPr>
                <w:t>Schedule identifying executive officers who have entered into Form of Letter Agreement (incorporated by</w:t>
              </w:r>
            </w:hyperlink>
          </w:p>
        </w:tc>
      </w:tr>
      <w:tr>
        <w:trPr>
          <w:trHeight w:val="196"/>
        </w:trPr>
        <w:tc>
          <w:tcPr>
            <w:tcW w:w="1100" w:type="dxa"/>
            <w:vAlign w:val="bottom"/>
          </w:tcPr>
          <w:p>
            <w:pPr>
              <w:spacing w:after="0"/>
              <w:rPr>
                <w:sz w:val="17"/>
                <w:szCs w:val="17"/>
                <w:color w:val="auto"/>
              </w:rPr>
            </w:pPr>
          </w:p>
        </w:tc>
        <w:tc>
          <w:tcPr>
            <w:tcW w:w="65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reference to Exhibit 10.42 of Matson’s Form 10-K for the year ended December 31, 2014).</w:t>
              </w:r>
            </w:hyperlink>
          </w:p>
        </w:tc>
        <w:tc>
          <w:tcPr>
            <w:tcW w:w="1100" w:type="dxa"/>
            <w:vAlign w:val="bottom"/>
            <w:tcBorders>
              <w:top w:val="single" w:sz="8" w:color="0000EE"/>
            </w:tcBorders>
            <w:gridSpan w:val="9"/>
          </w:tcPr>
          <w:p>
            <w:pPr>
              <w:spacing w:after="0"/>
              <w:rPr>
                <w:sz w:val="17"/>
                <w:szCs w:val="17"/>
                <w:color w:val="auto"/>
              </w:rPr>
            </w:pPr>
          </w:p>
        </w:tc>
        <w:tc>
          <w:tcPr>
            <w:tcW w:w="320" w:type="dxa"/>
            <w:vAlign w:val="bottom"/>
            <w:gridSpan w:val="8"/>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10.39*</w:t>
            </w:r>
          </w:p>
        </w:tc>
        <w:tc>
          <w:tcPr>
            <w:tcW w:w="7700" w:type="dxa"/>
            <w:vAlign w:val="bottom"/>
            <w:tcBorders>
              <w:bottom w:val="single" w:sz="8" w:color="0000EE"/>
            </w:tcBorders>
            <w:gridSpan w:val="23"/>
          </w:tcPr>
          <w:p>
            <w:pPr>
              <w:spacing w:after="0"/>
              <w:rPr>
                <w:rFonts w:ascii="Arial" w:cs="Arial" w:eastAsia="Arial" w:hAnsi="Arial"/>
                <w:sz w:val="18"/>
                <w:szCs w:val="18"/>
                <w:color w:val="0000EE"/>
                <w:w w:val="92"/>
              </w:rPr>
            </w:pPr>
            <w:hyperlink r:id="rId152">
              <w:r>
                <w:rPr>
                  <w:rFonts w:ascii="Arial" w:cs="Arial" w:eastAsia="Arial" w:hAnsi="Arial"/>
                  <w:sz w:val="18"/>
                  <w:szCs w:val="18"/>
                  <w:color w:val="0000EE"/>
                  <w:w w:val="92"/>
                </w:rPr>
                <w:t>Form of Letter Agreement entered into with executive officer (incorporated by reference to Exhibit 10.1 of</w:t>
              </w:r>
            </w:hyperlink>
          </w:p>
        </w:tc>
        <w:tc>
          <w:tcPr>
            <w:tcW w:w="260" w:type="dxa"/>
            <w:vAlign w:val="bottom"/>
            <w:gridSpan w:val="6"/>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32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Matson’s Form 8-K dated October 24, 2014).</w:t>
              </w:r>
            </w:hyperlink>
          </w:p>
        </w:tc>
        <w:tc>
          <w:tcPr>
            <w:tcW w:w="4700" w:type="dxa"/>
            <w:vAlign w:val="bottom"/>
            <w:gridSpan w:val="21"/>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10.40*</w:t>
            </w:r>
          </w:p>
        </w:tc>
        <w:tc>
          <w:tcPr>
            <w:tcW w:w="7960" w:type="dxa"/>
            <w:vAlign w:val="bottom"/>
            <w:gridSpan w:val="29"/>
          </w:tcPr>
          <w:p>
            <w:pPr>
              <w:spacing w:after="0" w:line="207" w:lineRule="exact"/>
              <w:rPr>
                <w:rFonts w:ascii="Arial" w:cs="Arial" w:eastAsia="Arial" w:hAnsi="Arial"/>
                <w:sz w:val="18"/>
                <w:szCs w:val="18"/>
                <w:color w:val="0000EE"/>
                <w:w w:val="97"/>
              </w:rPr>
            </w:pPr>
            <w:hyperlink r:id="rId153">
              <w:r>
                <w:rPr>
                  <w:rFonts w:ascii="Arial" w:cs="Arial" w:eastAsia="Arial" w:hAnsi="Arial"/>
                  <w:sz w:val="18"/>
                  <w:szCs w:val="18"/>
                  <w:color w:val="0000EE"/>
                  <w:w w:val="97"/>
                </w:rPr>
                <w:t>Letter Agreement Counter Party (incorporated by reference to Exhibit 10.2 of Matson’s Form 8</w:t>
              </w:r>
              <w:r>
                <w:rPr>
                  <w:rFonts w:ascii="MS PGothic" w:cs="MS PGothic" w:eastAsia="MS PGothic" w:hAnsi="MS PGothic"/>
                  <w:sz w:val="18"/>
                  <w:szCs w:val="18"/>
                  <w:color w:val="0000EE"/>
                  <w:w w:val="97"/>
                </w:rPr>
                <w:t>‑</w:t>
              </w:r>
              <w:r>
                <w:rPr>
                  <w:rFonts w:ascii="Arial" w:cs="Arial" w:eastAsia="Arial" w:hAnsi="Arial"/>
                  <w:sz w:val="18"/>
                  <w:szCs w:val="18"/>
                  <w:color w:val="0000EE"/>
                  <w:w w:val="97"/>
                </w:rPr>
                <w:t>K dated</w:t>
              </w:r>
            </w:hyperlink>
          </w:p>
        </w:tc>
      </w:tr>
      <w:tr>
        <w:trPr>
          <w:trHeight w:val="196"/>
        </w:trPr>
        <w:tc>
          <w:tcPr>
            <w:tcW w:w="110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53">
              <w:r>
                <w:rPr>
                  <w:rFonts w:ascii="Arial" w:cs="Arial" w:eastAsia="Arial" w:hAnsi="Arial"/>
                  <w:sz w:val="18"/>
                  <w:szCs w:val="18"/>
                  <w:color w:val="0000EE"/>
                  <w:w w:val="89"/>
                </w:rPr>
                <w:t>October 24, 2014).</w:t>
              </w:r>
            </w:hyperlink>
          </w:p>
        </w:tc>
        <w:tc>
          <w:tcPr>
            <w:tcW w:w="6120" w:type="dxa"/>
            <w:vAlign w:val="bottom"/>
            <w:tcBorders>
              <w:top w:val="single" w:sz="8" w:color="0000EE"/>
            </w:tcBorders>
            <w:gridSpan w:val="14"/>
          </w:tcPr>
          <w:p>
            <w:pPr>
              <w:spacing w:after="0"/>
              <w:rPr>
                <w:sz w:val="17"/>
                <w:szCs w:val="17"/>
                <w:color w:val="auto"/>
              </w:rPr>
            </w:pPr>
          </w:p>
        </w:tc>
        <w:tc>
          <w:tcPr>
            <w:tcW w:w="480" w:type="dxa"/>
            <w:vAlign w:val="bottom"/>
            <w:gridSpan w:val="13"/>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10.41*</w:t>
            </w:r>
          </w:p>
        </w:tc>
        <w:tc>
          <w:tcPr>
            <w:tcW w:w="7700" w:type="dxa"/>
            <w:vAlign w:val="bottom"/>
            <w:tcBorders>
              <w:bottom w:val="single" w:sz="8" w:color="0000EE"/>
            </w:tcBorders>
            <w:gridSpan w:val="23"/>
          </w:tcPr>
          <w:p>
            <w:pPr>
              <w:spacing w:after="0"/>
              <w:rPr>
                <w:rFonts w:ascii="Arial" w:cs="Arial" w:eastAsia="Arial" w:hAnsi="Arial"/>
                <w:sz w:val="18"/>
                <w:szCs w:val="18"/>
                <w:color w:val="0000EE"/>
                <w:w w:val="92"/>
              </w:rPr>
            </w:pPr>
            <w:hyperlink r:id="rId154">
              <w:r>
                <w:rPr>
                  <w:rFonts w:ascii="Arial" w:cs="Arial" w:eastAsia="Arial" w:hAnsi="Arial"/>
                  <w:sz w:val="18"/>
                  <w:szCs w:val="18"/>
                  <w:color w:val="0000EE"/>
                  <w:w w:val="92"/>
                </w:rPr>
                <w:t>Form of Letter Agreement entered into with executive officer (incorporated by reference to Exhibit 10.1 of</w:t>
              </w:r>
            </w:hyperlink>
          </w:p>
        </w:tc>
        <w:tc>
          <w:tcPr>
            <w:tcW w:w="260" w:type="dxa"/>
            <w:vAlign w:val="bottom"/>
            <w:gridSpan w:val="6"/>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9"/>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Matson’s Form 8-K dated April 6, 2015).</w:t>
              </w:r>
            </w:hyperlink>
          </w:p>
        </w:tc>
      </w:tr>
      <w:tr>
        <w:trPr>
          <w:trHeight w:val="20"/>
        </w:trPr>
        <w:tc>
          <w:tcPr>
            <w:tcW w:w="110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40" w:type="dxa"/>
            <w:vAlign w:val="bottom"/>
            <w:gridSpan w:val="1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10.42*</w:t>
            </w:r>
          </w:p>
        </w:tc>
        <w:tc>
          <w:tcPr>
            <w:tcW w:w="7600" w:type="dxa"/>
            <w:vAlign w:val="bottom"/>
            <w:tcBorders>
              <w:bottom w:val="single" w:sz="8" w:color="0000EE"/>
            </w:tcBorders>
            <w:gridSpan w:val="20"/>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Letter Agreement Counter Parties (incorporated by reference to Exhibit 10.2 of Matson’s Form 8-K dated</w:t>
              </w:r>
            </w:hyperlink>
          </w:p>
        </w:tc>
        <w:tc>
          <w:tcPr>
            <w:tcW w:w="360" w:type="dxa"/>
            <w:vAlign w:val="bottom"/>
            <w:gridSpan w:val="9"/>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9"/>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April 6, 2015).</w:t>
              </w:r>
            </w:hyperlink>
          </w:p>
        </w:tc>
      </w:tr>
      <w:tr>
        <w:trPr>
          <w:trHeight w:val="20"/>
        </w:trPr>
        <w:tc>
          <w:tcPr>
            <w:tcW w:w="110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60" w:type="dxa"/>
            <w:vAlign w:val="bottom"/>
            <w:gridSpan w:val="1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10.43*</w:t>
            </w:r>
          </w:p>
        </w:tc>
        <w:tc>
          <w:tcPr>
            <w:tcW w:w="7880" w:type="dxa"/>
            <w:vAlign w:val="bottom"/>
            <w:tcBorders>
              <w:bottom w:val="single" w:sz="8" w:color="0000EE"/>
            </w:tcBorders>
            <w:gridSpan w:val="28"/>
          </w:tcPr>
          <w:p>
            <w:pP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Form of Letter Agreement entered into with an officer (incorporated by reference to Exhibit 10.1 of Matson’s</w:t>
              </w:r>
            </w:hyperlink>
          </w:p>
        </w:tc>
        <w:tc>
          <w:tcPr>
            <w:tcW w:w="8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22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Form 8-K dated May 1, 2018).</w:t>
              </w:r>
            </w:hyperlink>
          </w:p>
        </w:tc>
        <w:tc>
          <w:tcPr>
            <w:tcW w:w="5740" w:type="dxa"/>
            <w:vAlign w:val="bottom"/>
            <w:gridSpan w:val="25"/>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10.44*</w:t>
            </w:r>
          </w:p>
        </w:tc>
        <w:tc>
          <w:tcPr>
            <w:tcW w:w="7600" w:type="dxa"/>
            <w:vAlign w:val="bottom"/>
            <w:tcBorders>
              <w:bottom w:val="single" w:sz="8" w:color="0000EE"/>
            </w:tcBorders>
            <w:gridSpan w:val="20"/>
          </w:tcPr>
          <w:p>
            <w:pPr>
              <w:spacing w:after="0"/>
              <w:rPr>
                <w:rFonts w:ascii="Arial" w:cs="Arial" w:eastAsia="Arial" w:hAnsi="Arial"/>
                <w:sz w:val="18"/>
                <w:szCs w:val="18"/>
                <w:color w:val="0000EE"/>
                <w:w w:val="91"/>
              </w:rPr>
            </w:pPr>
            <w:hyperlink r:id="rId157">
              <w:r>
                <w:rPr>
                  <w:rFonts w:ascii="Arial" w:cs="Arial" w:eastAsia="Arial" w:hAnsi="Arial"/>
                  <w:sz w:val="18"/>
                  <w:szCs w:val="18"/>
                  <w:color w:val="0000EE"/>
                  <w:w w:val="91"/>
                </w:rPr>
                <w:t>Letter Agreement Counter Parties (incorporated by reference to Exhibit 10.2 of Matson’s Form 8-K dated</w:t>
              </w:r>
            </w:hyperlink>
          </w:p>
        </w:tc>
        <w:tc>
          <w:tcPr>
            <w:tcW w:w="360" w:type="dxa"/>
            <w:vAlign w:val="bottom"/>
            <w:gridSpan w:val="9"/>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06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May 1, 2018).</w:t>
              </w:r>
            </w:hyperlink>
          </w:p>
        </w:tc>
        <w:tc>
          <w:tcPr>
            <w:tcW w:w="6900" w:type="dxa"/>
            <w:vAlign w:val="bottom"/>
            <w:gridSpan w:val="28"/>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10.45*</w:t>
            </w:r>
          </w:p>
        </w:tc>
        <w:tc>
          <w:tcPr>
            <w:tcW w:w="7960" w:type="dxa"/>
            <w:vAlign w:val="bottom"/>
            <w:gridSpan w:val="29"/>
          </w:tcPr>
          <w:p>
            <w:pPr>
              <w:spacing w:after="0"/>
              <w:rPr>
                <w:rFonts w:ascii="Arial" w:cs="Arial" w:eastAsia="Arial" w:hAnsi="Arial"/>
                <w:sz w:val="18"/>
                <w:szCs w:val="18"/>
                <w:color w:val="0000EE"/>
                <w:w w:val="93"/>
              </w:rPr>
            </w:pPr>
            <w:hyperlink r:id="rId158">
              <w:r>
                <w:rPr>
                  <w:rFonts w:ascii="Arial" w:cs="Arial" w:eastAsia="Arial" w:hAnsi="Arial"/>
                  <w:sz w:val="18"/>
                  <w:szCs w:val="18"/>
                  <w:color w:val="0000EE"/>
                  <w:w w:val="93"/>
                </w:rPr>
                <w:t>Matson, Inc. Executive Severance Plan (incorporated by reference to Exhibit 10.47 of Matson’s Form 10-K</w:t>
              </w:r>
            </w:hyperlink>
          </w:p>
        </w:tc>
      </w:tr>
      <w:tr>
        <w:trPr>
          <w:trHeight w:val="196"/>
        </w:trPr>
        <w:tc>
          <w:tcPr>
            <w:tcW w:w="1100" w:type="dxa"/>
            <w:vAlign w:val="bottom"/>
          </w:tcPr>
          <w:p>
            <w:pPr>
              <w:spacing w:after="0"/>
              <w:rPr>
                <w:sz w:val="17"/>
                <w:szCs w:val="17"/>
                <w:color w:val="auto"/>
              </w:rPr>
            </w:pPr>
          </w:p>
        </w:tc>
        <w:tc>
          <w:tcPr>
            <w:tcW w:w="77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for the year ended December 31, 2012).</w:t>
              </w:r>
            </w:hyperlink>
          </w:p>
        </w:tc>
        <w:tc>
          <w:tcPr>
            <w:tcW w:w="240" w:type="dxa"/>
            <w:vAlign w:val="bottom"/>
            <w:gridSpan w:val="5"/>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340" w:type="dxa"/>
            <w:vAlign w:val="bottom"/>
            <w:gridSpan w:val="5"/>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960" w:type="dxa"/>
            <w:vAlign w:val="bottom"/>
            <w:gridSpan w:val="2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10.46*</w:t>
            </w:r>
          </w:p>
        </w:tc>
        <w:tc>
          <w:tcPr>
            <w:tcW w:w="7820" w:type="dxa"/>
            <w:vAlign w:val="bottom"/>
            <w:tcBorders>
              <w:bottom w:val="single" w:sz="8" w:color="0000EE"/>
            </w:tcBorders>
            <w:gridSpan w:val="26"/>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Matson, Inc. Cash Incentive Plan (incorporated by reference to Exhibit 10.49 of Matson’s Form 10-K for the</w:t>
              </w:r>
            </w:hyperlink>
          </w:p>
        </w:tc>
        <w:tc>
          <w:tcPr>
            <w:tcW w:w="140" w:type="dxa"/>
            <w:vAlign w:val="bottom"/>
            <w:gridSpan w:val="3"/>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9"/>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year ended December 31, 2012).</w:t>
              </w:r>
            </w:hyperlink>
          </w:p>
        </w:tc>
      </w:tr>
      <w:tr>
        <w:trPr>
          <w:trHeight w:val="669"/>
        </w:trPr>
        <w:tc>
          <w:tcPr>
            <w:tcW w:w="1100" w:type="dxa"/>
            <w:vAlign w:val="bottom"/>
          </w:tcPr>
          <w:p>
            <w:pPr>
              <w:spacing w:after="0"/>
              <w:rPr>
                <w:sz w:val="24"/>
                <w:szCs w:val="24"/>
                <w:color w:val="auto"/>
              </w:rPr>
            </w:pPr>
          </w:p>
        </w:tc>
        <w:tc>
          <w:tcPr>
            <w:tcW w:w="2340" w:type="dxa"/>
            <w:vAlign w:val="bottom"/>
            <w:tcBorders>
              <w:top w:val="single" w:sz="8" w:color="0000EE"/>
            </w:tcBorders>
            <w:gridSpan w:val="5"/>
          </w:tcPr>
          <w:p>
            <w:pPr>
              <w:spacing w:after="0"/>
              <w:rPr>
                <w:sz w:val="24"/>
                <w:szCs w:val="24"/>
                <w:color w:val="auto"/>
              </w:rPr>
            </w:pPr>
          </w:p>
        </w:tc>
        <w:tc>
          <w:tcPr>
            <w:tcW w:w="2280" w:type="dxa"/>
            <w:vAlign w:val="bottom"/>
            <w:gridSpan w:val="4"/>
          </w:tcPr>
          <w:p>
            <w:pPr>
              <w:jc w:val="right"/>
              <w:ind w:right="1100"/>
              <w:spacing w:after="0"/>
              <w:rPr>
                <w:sz w:val="20"/>
                <w:szCs w:val="20"/>
                <w:color w:val="auto"/>
              </w:rPr>
            </w:pPr>
            <w:r>
              <w:rPr>
                <w:rFonts w:ascii="Arial" w:cs="Arial" w:eastAsia="Arial" w:hAnsi="Arial"/>
                <w:sz w:val="18"/>
                <w:szCs w:val="18"/>
                <w:color w:val="auto"/>
              </w:rPr>
              <w:t>82</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77"/>
        </w:trPr>
        <w:tc>
          <w:tcPr>
            <w:tcW w:w="1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10.47*</w:t>
            </w:r>
          </w:p>
        </w:tc>
        <w:tc>
          <w:tcPr>
            <w:tcW w:w="7960" w:type="dxa"/>
            <w:vAlign w:val="bottom"/>
            <w:gridSpan w:val="26"/>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Matson, Inc. Deferred Compensation Plan (incorporated by reference to Exhibit 10.51 of Matson’s Form 10-K</w:t>
              </w:r>
            </w:hyperlink>
          </w:p>
        </w:tc>
      </w:tr>
      <w:tr>
        <w:trPr>
          <w:trHeight w:val="196"/>
        </w:trPr>
        <w:tc>
          <w:tcPr>
            <w:tcW w:w="1100" w:type="dxa"/>
            <w:vAlign w:val="bottom"/>
          </w:tcPr>
          <w:p>
            <w:pPr>
              <w:spacing w:after="0"/>
              <w:rPr>
                <w:sz w:val="17"/>
                <w:szCs w:val="17"/>
                <w:color w:val="auto"/>
              </w:rPr>
            </w:pPr>
          </w:p>
        </w:tc>
        <w:tc>
          <w:tcPr>
            <w:tcW w:w="79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for the year ended December 31, 2012).</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10.48</w:t>
            </w:r>
          </w:p>
        </w:tc>
        <w:tc>
          <w:tcPr>
            <w:tcW w:w="7740" w:type="dxa"/>
            <w:vAlign w:val="bottom"/>
            <w:tcBorders>
              <w:bottom w:val="single" w:sz="8" w:color="0000EE"/>
            </w:tcBorders>
            <w:gridSpan w:val="18"/>
          </w:tcPr>
          <w:p>
            <w:pPr>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Shipbuilding Contract, by and between Aker Philadelphia Shipyard, Inc. and Matson Navigation Company,</w:t>
              </w:r>
            </w:hyperlink>
          </w:p>
        </w:tc>
        <w:tc>
          <w:tcPr>
            <w:tcW w:w="220" w:type="dxa"/>
            <w:vAlign w:val="bottom"/>
            <w:gridSpan w:val="8"/>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6"/>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Inc., dated as of November 6, 2013 (certain portions of this exhibit have been omitted pursuant to a</w:t>
              </w:r>
            </w:hyperlink>
          </w:p>
        </w:tc>
      </w:tr>
      <w:tr>
        <w:trPr>
          <w:trHeight w:val="20"/>
        </w:trPr>
        <w:tc>
          <w:tcPr>
            <w:tcW w:w="110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6"/>
          </w:tcPr>
          <w:p>
            <w:pPr>
              <w:spacing w:after="0" w:line="196" w:lineRule="exact"/>
              <w:rPr>
                <w:rFonts w:ascii="Arial" w:cs="Arial" w:eastAsia="Arial" w:hAnsi="Arial"/>
                <w:sz w:val="18"/>
                <w:szCs w:val="18"/>
                <w:color w:val="0000EE"/>
                <w:w w:val="93"/>
              </w:rPr>
            </w:pPr>
            <w:hyperlink r:id="rId161">
              <w:r>
                <w:rPr>
                  <w:rFonts w:ascii="Arial" w:cs="Arial" w:eastAsia="Arial" w:hAnsi="Arial"/>
                  <w:sz w:val="18"/>
                  <w:szCs w:val="18"/>
                  <w:color w:val="0000EE"/>
                  <w:w w:val="93"/>
                </w:rPr>
                <w:t>confidential treatment request submitted to the Commission) (incorporated by reference to Exhibit 10.56 of</w:t>
              </w:r>
            </w:hyperlink>
          </w:p>
        </w:tc>
      </w:tr>
      <w:tr>
        <w:trPr>
          <w:trHeight w:val="196"/>
        </w:trPr>
        <w:tc>
          <w:tcPr>
            <w:tcW w:w="110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Matson’s Form 10-K for the year ended December 31, 2013).</w:t>
              </w:r>
            </w:hyperlink>
          </w:p>
        </w:tc>
        <w:tc>
          <w:tcPr>
            <w:tcW w:w="3280" w:type="dxa"/>
            <w:vAlign w:val="bottom"/>
            <w:tcBorders>
              <w:top w:val="single" w:sz="8" w:color="0000EE"/>
            </w:tcBorders>
            <w:gridSpan w:val="12"/>
          </w:tcPr>
          <w:p>
            <w:pPr>
              <w:spacing w:after="0"/>
              <w:rPr>
                <w:sz w:val="17"/>
                <w:szCs w:val="17"/>
                <w:color w:val="auto"/>
              </w:rPr>
            </w:pPr>
          </w:p>
        </w:tc>
        <w:tc>
          <w:tcPr>
            <w:tcW w:w="240" w:type="dxa"/>
            <w:vAlign w:val="bottom"/>
            <w:gridSpan w:val="9"/>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10.49</w:t>
            </w:r>
          </w:p>
        </w:tc>
        <w:tc>
          <w:tcPr>
            <w:tcW w:w="7740" w:type="dxa"/>
            <w:vAlign w:val="bottom"/>
            <w:tcBorders>
              <w:bottom w:val="single" w:sz="8" w:color="0000EE"/>
            </w:tcBorders>
            <w:gridSpan w:val="18"/>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Shipbuilding Contract, by and between Aker Philadelphia Shipyard, Inc. and Matson Navigation Company,</w:t>
              </w:r>
            </w:hyperlink>
          </w:p>
        </w:tc>
        <w:tc>
          <w:tcPr>
            <w:tcW w:w="220" w:type="dxa"/>
            <w:vAlign w:val="bottom"/>
            <w:gridSpan w:val="8"/>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6"/>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Inc., dated as of November 6, 2013 (certain portions of this exhibit have been omitted pursuant to a</w:t>
              </w:r>
            </w:hyperlink>
          </w:p>
        </w:tc>
      </w:tr>
      <w:tr>
        <w:trPr>
          <w:trHeight w:val="20"/>
        </w:trPr>
        <w:tc>
          <w:tcPr>
            <w:tcW w:w="110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6"/>
          </w:tcPr>
          <w:p>
            <w:pPr>
              <w:spacing w:after="0" w:line="196" w:lineRule="exact"/>
              <w:rPr>
                <w:rFonts w:ascii="Arial" w:cs="Arial" w:eastAsia="Arial" w:hAnsi="Arial"/>
                <w:sz w:val="18"/>
                <w:szCs w:val="18"/>
                <w:color w:val="0000EE"/>
                <w:w w:val="93"/>
              </w:rPr>
            </w:pPr>
            <w:hyperlink r:id="rId162">
              <w:r>
                <w:rPr>
                  <w:rFonts w:ascii="Arial" w:cs="Arial" w:eastAsia="Arial" w:hAnsi="Arial"/>
                  <w:sz w:val="18"/>
                  <w:szCs w:val="18"/>
                  <w:color w:val="0000EE"/>
                  <w:w w:val="93"/>
                </w:rPr>
                <w:t>confidential treatment request submitted to the Commission) (incorporated by reference to Exhibit 10.57 of</w:t>
              </w:r>
            </w:hyperlink>
          </w:p>
        </w:tc>
      </w:tr>
      <w:tr>
        <w:trPr>
          <w:trHeight w:val="196"/>
        </w:trPr>
        <w:tc>
          <w:tcPr>
            <w:tcW w:w="1100" w:type="dxa"/>
            <w:vAlign w:val="bottom"/>
          </w:tcPr>
          <w:p>
            <w:pPr>
              <w:spacing w:after="0"/>
              <w:rPr>
                <w:sz w:val="17"/>
                <w:szCs w:val="17"/>
                <w:color w:val="auto"/>
              </w:rPr>
            </w:pPr>
          </w:p>
        </w:tc>
        <w:tc>
          <w:tcPr>
            <w:tcW w:w="77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Matson’s Form 10-K for the year ended December 31, 2013).</w:t>
              </w:r>
            </w:hyperlink>
          </w:p>
        </w:tc>
        <w:tc>
          <w:tcPr>
            <w:tcW w:w="240" w:type="dxa"/>
            <w:vAlign w:val="bottom"/>
            <w:gridSpan w:val="9"/>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10.50</w:t>
            </w:r>
          </w:p>
        </w:tc>
        <w:tc>
          <w:tcPr>
            <w:tcW w:w="7960" w:type="dxa"/>
            <w:vAlign w:val="bottom"/>
            <w:gridSpan w:val="26"/>
          </w:tcPr>
          <w:p>
            <w:pPr>
              <w:spacing w:after="0"/>
              <w:rPr>
                <w:rFonts w:ascii="Arial" w:cs="Arial" w:eastAsia="Arial" w:hAnsi="Arial"/>
                <w:sz w:val="18"/>
                <w:szCs w:val="18"/>
                <w:color w:val="0000EE"/>
                <w:w w:val="96"/>
              </w:rPr>
            </w:pPr>
            <w:hyperlink r:id="rId163">
              <w:r>
                <w:rPr>
                  <w:rFonts w:ascii="Arial" w:cs="Arial" w:eastAsia="Arial" w:hAnsi="Arial"/>
                  <w:sz w:val="18"/>
                  <w:szCs w:val="18"/>
                  <w:color w:val="0000EE"/>
                  <w:w w:val="96"/>
                </w:rPr>
                <w:t>Guaranty Agreement by Aker Philadelphia Shipyard ASA, in favor of Matson Navigation Company, Inc.,</w:t>
              </w:r>
            </w:hyperlink>
          </w:p>
        </w:tc>
      </w:tr>
      <w:tr>
        <w:trPr>
          <w:trHeight w:val="20"/>
        </w:trPr>
        <w:tc>
          <w:tcPr>
            <w:tcW w:w="110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9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dated as of November 6, 2013 (incorporated by reference to Exhibit 10.58 of Matson’s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for the year</w:t>
              </w:r>
            </w:hyperlink>
          </w:p>
        </w:tc>
      </w:tr>
      <w:tr>
        <w:trPr>
          <w:trHeight w:val="196"/>
        </w:trPr>
        <w:tc>
          <w:tcPr>
            <w:tcW w:w="1100" w:type="dxa"/>
            <w:vAlign w:val="bottom"/>
          </w:tcPr>
          <w:p>
            <w:pPr>
              <w:spacing w:after="0"/>
              <w:rPr>
                <w:sz w:val="17"/>
                <w:szCs w:val="17"/>
                <w:color w:val="auto"/>
              </w:rPr>
            </w:pPr>
          </w:p>
        </w:tc>
        <w:tc>
          <w:tcPr>
            <w:tcW w:w="200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63">
              <w:r>
                <w:rPr>
                  <w:rFonts w:ascii="Arial" w:cs="Arial" w:eastAsia="Arial" w:hAnsi="Arial"/>
                  <w:sz w:val="18"/>
                  <w:szCs w:val="18"/>
                  <w:color w:val="0000EE"/>
                  <w:w w:val="88"/>
                </w:rPr>
                <w:t>ended December 31, 2013).</w:t>
              </w:r>
            </w:hyperlink>
          </w:p>
        </w:tc>
        <w:tc>
          <w:tcPr>
            <w:tcW w:w="5960" w:type="dxa"/>
            <w:vAlign w:val="bottom"/>
            <w:gridSpan w:val="25"/>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10.51</w:t>
            </w:r>
          </w:p>
        </w:tc>
        <w:tc>
          <w:tcPr>
            <w:tcW w:w="7740" w:type="dxa"/>
            <w:vAlign w:val="bottom"/>
            <w:tcBorders>
              <w:bottom w:val="single" w:sz="8" w:color="0000EE"/>
            </w:tcBorders>
            <w:gridSpan w:val="18"/>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Contract for Construction of Two Vessels, dated as of August 25, 2016, by and between Matson Navigation</w:t>
              </w:r>
            </w:hyperlink>
          </w:p>
        </w:tc>
        <w:tc>
          <w:tcPr>
            <w:tcW w:w="220" w:type="dxa"/>
            <w:vAlign w:val="bottom"/>
            <w:gridSpan w:val="8"/>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5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Company, Inc. and National Steel and Shipbuilding Company (certain portions of this exhibit have been</w:t>
              </w:r>
            </w:hyperlink>
          </w:p>
        </w:tc>
        <w:tc>
          <w:tcPr>
            <w:tcW w:w="460" w:type="dxa"/>
            <w:vAlign w:val="bottom"/>
            <w:gridSpan w:val="12"/>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6"/>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omitted pursuant to a confidential treatment request submitted to the Commission) (incorporated by reference</w:t>
              </w:r>
            </w:hyperlink>
          </w:p>
        </w:tc>
      </w:tr>
      <w:tr>
        <w:trPr>
          <w:trHeight w:val="196"/>
        </w:trPr>
        <w:tc>
          <w:tcPr>
            <w:tcW w:w="1100" w:type="dxa"/>
            <w:vAlign w:val="bottom"/>
          </w:tcPr>
          <w:p>
            <w:pPr>
              <w:spacing w:after="0"/>
              <w:rPr>
                <w:sz w:val="17"/>
                <w:szCs w:val="17"/>
                <w:color w:val="auto"/>
              </w:rPr>
            </w:pPr>
          </w:p>
        </w:tc>
        <w:tc>
          <w:tcPr>
            <w:tcW w:w="78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to Exhibit 10.1 of Matson’s Form 10-Q for the quarter ended September 30, 2016).</w:t>
              </w:r>
            </w:hyperlink>
          </w:p>
        </w:tc>
        <w:tc>
          <w:tcPr>
            <w:tcW w:w="80" w:type="dxa"/>
            <w:vAlign w:val="bottom"/>
            <w:gridSpan w:val="4"/>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10.52</w:t>
            </w:r>
          </w:p>
        </w:tc>
        <w:tc>
          <w:tcPr>
            <w:tcW w:w="7960" w:type="dxa"/>
            <w:vAlign w:val="bottom"/>
            <w:gridSpan w:val="26"/>
          </w:tcPr>
          <w:p>
            <w:pPr>
              <w:spacing w:after="0"/>
              <w:rPr>
                <w:rFonts w:ascii="Arial" w:cs="Arial" w:eastAsia="Arial" w:hAnsi="Arial"/>
                <w:sz w:val="18"/>
                <w:szCs w:val="18"/>
                <w:color w:val="0000EE"/>
                <w:w w:val="92"/>
              </w:rPr>
            </w:pPr>
            <w:hyperlink r:id="rId165">
              <w:r>
                <w:rPr>
                  <w:rFonts w:ascii="Arial" w:cs="Arial" w:eastAsia="Arial" w:hAnsi="Arial"/>
                  <w:sz w:val="18"/>
                  <w:szCs w:val="18"/>
                  <w:color w:val="0000EE"/>
                  <w:w w:val="92"/>
                </w:rPr>
                <w:t>Purchaser’s Corporate Guaranty Agreement, by Matson, Inc., dated as of August 25, 2016 (incorporated by</w:t>
              </w:r>
            </w:hyperlink>
          </w:p>
        </w:tc>
      </w:tr>
      <w:tr>
        <w:trPr>
          <w:trHeight w:val="196"/>
        </w:trPr>
        <w:tc>
          <w:tcPr>
            <w:tcW w:w="1100" w:type="dxa"/>
            <w:vAlign w:val="bottom"/>
          </w:tcPr>
          <w:p>
            <w:pPr>
              <w:spacing w:after="0"/>
              <w:rPr>
                <w:sz w:val="17"/>
                <w:szCs w:val="17"/>
                <w:color w:val="auto"/>
              </w:rPr>
            </w:pPr>
          </w:p>
        </w:tc>
        <w:tc>
          <w:tcPr>
            <w:tcW w:w="77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reference to Exhibit 10.2 of Matson’s Form 10-Q for the quarter ended September 30, 2016).</w:t>
              </w:r>
            </w:hyperlink>
          </w:p>
        </w:tc>
        <w:tc>
          <w:tcPr>
            <w:tcW w:w="240" w:type="dxa"/>
            <w:vAlign w:val="bottom"/>
            <w:gridSpan w:val="9"/>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10.53</w:t>
            </w:r>
          </w:p>
        </w:tc>
        <w:tc>
          <w:tcPr>
            <w:tcW w:w="7960" w:type="dxa"/>
            <w:vAlign w:val="bottom"/>
            <w:gridSpan w:val="26"/>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Contractor’s Corporate Guaranty Agreement, by General Dynamics Corporation, dated as of August 25, 2016</w:t>
              </w:r>
            </w:hyperlink>
          </w:p>
        </w:tc>
      </w:tr>
      <w:tr>
        <w:trPr>
          <w:trHeight w:val="20"/>
        </w:trPr>
        <w:tc>
          <w:tcPr>
            <w:tcW w:w="110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9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(incorporated by reference to Exhibit 10.3 of Matson’s Form 10-Q for the quarter ended September 30, 2016).</w:t>
              </w:r>
            </w:hyperlink>
          </w:p>
        </w:tc>
        <w:tc>
          <w:tcPr>
            <w:tcW w:w="40" w:type="dxa"/>
            <w:vAlign w:val="bottom"/>
            <w:gridSpan w:val="2"/>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10.54</w:t>
            </w:r>
          </w:p>
        </w:tc>
        <w:tc>
          <w:tcPr>
            <w:tcW w:w="7960" w:type="dxa"/>
            <w:vAlign w:val="bottom"/>
            <w:gridSpan w:val="26"/>
          </w:tcPr>
          <w:p>
            <w:pPr>
              <w:spacing w:after="0"/>
              <w:rPr>
                <w:rFonts w:ascii="Arial" w:cs="Arial" w:eastAsia="Arial" w:hAnsi="Arial"/>
                <w:sz w:val="18"/>
                <w:szCs w:val="18"/>
                <w:color w:val="0000EE"/>
              </w:rPr>
            </w:pPr>
            <w:hyperlink r:id="rId167">
              <w:r>
                <w:rPr>
                  <w:rFonts w:ascii="Arial" w:cs="Arial" w:eastAsia="Arial" w:hAnsi="Arial"/>
                  <w:sz w:val="18"/>
                  <w:szCs w:val="18"/>
                  <w:color w:val="0000EE"/>
                </w:rPr>
                <w:t>Form of Capital Construction Fund Agreement with Matson Navigation Company, as amended by</w:t>
              </w:r>
            </w:hyperlink>
          </w:p>
        </w:tc>
      </w:tr>
      <w:tr>
        <w:trPr>
          <w:trHeight w:val="20"/>
        </w:trPr>
        <w:tc>
          <w:tcPr>
            <w:tcW w:w="110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6"/>
          </w:tcPr>
          <w:p>
            <w:pPr>
              <w:spacing w:after="0" w:line="196" w:lineRule="exact"/>
              <w:rPr>
                <w:rFonts w:ascii="Arial" w:cs="Arial" w:eastAsia="Arial" w:hAnsi="Arial"/>
                <w:sz w:val="18"/>
                <w:szCs w:val="18"/>
                <w:color w:val="0000EE"/>
                <w:w w:val="93"/>
              </w:rPr>
            </w:pPr>
            <w:hyperlink r:id="rId167">
              <w:r>
                <w:rPr>
                  <w:rFonts w:ascii="Arial" w:cs="Arial" w:eastAsia="Arial" w:hAnsi="Arial"/>
                  <w:sz w:val="18"/>
                  <w:szCs w:val="18"/>
                  <w:color w:val="0000EE"/>
                  <w:w w:val="93"/>
                </w:rPr>
                <w:t>Addendums No. 2, No. 5, No. 18, No. 20 and No. 31, thereto (incorporated by reference to Exhibit 10.60 of</w:t>
              </w:r>
            </w:hyperlink>
          </w:p>
        </w:tc>
      </w:tr>
      <w:tr>
        <w:trPr>
          <w:trHeight w:val="196"/>
        </w:trPr>
        <w:tc>
          <w:tcPr>
            <w:tcW w:w="110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Matson’s Form 10-K for the year ended December 31, 2013).</w:t>
              </w:r>
            </w:hyperlink>
          </w:p>
        </w:tc>
        <w:tc>
          <w:tcPr>
            <w:tcW w:w="3300" w:type="dxa"/>
            <w:vAlign w:val="bottom"/>
            <w:tcBorders>
              <w:top w:val="single" w:sz="8" w:color="0000EE"/>
            </w:tcBorders>
            <w:gridSpan w:val="13"/>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10.55</w:t>
            </w:r>
          </w:p>
        </w:tc>
        <w:tc>
          <w:tcPr>
            <w:tcW w:w="7960" w:type="dxa"/>
            <w:vAlign w:val="bottom"/>
            <w:gridSpan w:val="26"/>
          </w:tcPr>
          <w:p>
            <w:pPr>
              <w:spacing w:after="0"/>
              <w:rPr>
                <w:rFonts w:ascii="Arial" w:cs="Arial" w:eastAsia="Arial" w:hAnsi="Arial"/>
                <w:sz w:val="18"/>
                <w:szCs w:val="18"/>
                <w:color w:val="0000EE"/>
                <w:w w:val="93"/>
              </w:rPr>
            </w:pPr>
            <w:hyperlink r:id="rId168">
              <w:r>
                <w:rPr>
                  <w:rFonts w:ascii="Arial" w:cs="Arial" w:eastAsia="Arial" w:hAnsi="Arial"/>
                  <w:sz w:val="18"/>
                  <w:szCs w:val="18"/>
                  <w:color w:val="0000EE"/>
                  <w:w w:val="93"/>
                </w:rPr>
                <w:t>Form of Voting Agreement, dated as of November 11, 2014, among Matson Navigation Company, Inc. and</w:t>
              </w:r>
            </w:hyperlink>
          </w:p>
        </w:tc>
      </w:tr>
      <w:tr>
        <w:trPr>
          <w:trHeight w:val="196"/>
        </w:trPr>
        <w:tc>
          <w:tcPr>
            <w:tcW w:w="1100" w:type="dxa"/>
            <w:vAlign w:val="bottom"/>
          </w:tcPr>
          <w:p>
            <w:pPr>
              <w:spacing w:after="0"/>
              <w:rPr>
                <w:sz w:val="17"/>
                <w:szCs w:val="17"/>
                <w:color w:val="auto"/>
              </w:rPr>
            </w:pPr>
          </w:p>
        </w:tc>
        <w:tc>
          <w:tcPr>
            <w:tcW w:w="74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168">
              <w:r>
                <w:rPr>
                  <w:rFonts w:ascii="Arial" w:cs="Arial" w:eastAsia="Arial" w:hAnsi="Arial"/>
                  <w:sz w:val="18"/>
                  <w:szCs w:val="18"/>
                  <w:color w:val="0000EE"/>
                  <w:w w:val="92"/>
                </w:rPr>
                <w:t>certain holders of voting securities of Horizon Lines, Inc. (incorporated by reference to Exhibit 10.1 of</w:t>
              </w:r>
            </w:hyperlink>
          </w:p>
        </w:tc>
        <w:tc>
          <w:tcPr>
            <w:tcW w:w="300" w:type="dxa"/>
            <w:vAlign w:val="bottom"/>
            <w:tcBorders>
              <w:top w:val="single" w:sz="8" w:color="0000EE"/>
            </w:tcBorders>
            <w:gridSpan w:val="4"/>
          </w:tcPr>
          <w:p>
            <w:pPr>
              <w:spacing w:after="0"/>
              <w:rPr>
                <w:sz w:val="17"/>
                <w:szCs w:val="17"/>
                <w:color w:val="auto"/>
              </w:rPr>
            </w:pPr>
          </w:p>
        </w:tc>
        <w:tc>
          <w:tcPr>
            <w:tcW w:w="260" w:type="dxa"/>
            <w:vAlign w:val="bottom"/>
            <w:gridSpan w:val="10"/>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6"/>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Matson’s Form 8-K dated November 11, 2014).</w:t>
              </w:r>
            </w:hyperlink>
          </w:p>
        </w:tc>
      </w:tr>
      <w:tr>
        <w:trPr>
          <w:trHeight w:val="20"/>
        </w:trPr>
        <w:tc>
          <w:tcPr>
            <w:tcW w:w="110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10.56*</w:t>
            </w:r>
          </w:p>
        </w:tc>
        <w:tc>
          <w:tcPr>
            <w:tcW w:w="7860" w:type="dxa"/>
            <w:vAlign w:val="bottom"/>
            <w:tcBorders>
              <w:bottom w:val="single" w:sz="8" w:color="0000EE"/>
            </w:tcBorders>
            <w:gridSpan w:val="21"/>
          </w:tcPr>
          <w:p>
            <w:pPr>
              <w:spacing w:after="0"/>
              <w:rPr>
                <w:rFonts w:ascii="Arial" w:cs="Arial" w:eastAsia="Arial" w:hAnsi="Arial"/>
                <w:sz w:val="18"/>
                <w:szCs w:val="18"/>
                <w:color w:val="0000EE"/>
                <w:w w:val="89"/>
              </w:rPr>
            </w:pPr>
            <w:hyperlink r:id="rId169">
              <w:r>
                <w:rPr>
                  <w:rFonts w:ascii="Arial" w:cs="Arial" w:eastAsia="Arial" w:hAnsi="Arial"/>
                  <w:sz w:val="18"/>
                  <w:szCs w:val="18"/>
                  <w:color w:val="0000EE"/>
                  <w:w w:val="89"/>
                </w:rPr>
                <w:t>Matson, Inc. 2016 Incentive Compensation Plan, amended as of October 25, 2017 (incorporated by reference</w:t>
              </w:r>
            </w:hyperlink>
          </w:p>
        </w:tc>
        <w:tc>
          <w:tcPr>
            <w:tcW w:w="100" w:type="dxa"/>
            <w:vAlign w:val="bottom"/>
            <w:gridSpan w:val="5"/>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960" w:type="dxa"/>
            <w:vAlign w:val="bottom"/>
            <w:gridSpan w:val="26"/>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to Exhibit 10.56 of Matson’s Form 10-K for the year ended December 31, 2017).</w:t>
              </w:r>
            </w:hyperlink>
          </w:p>
        </w:tc>
      </w:tr>
      <w:tr>
        <w:trPr>
          <w:trHeight w:val="20"/>
        </w:trPr>
        <w:tc>
          <w:tcPr>
            <w:tcW w:w="1100" w:type="dxa"/>
            <w:vAlign w:val="bottom"/>
          </w:tcPr>
          <w:p>
            <w:pPr>
              <w:spacing w:after="0" w:line="20" w:lineRule="exact"/>
              <w:rPr>
                <w:sz w:val="1"/>
                <w:szCs w:val="1"/>
                <w:color w:val="auto"/>
              </w:rPr>
            </w:pPr>
          </w:p>
        </w:tc>
        <w:tc>
          <w:tcPr>
            <w:tcW w:w="5820" w:type="dxa"/>
            <w:vAlign w:val="bottom"/>
            <w:gridSpan w:val="6"/>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10.57*</w:t>
            </w:r>
          </w:p>
        </w:tc>
        <w:tc>
          <w:tcPr>
            <w:tcW w:w="7960" w:type="dxa"/>
            <w:vAlign w:val="bottom"/>
            <w:tcBorders>
              <w:bottom w:val="single" w:sz="8" w:color="0000EE"/>
            </w:tcBorders>
            <w:gridSpan w:val="26"/>
          </w:tcPr>
          <w:p>
            <w:pPr>
              <w:spacing w:after="0"/>
              <w:rPr>
                <w:rFonts w:ascii="Arial" w:cs="Arial" w:eastAsia="Arial" w:hAnsi="Arial"/>
                <w:sz w:val="18"/>
                <w:szCs w:val="18"/>
                <w:color w:val="0000EE"/>
                <w:w w:val="89"/>
              </w:rPr>
            </w:pPr>
            <w:hyperlink r:id="rId170">
              <w:r>
                <w:rPr>
                  <w:rFonts w:ascii="Arial" w:cs="Arial" w:eastAsia="Arial" w:hAnsi="Arial"/>
                  <w:sz w:val="18"/>
                  <w:szCs w:val="18"/>
                  <w:color w:val="0000EE"/>
                  <w:w w:val="89"/>
                </w:rPr>
                <w:t>Amended and Restated Matson, Inc. Cash Incentive Plan, effective January 1, 2016 (incorporated by reference</w:t>
              </w:r>
            </w:hyperlink>
          </w:p>
        </w:tc>
      </w:tr>
      <w:tr>
        <w:trPr>
          <w:trHeight w:val="196"/>
        </w:trPr>
        <w:tc>
          <w:tcPr>
            <w:tcW w:w="1100" w:type="dxa"/>
            <w:vAlign w:val="bottom"/>
          </w:tcPr>
          <w:p>
            <w:pPr>
              <w:spacing w:after="0"/>
              <w:rPr>
                <w:sz w:val="17"/>
                <w:szCs w:val="17"/>
                <w:color w:val="auto"/>
              </w:rPr>
            </w:pPr>
          </w:p>
        </w:tc>
        <w:tc>
          <w:tcPr>
            <w:tcW w:w="7960" w:type="dxa"/>
            <w:vAlign w:val="bottom"/>
            <w:gridSpan w:val="26"/>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to Exhibit 10.63 of Matson’s Form 10-K for the year ended December 31, 2016).</w:t>
              </w:r>
            </w:hyperlink>
          </w:p>
        </w:tc>
      </w:tr>
      <w:tr>
        <w:trPr>
          <w:trHeight w:val="20"/>
        </w:trPr>
        <w:tc>
          <w:tcPr>
            <w:tcW w:w="1100" w:type="dxa"/>
            <w:vAlign w:val="bottom"/>
          </w:tcPr>
          <w:p>
            <w:pPr>
              <w:spacing w:after="0" w:line="20" w:lineRule="exact"/>
              <w:rPr>
                <w:sz w:val="1"/>
                <w:szCs w:val="1"/>
                <w:color w:val="auto"/>
              </w:rPr>
            </w:pPr>
          </w:p>
        </w:tc>
        <w:tc>
          <w:tcPr>
            <w:tcW w:w="5820" w:type="dxa"/>
            <w:vAlign w:val="bottom"/>
            <w:gridSpan w:val="6"/>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10.58*</w:t>
            </w:r>
          </w:p>
        </w:tc>
        <w:tc>
          <w:tcPr>
            <w:tcW w:w="7460" w:type="dxa"/>
            <w:vAlign w:val="bottom"/>
            <w:tcBorders>
              <w:bottom w:val="single" w:sz="8" w:color="0000EE"/>
            </w:tcBorders>
            <w:gridSpan w:val="13"/>
          </w:tcPr>
          <w:p>
            <w:pPr>
              <w:spacing w:after="0"/>
              <w:rPr>
                <w:rFonts w:ascii="Arial" w:cs="Arial" w:eastAsia="Arial" w:hAnsi="Arial"/>
                <w:sz w:val="18"/>
                <w:szCs w:val="18"/>
                <w:color w:val="0000EE"/>
                <w:w w:val="92"/>
              </w:rPr>
            </w:pPr>
            <w:hyperlink r:id="rId171">
              <w:r>
                <w:rPr>
                  <w:rFonts w:ascii="Arial" w:cs="Arial" w:eastAsia="Arial" w:hAnsi="Arial"/>
                  <w:sz w:val="18"/>
                  <w:szCs w:val="18"/>
                  <w:color w:val="0000EE"/>
                  <w:w w:val="92"/>
                </w:rPr>
                <w:t>Form of 2016 Plan Restricted Stock Unit Award Agreement for Non-Employee Directors (No Deferral)</w:t>
              </w:r>
            </w:hyperlink>
          </w:p>
        </w:tc>
        <w:tc>
          <w:tcPr>
            <w:tcW w:w="500" w:type="dxa"/>
            <w:vAlign w:val="bottom"/>
            <w:gridSpan w:val="13"/>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7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(incorporated by reference to Exhibit 10.64 of Matson’s Form 10-K for the year ended December 31, 2016).</w:t>
              </w:r>
            </w:hyperlink>
          </w:p>
        </w:tc>
        <w:tc>
          <w:tcPr>
            <w:tcW w:w="180" w:type="dxa"/>
            <w:vAlign w:val="bottom"/>
            <w:gridSpan w:val="7"/>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10.59*</w:t>
            </w:r>
          </w:p>
        </w:tc>
        <w:tc>
          <w:tcPr>
            <w:tcW w:w="7840" w:type="dxa"/>
            <w:vAlign w:val="bottom"/>
            <w:tcBorders>
              <w:bottom w:val="single" w:sz="8" w:color="0000EE"/>
            </w:tcBorders>
            <w:gridSpan w:val="20"/>
          </w:tcPr>
          <w:p>
            <w:pPr>
              <w:spacing w:after="0"/>
              <w:rPr>
                <w:rFonts w:ascii="Arial" w:cs="Arial" w:eastAsia="Arial" w:hAnsi="Arial"/>
                <w:sz w:val="18"/>
                <w:szCs w:val="18"/>
                <w:color w:val="0000EE"/>
                <w:w w:val="92"/>
              </w:rPr>
            </w:pPr>
            <w:hyperlink r:id="rId172">
              <w:r>
                <w:rPr>
                  <w:rFonts w:ascii="Arial" w:cs="Arial" w:eastAsia="Arial" w:hAnsi="Arial"/>
                  <w:sz w:val="18"/>
                  <w:szCs w:val="18"/>
                  <w:color w:val="0000EE"/>
                  <w:w w:val="92"/>
                </w:rPr>
                <w:t>Form of 2016 Plan Restricted Stock Unit Award Agreement for Non-Employee Directors (Deferral Election)</w:t>
              </w:r>
            </w:hyperlink>
          </w:p>
        </w:tc>
        <w:tc>
          <w:tcPr>
            <w:tcW w:w="120" w:type="dxa"/>
            <w:vAlign w:val="bottom"/>
            <w:gridSpan w:val="6"/>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7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(incorporated by reference to Exhibit 10.65 of Matson’s Form 10-K for the year ended December 31, 2016).</w:t>
              </w:r>
            </w:hyperlink>
          </w:p>
        </w:tc>
        <w:tc>
          <w:tcPr>
            <w:tcW w:w="180" w:type="dxa"/>
            <w:vAlign w:val="bottom"/>
            <w:gridSpan w:val="7"/>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10.60*</w:t>
            </w:r>
          </w:p>
        </w:tc>
        <w:tc>
          <w:tcPr>
            <w:tcW w:w="7960" w:type="dxa"/>
            <w:vAlign w:val="bottom"/>
            <w:tcBorders>
              <w:bottom w:val="single" w:sz="8" w:color="0000EE"/>
            </w:tcBorders>
            <w:gridSpan w:val="26"/>
          </w:tcPr>
          <w:p>
            <w:pPr>
              <w:spacing w:after="0"/>
              <w:rPr>
                <w:rFonts w:ascii="Arial" w:cs="Arial" w:eastAsia="Arial" w:hAnsi="Arial"/>
                <w:sz w:val="18"/>
                <w:szCs w:val="18"/>
                <w:color w:val="0000EE"/>
                <w:w w:val="91"/>
              </w:rPr>
            </w:pPr>
            <w:hyperlink r:id="rId173">
              <w:r>
                <w:rPr>
                  <w:rFonts w:ascii="Arial" w:cs="Arial" w:eastAsia="Arial" w:hAnsi="Arial"/>
                  <w:sz w:val="18"/>
                  <w:szCs w:val="18"/>
                  <w:color w:val="0000EE"/>
                  <w:w w:val="91"/>
                </w:rPr>
                <w:t>Form of 2016 Plan Time-Based Restricted Stock Unit Agreement for Non-Executive Employees (incorporated</w:t>
              </w:r>
            </w:hyperlink>
          </w:p>
        </w:tc>
      </w:tr>
      <w:tr>
        <w:trPr>
          <w:trHeight w:val="196"/>
        </w:trPr>
        <w:tc>
          <w:tcPr>
            <w:tcW w:w="1100" w:type="dxa"/>
            <w:vAlign w:val="bottom"/>
          </w:tcPr>
          <w:p>
            <w:pPr>
              <w:spacing w:after="0"/>
              <w:rPr>
                <w:sz w:val="17"/>
                <w:szCs w:val="17"/>
                <w:color w:val="auto"/>
              </w:rPr>
            </w:pPr>
          </w:p>
        </w:tc>
        <w:tc>
          <w:tcPr>
            <w:tcW w:w="7960" w:type="dxa"/>
            <w:vAlign w:val="bottom"/>
            <w:gridSpan w:val="26"/>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by reference to Exhibit 10.60 of Matson’s Form 10-K for the year ended December 31, 2017).</w:t>
              </w:r>
            </w:hyperlink>
          </w:p>
        </w:tc>
      </w:tr>
      <w:tr>
        <w:trPr>
          <w:trHeight w:val="669"/>
        </w:trPr>
        <w:tc>
          <w:tcPr>
            <w:tcW w:w="1100" w:type="dxa"/>
            <w:vAlign w:val="bottom"/>
          </w:tcPr>
          <w:p>
            <w:pPr>
              <w:spacing w:after="0"/>
              <w:rPr>
                <w:sz w:val="24"/>
                <w:szCs w:val="24"/>
                <w:color w:val="auto"/>
              </w:rPr>
            </w:pPr>
          </w:p>
        </w:tc>
        <w:tc>
          <w:tcPr>
            <w:tcW w:w="4420" w:type="dxa"/>
            <w:vAlign w:val="bottom"/>
            <w:tcBorders>
              <w:top w:val="single" w:sz="8" w:color="0000EE"/>
            </w:tcBorders>
            <w:gridSpan w:val="4"/>
          </w:tcPr>
          <w:p>
            <w:pPr>
              <w:ind w:left="3340"/>
              <w:spacing w:after="0"/>
              <w:rPr>
                <w:sz w:val="20"/>
                <w:szCs w:val="20"/>
                <w:color w:val="auto"/>
              </w:rPr>
            </w:pPr>
            <w:r>
              <w:rPr>
                <w:rFonts w:ascii="Arial" w:cs="Arial" w:eastAsia="Arial" w:hAnsi="Arial"/>
                <w:sz w:val="18"/>
                <w:szCs w:val="18"/>
                <w:color w:val="auto"/>
              </w:rPr>
              <w:t>83</w:t>
            </w:r>
          </w:p>
        </w:tc>
        <w:tc>
          <w:tcPr>
            <w:tcW w:w="2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77"/>
        </w:trPr>
        <w:tc>
          <w:tcPr>
            <w:tcW w:w="1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10.61*</w:t>
            </w:r>
          </w:p>
        </w:tc>
        <w:tc>
          <w:tcPr>
            <w:tcW w:w="7820" w:type="dxa"/>
            <w:vAlign w:val="bottom"/>
            <w:tcBorders>
              <w:bottom w:val="single" w:sz="8" w:color="0000EE"/>
            </w:tcBorders>
            <w:gridSpan w:val="16"/>
          </w:tcPr>
          <w:p>
            <w:pP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Form of 2016 Plan Time-Based Restricted Stock Unit Agreement for Executive Employees (incorporated by</w:t>
              </w:r>
            </w:hyperlink>
          </w:p>
        </w:tc>
        <w:tc>
          <w:tcPr>
            <w:tcW w:w="140" w:type="dxa"/>
            <w:vAlign w:val="bottom"/>
            <w:gridSpan w:val="2"/>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65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74">
              <w:r>
                <w:rPr>
                  <w:rFonts w:ascii="Arial" w:cs="Arial" w:eastAsia="Arial" w:hAnsi="Arial"/>
                  <w:sz w:val="18"/>
                  <w:szCs w:val="18"/>
                  <w:color w:val="0000EE"/>
                  <w:w w:val="90"/>
                </w:rPr>
                <w:t>reference to Exhibit 10.61 of Matson’s Form 10-K for the year ended December 31, 2017).</w:t>
              </w:r>
            </w:hyperlink>
          </w:p>
        </w:tc>
        <w:tc>
          <w:tcPr>
            <w:tcW w:w="1420" w:type="dxa"/>
            <w:vAlign w:val="bottom"/>
            <w:gridSpan w:val="12"/>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10.62*</w:t>
            </w:r>
          </w:p>
        </w:tc>
        <w:tc>
          <w:tcPr>
            <w:tcW w:w="7960" w:type="dxa"/>
            <w:vAlign w:val="bottom"/>
            <w:gridSpan w:val="18"/>
          </w:tcPr>
          <w:p>
            <w:pPr>
              <w:spacing w:after="0"/>
              <w:rPr>
                <w:rFonts w:ascii="Arial" w:cs="Arial" w:eastAsia="Arial" w:hAnsi="Arial"/>
                <w:sz w:val="18"/>
                <w:szCs w:val="18"/>
                <w:color w:val="0000EE"/>
                <w:w w:val="95"/>
              </w:rPr>
            </w:pPr>
            <w:hyperlink r:id="rId175">
              <w:r>
                <w:rPr>
                  <w:rFonts w:ascii="Arial" w:cs="Arial" w:eastAsia="Arial" w:hAnsi="Arial"/>
                  <w:sz w:val="18"/>
                  <w:szCs w:val="18"/>
                  <w:color w:val="0000EE"/>
                  <w:w w:val="95"/>
                </w:rPr>
                <w:t>Form of 2016 Plan Performance Share Award Agreement for Non-Executive Employees (incorporated by</w:t>
              </w:r>
            </w:hyperlink>
          </w:p>
        </w:tc>
      </w:tr>
      <w:tr>
        <w:trPr>
          <w:trHeight w:val="196"/>
        </w:trPr>
        <w:tc>
          <w:tcPr>
            <w:tcW w:w="1100" w:type="dxa"/>
            <w:vAlign w:val="bottom"/>
          </w:tcPr>
          <w:p>
            <w:pPr>
              <w:spacing w:after="0"/>
              <w:rPr>
                <w:sz w:val="17"/>
                <w:szCs w:val="17"/>
                <w:color w:val="auto"/>
              </w:rPr>
            </w:pPr>
          </w:p>
        </w:tc>
        <w:tc>
          <w:tcPr>
            <w:tcW w:w="65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reference to Exhibit 10.62 of Matson’s Form 10-K for the year ended December 31, 2017).</w:t>
              </w:r>
            </w:hyperlink>
          </w:p>
        </w:tc>
        <w:tc>
          <w:tcPr>
            <w:tcW w:w="1060" w:type="dxa"/>
            <w:vAlign w:val="bottom"/>
            <w:tcBorders>
              <w:top w:val="single" w:sz="8" w:color="0000EE"/>
            </w:tcBorders>
            <w:gridSpan w:val="5"/>
          </w:tcPr>
          <w:p>
            <w:pPr>
              <w:spacing w:after="0"/>
              <w:rPr>
                <w:sz w:val="17"/>
                <w:szCs w:val="17"/>
                <w:color w:val="auto"/>
              </w:rPr>
            </w:pPr>
          </w:p>
        </w:tc>
        <w:tc>
          <w:tcPr>
            <w:tcW w:w="360" w:type="dxa"/>
            <w:vAlign w:val="bottom"/>
            <w:gridSpan w:val="7"/>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10.63*</w:t>
            </w:r>
          </w:p>
        </w:tc>
        <w:tc>
          <w:tcPr>
            <w:tcW w:w="7960" w:type="dxa"/>
            <w:vAlign w:val="bottom"/>
            <w:tcBorders>
              <w:bottom w:val="single" w:sz="8" w:color="0000EE"/>
            </w:tcBorders>
            <w:gridSpan w:val="18"/>
          </w:tcPr>
          <w:p>
            <w:pP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Form of 2016 Plan Performance Share Award Agreement for Executive Employees (incorporated by reference</w:t>
              </w:r>
            </w:hyperlink>
          </w:p>
        </w:tc>
      </w:tr>
      <w:tr>
        <w:trPr>
          <w:trHeight w:val="196"/>
        </w:trPr>
        <w:tc>
          <w:tcPr>
            <w:tcW w:w="1100" w:type="dxa"/>
            <w:vAlign w:val="bottom"/>
          </w:tcPr>
          <w:p>
            <w:pPr>
              <w:spacing w:after="0"/>
              <w:rPr>
                <w:sz w:val="17"/>
                <w:szCs w:val="17"/>
                <w:color w:val="auto"/>
              </w:rPr>
            </w:pPr>
          </w:p>
        </w:tc>
        <w:tc>
          <w:tcPr>
            <w:tcW w:w="7960" w:type="dxa"/>
            <w:vAlign w:val="bottom"/>
            <w:gridSpan w:val="18"/>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to Exhibit 10.63 of Matson’s Form 10-K for the year ended December 31, 2017).</w:t>
              </w:r>
            </w:hyperlink>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10.64*</w:t>
            </w:r>
          </w:p>
        </w:tc>
        <w:tc>
          <w:tcPr>
            <w:tcW w:w="7940" w:type="dxa"/>
            <w:vAlign w:val="bottom"/>
            <w:tcBorders>
              <w:bottom w:val="single" w:sz="8" w:color="0000EE"/>
            </w:tcBorders>
            <w:gridSpan w:val="17"/>
          </w:tcPr>
          <w:p>
            <w:pPr>
              <w:spacing w:after="0"/>
              <w:rPr>
                <w:rFonts w:ascii="Arial" w:cs="Arial" w:eastAsia="Arial" w:hAnsi="Arial"/>
                <w:sz w:val="18"/>
                <w:szCs w:val="18"/>
                <w:color w:val="0000EE"/>
                <w:w w:val="91"/>
              </w:rPr>
            </w:pPr>
            <w:hyperlink r:id="rId177">
              <w:r>
                <w:rPr>
                  <w:rFonts w:ascii="Arial" w:cs="Arial" w:eastAsia="Arial" w:hAnsi="Arial"/>
                  <w:sz w:val="18"/>
                  <w:szCs w:val="18"/>
                  <w:color w:val="0000EE"/>
                  <w:w w:val="91"/>
                </w:rPr>
                <w:t>Form of Notice of 2016 Plan Performance Share Award Grant for Non-Executive Employees (incorporated by</w:t>
              </w:r>
            </w:hyperlink>
          </w:p>
        </w:tc>
        <w:tc>
          <w:tcPr>
            <w:tcW w:w="2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65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77">
              <w:r>
                <w:rPr>
                  <w:rFonts w:ascii="Arial" w:cs="Arial" w:eastAsia="Arial" w:hAnsi="Arial"/>
                  <w:sz w:val="18"/>
                  <w:szCs w:val="18"/>
                  <w:color w:val="0000EE"/>
                  <w:w w:val="90"/>
                </w:rPr>
                <w:t>reference to Exhibit 10.70 of Matson’s Form 10-K for the year ended December 31, 2016).</w:t>
              </w:r>
            </w:hyperlink>
          </w:p>
        </w:tc>
        <w:tc>
          <w:tcPr>
            <w:tcW w:w="1420" w:type="dxa"/>
            <w:vAlign w:val="bottom"/>
            <w:gridSpan w:val="12"/>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10.65*</w:t>
            </w:r>
          </w:p>
        </w:tc>
        <w:tc>
          <w:tcPr>
            <w:tcW w:w="7960" w:type="dxa"/>
            <w:vAlign w:val="bottom"/>
            <w:gridSpan w:val="18"/>
          </w:tcPr>
          <w:p>
            <w:pPr>
              <w:spacing w:after="0"/>
              <w:rPr>
                <w:rFonts w:ascii="Arial" w:cs="Arial" w:eastAsia="Arial" w:hAnsi="Arial"/>
                <w:sz w:val="18"/>
                <w:szCs w:val="18"/>
                <w:color w:val="0000EE"/>
                <w:w w:val="95"/>
              </w:rPr>
            </w:pPr>
            <w:hyperlink r:id="rId178">
              <w:r>
                <w:rPr>
                  <w:rFonts w:ascii="Arial" w:cs="Arial" w:eastAsia="Arial" w:hAnsi="Arial"/>
                  <w:sz w:val="18"/>
                  <w:szCs w:val="18"/>
                  <w:color w:val="0000EE"/>
                  <w:w w:val="95"/>
                </w:rPr>
                <w:t>Form of Notice of 2016 Plan Performance Share Award Grant for Executive Employees (incorporated by</w:t>
              </w:r>
            </w:hyperlink>
          </w:p>
        </w:tc>
      </w:tr>
      <w:tr>
        <w:trPr>
          <w:trHeight w:val="196"/>
        </w:trPr>
        <w:tc>
          <w:tcPr>
            <w:tcW w:w="1100" w:type="dxa"/>
            <w:vAlign w:val="bottom"/>
          </w:tcPr>
          <w:p>
            <w:pPr>
              <w:spacing w:after="0"/>
              <w:rPr>
                <w:sz w:val="17"/>
                <w:szCs w:val="17"/>
                <w:color w:val="auto"/>
              </w:rPr>
            </w:pPr>
          </w:p>
        </w:tc>
        <w:tc>
          <w:tcPr>
            <w:tcW w:w="65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reference to Exhibit 10.71 of Matson’s Form 10-K for the year ended December 31, 2016).</w:t>
              </w:r>
            </w:hyperlink>
          </w:p>
        </w:tc>
        <w:tc>
          <w:tcPr>
            <w:tcW w:w="1020" w:type="dxa"/>
            <w:vAlign w:val="bottom"/>
            <w:tcBorders>
              <w:top w:val="single" w:sz="8" w:color="0000EE"/>
            </w:tcBorders>
            <w:gridSpan w:val="4"/>
          </w:tcPr>
          <w:p>
            <w:pPr>
              <w:spacing w:after="0"/>
              <w:rPr>
                <w:sz w:val="17"/>
                <w:szCs w:val="17"/>
                <w:color w:val="auto"/>
              </w:rPr>
            </w:pPr>
          </w:p>
        </w:tc>
        <w:tc>
          <w:tcPr>
            <w:tcW w:w="400" w:type="dxa"/>
            <w:vAlign w:val="bottom"/>
            <w:gridSpan w:val="8"/>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10.66*</w:t>
            </w:r>
          </w:p>
        </w:tc>
        <w:tc>
          <w:tcPr>
            <w:tcW w:w="7960" w:type="dxa"/>
            <w:vAlign w:val="bottom"/>
            <w:gridSpan w:val="18"/>
          </w:tcPr>
          <w:p>
            <w:pPr>
              <w:spacing w:after="0"/>
              <w:rPr>
                <w:rFonts w:ascii="Arial" w:cs="Arial" w:eastAsia="Arial" w:hAnsi="Arial"/>
                <w:sz w:val="18"/>
                <w:szCs w:val="18"/>
                <w:color w:val="0000EE"/>
                <w:w w:val="98"/>
              </w:rPr>
            </w:pPr>
            <w:hyperlink r:id="rId179">
              <w:r>
                <w:rPr>
                  <w:rFonts w:ascii="Arial" w:cs="Arial" w:eastAsia="Arial" w:hAnsi="Arial"/>
                  <w:sz w:val="18"/>
                  <w:szCs w:val="18"/>
                  <w:color w:val="0000EE"/>
                  <w:w w:val="98"/>
                </w:rPr>
                <w:t>Form of Notice of 2016 Time-Based Restricted Stock Unit Award Grant for Non-Executive Employees</w:t>
              </w:r>
            </w:hyperlink>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7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(incorporated by reference to Exhibit 10.72 of Matson’s Form 10-K for the year ended December 31, 2016).</w:t>
              </w:r>
            </w:hyperlink>
          </w:p>
        </w:tc>
        <w:tc>
          <w:tcPr>
            <w:tcW w:w="180" w:type="dxa"/>
            <w:vAlign w:val="bottom"/>
            <w:gridSpan w:val="3"/>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10.67*</w:t>
            </w:r>
          </w:p>
        </w:tc>
        <w:tc>
          <w:tcPr>
            <w:tcW w:w="7060" w:type="dxa"/>
            <w:vAlign w:val="bottom"/>
            <w:tcBorders>
              <w:bottom w:val="single" w:sz="8" w:color="0000EE"/>
            </w:tcBorders>
            <w:gridSpan w:val="7"/>
          </w:tcPr>
          <w:p>
            <w:pPr>
              <w:spacing w:after="0"/>
              <w:rPr>
                <w:rFonts w:ascii="Arial" w:cs="Arial" w:eastAsia="Arial" w:hAnsi="Arial"/>
                <w:sz w:val="18"/>
                <w:szCs w:val="18"/>
                <w:color w:val="0000EE"/>
                <w:w w:val="91"/>
              </w:rPr>
            </w:pPr>
            <w:hyperlink r:id="rId180">
              <w:r>
                <w:rPr>
                  <w:rFonts w:ascii="Arial" w:cs="Arial" w:eastAsia="Arial" w:hAnsi="Arial"/>
                  <w:sz w:val="18"/>
                  <w:szCs w:val="18"/>
                  <w:color w:val="0000EE"/>
                  <w:w w:val="91"/>
                </w:rPr>
                <w:t>Form of Notice of 2016 Time-Based Restricted Stock Unit Award Grant for Executive Employees</w:t>
              </w:r>
            </w:hyperlink>
          </w:p>
        </w:tc>
        <w:tc>
          <w:tcPr>
            <w:tcW w:w="900" w:type="dxa"/>
            <w:vAlign w:val="bottom"/>
            <w:gridSpan w:val="11"/>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7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(incorporated by reference to Exhibit 10.73 of Matson’s Form 10-K for the year ended December 31, 2016).</w:t>
              </w:r>
            </w:hyperlink>
          </w:p>
        </w:tc>
        <w:tc>
          <w:tcPr>
            <w:tcW w:w="180" w:type="dxa"/>
            <w:vAlign w:val="bottom"/>
            <w:gridSpan w:val="3"/>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10.68*</w:t>
            </w:r>
          </w:p>
        </w:tc>
        <w:tc>
          <w:tcPr>
            <w:tcW w:w="7120" w:type="dxa"/>
            <w:vAlign w:val="bottom"/>
            <w:tcBorders>
              <w:bottom w:val="single" w:sz="8" w:color="0000EE"/>
            </w:tcBorders>
            <w:gridSpan w:val="8"/>
          </w:tcPr>
          <w:p>
            <w:pPr>
              <w:spacing w:after="0"/>
              <w:rPr>
                <w:rFonts w:ascii="Arial" w:cs="Arial" w:eastAsia="Arial" w:hAnsi="Arial"/>
                <w:sz w:val="18"/>
                <w:szCs w:val="18"/>
                <w:color w:val="0000EE"/>
                <w:w w:val="91"/>
              </w:rPr>
            </w:pPr>
            <w:hyperlink r:id="rId181">
              <w:r>
                <w:rPr>
                  <w:rFonts w:ascii="Arial" w:cs="Arial" w:eastAsia="Arial" w:hAnsi="Arial"/>
                  <w:sz w:val="18"/>
                  <w:szCs w:val="18"/>
                  <w:color w:val="0000EE"/>
                  <w:w w:val="91"/>
                </w:rPr>
                <w:t>Addendum to Award Agreements for Outstanding Equity Awards, effective as of October 25, 2017</w:t>
              </w:r>
            </w:hyperlink>
          </w:p>
        </w:tc>
        <w:tc>
          <w:tcPr>
            <w:tcW w:w="840" w:type="dxa"/>
            <w:vAlign w:val="bottom"/>
            <w:gridSpan w:val="10"/>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7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(incorporated by reference to Exhibit 10.68 of Matson’s Form 10-K for the year ended December 31, 2017)</w:t>
              </w:r>
            </w:hyperlink>
          </w:p>
        </w:tc>
        <w:tc>
          <w:tcPr>
            <w:tcW w:w="220" w:type="dxa"/>
            <w:vAlign w:val="bottom"/>
            <w:gridSpan w:val="4"/>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21**</w:t>
            </w:r>
          </w:p>
        </w:tc>
        <w:tc>
          <w:tcPr>
            <w:tcW w:w="36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Matson, Inc. Subsidiaries as of February 15, 2019.</w:t>
              </w:r>
            </w:hyperlink>
          </w:p>
        </w:tc>
        <w:tc>
          <w:tcPr>
            <w:tcW w:w="4320" w:type="dxa"/>
            <w:vAlign w:val="bottom"/>
            <w:gridSpan w:val="16"/>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23**</w:t>
            </w:r>
          </w:p>
        </w:tc>
        <w:tc>
          <w:tcPr>
            <w:tcW w:w="41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07">
              <w:r>
                <w:rPr>
                  <w:rFonts w:ascii="Arial" w:cs="Arial" w:eastAsia="Arial" w:hAnsi="Arial"/>
                  <w:sz w:val="18"/>
                  <w:szCs w:val="18"/>
                  <w:color w:val="0000EE"/>
                  <w:w w:val="91"/>
                </w:rPr>
                <w:t>Consent of Deloitte &amp; Touche, LLP dated March 4, 2019.</w:t>
              </w:r>
            </w:hyperlink>
          </w:p>
        </w:tc>
        <w:tc>
          <w:tcPr>
            <w:tcW w:w="3800" w:type="dxa"/>
            <w:vAlign w:val="bottom"/>
            <w:gridSpan w:val="15"/>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7960" w:type="dxa"/>
            <w:vAlign w:val="bottom"/>
            <w:gridSpan w:val="18"/>
          </w:tcPr>
          <w:p>
            <w:pPr>
              <w:spacing w:after="0"/>
              <w:rPr>
                <w:rFonts w:ascii="Arial" w:cs="Arial" w:eastAsia="Arial" w:hAnsi="Arial"/>
                <w:sz w:val="18"/>
                <w:szCs w:val="18"/>
                <w:color w:val="0000EE"/>
                <w:w w:val="94"/>
              </w:rPr>
            </w:pPr>
            <w:hyperlink w:anchor="page108">
              <w:r>
                <w:rPr>
                  <w:rFonts w:ascii="Arial" w:cs="Arial" w:eastAsia="Arial" w:hAnsi="Arial"/>
                  <w:sz w:val="18"/>
                  <w:szCs w:val="18"/>
                  <w:color w:val="0000EE"/>
                  <w:w w:val="94"/>
                </w:rPr>
                <w:t>Certification of Chief Executive Officer, as Adopted Pursuant to Section 302 of the Sarbanes-Oxley Act of</w:t>
              </w:r>
            </w:hyperlink>
          </w:p>
        </w:tc>
      </w:tr>
      <w:tr>
        <w:trPr>
          <w:trHeight w:val="196"/>
        </w:trPr>
        <w:tc>
          <w:tcPr>
            <w:tcW w:w="11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08">
              <w:r>
                <w:rPr>
                  <w:rFonts w:ascii="Arial" w:cs="Arial" w:eastAsia="Arial" w:hAnsi="Arial"/>
                  <w:sz w:val="18"/>
                  <w:szCs w:val="18"/>
                  <w:color w:val="0000EE"/>
                  <w:w w:val="84"/>
                </w:rPr>
                <w:t>2002.</w:t>
              </w:r>
            </w:hyperlink>
          </w:p>
        </w:tc>
        <w:tc>
          <w:tcPr>
            <w:tcW w:w="32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7960" w:type="dxa"/>
            <w:vAlign w:val="bottom"/>
            <w:gridSpan w:val="18"/>
          </w:tcPr>
          <w:p>
            <w:pPr>
              <w:spacing w:after="0"/>
              <w:rPr>
                <w:rFonts w:ascii="Arial" w:cs="Arial" w:eastAsia="Arial" w:hAnsi="Arial"/>
                <w:sz w:val="18"/>
                <w:szCs w:val="18"/>
                <w:color w:val="0000EE"/>
                <w:w w:val="95"/>
              </w:rPr>
            </w:pPr>
            <w:hyperlink w:anchor="page109">
              <w:r>
                <w:rPr>
                  <w:rFonts w:ascii="Arial" w:cs="Arial" w:eastAsia="Arial" w:hAnsi="Arial"/>
                  <w:sz w:val="18"/>
                  <w:szCs w:val="18"/>
                  <w:color w:val="0000EE"/>
                  <w:w w:val="95"/>
                </w:rPr>
                <w:t>Certification of Chief Financial Officer, as Adopted Pursuant to Section 302 of the Sarbanes-Oxley Act of</w:t>
              </w:r>
            </w:hyperlink>
          </w:p>
        </w:tc>
      </w:tr>
      <w:tr>
        <w:trPr>
          <w:trHeight w:val="196"/>
        </w:trPr>
        <w:tc>
          <w:tcPr>
            <w:tcW w:w="11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09">
              <w:r>
                <w:rPr>
                  <w:rFonts w:ascii="Arial" w:cs="Arial" w:eastAsia="Arial" w:hAnsi="Arial"/>
                  <w:sz w:val="18"/>
                  <w:szCs w:val="18"/>
                  <w:color w:val="0000EE"/>
                  <w:w w:val="84"/>
                </w:rPr>
                <w:t>2002.</w:t>
              </w:r>
            </w:hyperlink>
          </w:p>
        </w:tc>
        <w:tc>
          <w:tcPr>
            <w:tcW w:w="32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32***</w:t>
            </w:r>
          </w:p>
        </w:tc>
        <w:tc>
          <w:tcPr>
            <w:tcW w:w="7960" w:type="dxa"/>
            <w:vAlign w:val="bottom"/>
            <w:gridSpan w:val="18"/>
          </w:tcPr>
          <w:p>
            <w:pPr>
              <w:spacing w:after="0"/>
              <w:rPr>
                <w:rFonts w:ascii="Arial" w:cs="Arial" w:eastAsia="Arial" w:hAnsi="Arial"/>
                <w:sz w:val="18"/>
                <w:szCs w:val="18"/>
                <w:color w:val="0000EE"/>
                <w:w w:val="94"/>
              </w:rPr>
            </w:pPr>
            <w:hyperlink w:anchor="page110">
              <w:r>
                <w:rPr>
                  <w:rFonts w:ascii="Arial" w:cs="Arial" w:eastAsia="Arial" w:hAnsi="Arial"/>
                  <w:sz w:val="18"/>
                  <w:szCs w:val="18"/>
                  <w:color w:val="0000EE"/>
                  <w:w w:val="94"/>
                </w:rPr>
                <w:t>Certification of Chief Executive Officer and Chief Financial Officer Pursuant to 18 U.S.C. Section 1350, as</w:t>
              </w:r>
            </w:hyperlink>
          </w:p>
        </w:tc>
      </w:tr>
      <w:tr>
        <w:trPr>
          <w:trHeight w:val="196"/>
        </w:trPr>
        <w:tc>
          <w:tcPr>
            <w:tcW w:w="1100" w:type="dxa"/>
            <w:vAlign w:val="bottom"/>
          </w:tcPr>
          <w:p>
            <w:pPr>
              <w:spacing w:after="0"/>
              <w:rPr>
                <w:sz w:val="17"/>
                <w:szCs w:val="17"/>
                <w:color w:val="auto"/>
              </w:rPr>
            </w:pPr>
          </w:p>
        </w:tc>
        <w:tc>
          <w:tcPr>
            <w:tcW w:w="77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Adopted Pursuant to Section 906 of the Sarbanes-Oxley Act of 2002.</w:t>
              </w:r>
            </w:hyperlink>
          </w:p>
        </w:tc>
        <w:tc>
          <w:tcPr>
            <w:tcW w:w="220" w:type="dxa"/>
            <w:vAlign w:val="bottom"/>
            <w:gridSpan w:val="4"/>
          </w:tcPr>
          <w:p>
            <w:pPr>
              <w:spacing w:after="0"/>
              <w:rPr>
                <w:sz w:val="17"/>
                <w:szCs w:val="17"/>
                <w:color w:val="auto"/>
              </w:rPr>
            </w:pPr>
          </w:p>
        </w:tc>
      </w:tr>
      <w:tr>
        <w:trPr>
          <w:trHeight w:val="452"/>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4980" w:type="dxa"/>
            <w:vAlign w:val="bottom"/>
            <w:tcBorders>
              <w:top w:val="single" w:sz="8" w:color="0000EE"/>
            </w:tcBorders>
            <w:gridSpan w:val="4"/>
          </w:tcPr>
          <w:p>
            <w:pPr>
              <w:ind w:left="260"/>
              <w:spacing w:after="0"/>
              <w:rPr>
                <w:sz w:val="20"/>
                <w:szCs w:val="20"/>
                <w:color w:val="auto"/>
              </w:rPr>
            </w:pPr>
            <w:r>
              <w:rPr>
                <w:rFonts w:ascii="Arial" w:cs="Arial" w:eastAsia="Arial" w:hAnsi="Arial"/>
                <w:sz w:val="18"/>
                <w:szCs w:val="18"/>
                <w:color w:val="auto"/>
              </w:rPr>
              <w:t>XBRL Instance Document</w:t>
            </w:r>
          </w:p>
        </w:tc>
        <w:tc>
          <w:tcPr>
            <w:tcW w:w="2980" w:type="dxa"/>
            <w:vAlign w:val="bottom"/>
            <w:gridSpan w:val="14"/>
          </w:tcPr>
          <w:p>
            <w:pPr>
              <w:spacing w:after="0"/>
              <w:rPr>
                <w:sz w:val="24"/>
                <w:szCs w:val="24"/>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7960" w:type="dxa"/>
            <w:vAlign w:val="bottom"/>
            <w:gridSpan w:val="18"/>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7960" w:type="dxa"/>
            <w:vAlign w:val="bottom"/>
            <w:gridSpan w:val="18"/>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7960" w:type="dxa"/>
            <w:vAlign w:val="bottom"/>
            <w:gridSpan w:val="18"/>
          </w:tcPr>
          <w:p>
            <w:pPr>
              <w:ind w:left="26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7960" w:type="dxa"/>
            <w:vAlign w:val="bottom"/>
            <w:gridSpan w:val="18"/>
          </w:tcPr>
          <w:p>
            <w:pPr>
              <w:ind w:left="26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7960" w:type="dxa"/>
            <w:vAlign w:val="bottom"/>
            <w:gridSpan w:val="18"/>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8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ind w:left="640" w:hanging="637"/>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MATSON, INC.</w:t>
            </w:r>
          </w:p>
        </w:tc>
      </w:tr>
      <w:tr>
        <w:trPr>
          <w:trHeight w:val="224"/>
        </w:trPr>
        <w:tc>
          <w:tcPr>
            <w:tcW w:w="4540" w:type="dxa"/>
            <w:vAlign w:val="bottom"/>
          </w:tcPr>
          <w:p>
            <w:pPr>
              <w:spacing w:after="0"/>
              <w:rPr>
                <w:sz w:val="19"/>
                <w:szCs w:val="19"/>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418"/>
        </w:trPr>
        <w:tc>
          <w:tcPr>
            <w:tcW w:w="4540" w:type="dxa"/>
            <w:vAlign w:val="bottom"/>
          </w:tcPr>
          <w:p>
            <w:pPr>
              <w:spacing w:after="0"/>
              <w:rPr>
                <w:sz w:val="20"/>
                <w:szCs w:val="20"/>
                <w:color w:val="auto"/>
              </w:rPr>
            </w:pPr>
            <w:r>
              <w:rPr>
                <w:rFonts w:ascii="Arial" w:cs="Arial" w:eastAsia="Arial" w:hAnsi="Arial"/>
                <w:sz w:val="18"/>
                <w:szCs w:val="18"/>
                <w:color w:val="auto"/>
              </w:rPr>
              <w:t>Date: March 4, 2019</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Matthew J. Cox</w:t>
            </w:r>
          </w:p>
        </w:tc>
      </w:tr>
      <w:tr>
        <w:trPr>
          <w:trHeight w:val="195"/>
        </w:trPr>
        <w:tc>
          <w:tcPr>
            <w:tcW w:w="4540" w:type="dxa"/>
            <w:vAlign w:val="bottom"/>
          </w:tcPr>
          <w:p>
            <w:pPr>
              <w:spacing w:after="0"/>
              <w:rPr>
                <w:sz w:val="16"/>
                <w:szCs w:val="16"/>
                <w:color w:val="auto"/>
              </w:rPr>
            </w:pPr>
          </w:p>
        </w:tc>
        <w:tc>
          <w:tcPr>
            <w:tcW w:w="4520" w:type="dxa"/>
            <w:vAlign w:val="bottom"/>
          </w:tcPr>
          <w:p>
            <w:pPr>
              <w:jc w:val="center"/>
              <w:spacing w:after="0" w:line="195" w:lineRule="exact"/>
              <w:rPr>
                <w:sz w:val="20"/>
                <w:szCs w:val="20"/>
                <w:color w:val="auto"/>
              </w:rPr>
            </w:pPr>
            <w:r>
              <w:rPr>
                <w:rFonts w:ascii="Arial" w:cs="Arial" w:eastAsia="Arial" w:hAnsi="Arial"/>
                <w:sz w:val="18"/>
                <w:szCs w:val="18"/>
                <w:color w:val="auto"/>
                <w:w w:val="91"/>
              </w:rPr>
              <w:t>Matthew J. Cox</w:t>
            </w:r>
          </w:p>
        </w:tc>
      </w:tr>
      <w:tr>
        <w:trPr>
          <w:trHeight w:val="216"/>
        </w:trPr>
        <w:tc>
          <w:tcPr>
            <w:tcW w:w="4540" w:type="dxa"/>
            <w:vAlign w:val="bottom"/>
          </w:tcPr>
          <w:p>
            <w:pPr>
              <w:spacing w:after="0"/>
              <w:rPr>
                <w:sz w:val="18"/>
                <w:szCs w:val="18"/>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0"/>
              </w:rPr>
              <w:t>Chairman and</w:t>
            </w:r>
          </w:p>
        </w:tc>
      </w:tr>
      <w:tr>
        <w:trPr>
          <w:trHeight w:val="230"/>
        </w:trPr>
        <w:tc>
          <w:tcPr>
            <w:tcW w:w="454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14"/>
                <w:szCs w:val="14"/>
                <w:color w:val="auto"/>
              </w:rPr>
            </w:pPr>
          </w:p>
        </w:tc>
        <w:tc>
          <w:tcPr>
            <w:tcW w:w="462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6"/>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Cox</w:t>
            </w:r>
          </w:p>
        </w:tc>
        <w:tc>
          <w:tcPr>
            <w:tcW w:w="1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4, 2019</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Matthew J. Cox</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Blake Baird</w:t>
            </w:r>
          </w:p>
        </w:tc>
        <w:tc>
          <w:tcPr>
            <w:tcW w:w="1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4, 2019</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W. Blake Baird</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Chun</w:t>
            </w:r>
          </w:p>
        </w:tc>
        <w:tc>
          <w:tcPr>
            <w:tcW w:w="1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4, 2019</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Michael J. Chun</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 Fargo</w:t>
            </w:r>
          </w:p>
        </w:tc>
        <w:tc>
          <w:tcPr>
            <w:tcW w:w="1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4, 2019</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Thomas B. Fargo</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 Fukunaga</w:t>
            </w:r>
          </w:p>
        </w:tc>
        <w:tc>
          <w:tcPr>
            <w:tcW w:w="1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4, 2019</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Mark H. Fukunaga</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Stanley M. Kuriyama</w:t>
            </w:r>
          </w:p>
        </w:tc>
        <w:tc>
          <w:tcPr>
            <w:tcW w:w="1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4, 2019</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Stanley M. Kuriyama</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Constance H. Lau</w:t>
            </w:r>
          </w:p>
        </w:tc>
        <w:tc>
          <w:tcPr>
            <w:tcW w:w="1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4, 2019</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Constance H. Lau</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M. Wine</w:t>
            </w:r>
          </w:p>
        </w:tc>
        <w:tc>
          <w:tcPr>
            <w:tcW w:w="1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4, 2019</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Joel M. Wine</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L. Stuck</w:t>
            </w:r>
          </w:p>
        </w:tc>
        <w:tc>
          <w:tcPr>
            <w:tcW w:w="1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Vice President and Controller (principal accounting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4, 2019</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Kevin L. Stuck</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Pr>
          <w:p>
            <w:pPr>
              <w:spacing w:after="0"/>
              <w:rPr>
                <w:sz w:val="24"/>
                <w:szCs w:val="24"/>
                <w:color w:val="auto"/>
              </w:rPr>
            </w:pPr>
          </w:p>
        </w:tc>
        <w:tc>
          <w:tcPr>
            <w:tcW w:w="4800" w:type="dxa"/>
            <w:vAlign w:val="bottom"/>
            <w:gridSpan w:val="2"/>
          </w:tcPr>
          <w:p>
            <w:pPr>
              <w:jc w:val="right"/>
              <w:ind w:right="22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864"/>
        </w:trPr>
        <w:tc>
          <w:tcPr>
            <w:tcW w:w="2280" w:type="dxa"/>
            <w:vAlign w:val="bottom"/>
          </w:tcPr>
          <w:p>
            <w:pPr>
              <w:spacing w:after="0"/>
              <w:rPr>
                <w:sz w:val="24"/>
                <w:szCs w:val="24"/>
                <w:color w:val="auto"/>
              </w:rPr>
            </w:pPr>
          </w:p>
        </w:tc>
        <w:tc>
          <w:tcPr>
            <w:tcW w:w="4800" w:type="dxa"/>
            <w:vAlign w:val="bottom"/>
            <w:gridSpan w:val="2"/>
          </w:tcPr>
          <w:p>
            <w:pPr>
              <w:jc w:val="right"/>
              <w:ind w:right="2372"/>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777"/>
        </w:trPr>
        <w:tc>
          <w:tcPr>
            <w:tcW w:w="2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b w:val="1"/>
          <w:bCs w:val="1"/>
          <w:color w:val="auto"/>
        </w:rPr>
        <w:t>Exhibit 10.33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SURVIVOR/RETIREMENT BENEFIT PLAN</w:t>
      </w:r>
    </w:p>
    <w:p>
      <w:pPr>
        <w:jc w:val="center"/>
        <w:spacing w:after="0"/>
        <w:rPr>
          <w:sz w:val="20"/>
          <w:szCs w:val="20"/>
          <w:color w:val="auto"/>
        </w:rPr>
      </w:pPr>
      <w:r>
        <w:rPr>
          <w:rFonts w:ascii="Arial" w:cs="Arial" w:eastAsia="Arial" w:hAnsi="Arial"/>
          <w:sz w:val="22"/>
          <w:szCs w:val="22"/>
          <w:b w:val="1"/>
          <w:bCs w:val="1"/>
          <w:color w:val="auto"/>
        </w:rPr>
        <w:t>Effective June 29, 2012</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ESTABLISHMENT AND PURPOSE</w:t>
      </w:r>
    </w:p>
    <w:p>
      <w:pPr>
        <w:spacing w:after="0" w:line="233" w:lineRule="exact"/>
        <w:rPr>
          <w:sz w:val="20"/>
          <w:szCs w:val="20"/>
          <w:color w:val="auto"/>
        </w:rPr>
      </w:pPr>
    </w:p>
    <w:p>
      <w:pPr>
        <w:jc w:val="both"/>
        <w:ind w:left="800" w:hanging="809"/>
        <w:spacing w:after="0" w:line="274" w:lineRule="auto"/>
        <w:tabs>
          <w:tab w:leader="none" w:pos="78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b w:val="1"/>
          <w:bCs w:val="1"/>
          <w:u w:val="single" w:color="auto"/>
          <w:color w:val="auto"/>
        </w:rPr>
        <w:t>Establishment of Plan</w:t>
      </w:r>
      <w:r>
        <w:rPr>
          <w:rFonts w:ascii="Arial" w:cs="Arial" w:eastAsia="Arial" w:hAnsi="Arial"/>
          <w:sz w:val="19"/>
          <w:szCs w:val="19"/>
          <w:color w:val="auto"/>
        </w:rPr>
        <w:t>. Pursuant to a corporate reorganization, Alexander &amp; Baldwin, Inc., a Hawaii</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corporation incorporated in 1900, became a wholly-owned subsidiary of Alexander &amp; Baldwin Holdings, Inc. ("Holdings") and Holdings assumed all the liabilities under the A&amp;B Executive Survivor/Retirement Benefit Plan. Holdings then effected a spin-off distribution of A &amp; B II, Inc., renamed Alexander &amp; Baldwin, Inc. ("New A&amp;B") by distributing all of Holdings' outstanding common stock in New A&amp;B to Holdings shareholders (the "Distribution"). At that time, Holdings was renamed Matson, Inc. ("Matson") and New A&amp;B assumed that portion of the liabilities under the Plan attributable to New A&amp;B Participants (as defined in the Employee Matters Agreement by and between Matson and A&amp;B dated as of June 8, 2012). As plan sponsor, Holdings adopted the amended, renamed and restated Matson, Inc. Executive Survivor/Retirement Benefit Plan (the "Plan") effective as of the date of the Distribution.</w:t>
      </w:r>
    </w:p>
    <w:p>
      <w:pPr>
        <w:spacing w:after="0" w:line="180" w:lineRule="exact"/>
        <w:rPr>
          <w:sz w:val="20"/>
          <w:szCs w:val="20"/>
          <w:color w:val="auto"/>
        </w:rPr>
      </w:pPr>
    </w:p>
    <w:p>
      <w:pPr>
        <w:jc w:val="both"/>
        <w:ind w:left="780" w:hanging="771"/>
        <w:spacing w:after="0" w:line="236" w:lineRule="auto"/>
        <w:tabs>
          <w:tab w:leader="none" w:pos="76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2"/>
          <w:szCs w:val="22"/>
          <w:b w:val="1"/>
          <w:bCs w:val="1"/>
          <w:u w:val="single" w:color="auto"/>
          <w:color w:val="auto"/>
        </w:rPr>
        <w:t>Purpose of Plan</w:t>
      </w:r>
      <w:r>
        <w:rPr>
          <w:rFonts w:ascii="Arial" w:cs="Arial" w:eastAsia="Arial" w:hAnsi="Arial"/>
          <w:sz w:val="22"/>
          <w:szCs w:val="22"/>
          <w:color w:val="auto"/>
        </w:rPr>
        <w:t>. It is the purpose of the Plan to provide supplemental pre-retirement death benefits,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supplemental retirement benefits, and an optional supplemental post retirement death benefit for certain designated executives of the Employer. The Plan is intended to be exempt from the participation, vesting, funding and fiduciary requirements of Title I of the Employee Retirement Income Security Act of 1974 because it provides unfunded benefits for a select group of management and highly compensated employees.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33" w:lineRule="exact"/>
        <w:rPr>
          <w:sz w:val="20"/>
          <w:szCs w:val="20"/>
          <w:color w:val="auto"/>
        </w:rPr>
      </w:pPr>
    </w:p>
    <w:p>
      <w:pPr>
        <w:jc w:val="both"/>
        <w:ind w:left="800" w:hanging="809"/>
        <w:spacing w:after="0" w:line="254" w:lineRule="auto"/>
        <w:tabs>
          <w:tab w:leader="none" w:pos="780" w:val="left"/>
        </w:tabs>
        <w:rPr>
          <w:sz w:val="20"/>
          <w:szCs w:val="20"/>
          <w:color w:val="auto"/>
        </w:rPr>
      </w:pPr>
      <w:r>
        <w:rPr>
          <w:rFonts w:ascii="Arial" w:cs="Arial" w:eastAsia="Arial" w:hAnsi="Arial"/>
          <w:sz w:val="21"/>
          <w:szCs w:val="21"/>
          <w:color w:val="auto"/>
        </w:rPr>
        <w:t>2.01</w:t>
      </w:r>
      <w:r>
        <w:rPr>
          <w:sz w:val="20"/>
          <w:szCs w:val="20"/>
          <w:color w:val="auto"/>
        </w:rPr>
        <w:tab/>
      </w:r>
      <w:r>
        <w:rPr>
          <w:rFonts w:ascii="Arial" w:cs="Arial" w:eastAsia="Arial" w:hAnsi="Arial"/>
          <w:sz w:val="21"/>
          <w:szCs w:val="21"/>
          <w:b w:val="1"/>
          <w:bCs w:val="1"/>
          <w:color w:val="auto"/>
        </w:rPr>
        <w:t xml:space="preserve">"Actuarial Equivalent" </w:t>
      </w:r>
      <w:r>
        <w:rPr>
          <w:rFonts w:ascii="Arial" w:cs="Arial" w:eastAsia="Arial" w:hAnsi="Arial"/>
          <w:sz w:val="21"/>
          <w:szCs w:val="21"/>
          <w:color w:val="auto"/>
        </w:rPr>
        <w:t>means a form of benefit differing in time, period, or manner of payment from a</w:t>
      </w:r>
      <w:r>
        <w:rPr>
          <w:rFonts w:ascii="Arial" w:cs="Arial" w:eastAsia="Arial" w:hAnsi="Arial"/>
          <w:sz w:val="21"/>
          <w:szCs w:val="21"/>
          <w:b w:val="1"/>
          <w:bCs w:val="1"/>
          <w:color w:val="auto"/>
        </w:rPr>
        <w:t xml:space="preserve"> </w:t>
      </w:r>
      <w:r>
        <w:rPr>
          <w:rFonts w:ascii="Arial" w:cs="Arial" w:eastAsia="Arial" w:hAnsi="Arial"/>
          <w:sz w:val="21"/>
          <w:szCs w:val="21"/>
          <w:color w:val="auto"/>
        </w:rPr>
        <w:t>specified benefit provided in the Plan, but having the same present value when determined in accordance with generally accepted actuarial practices, as more particularly specified by the definition of the term "Equivalent Actuarial Value" in the Retirement Plan for Employees of Matson.</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color w:val="auto"/>
        </w:rPr>
        <w:t>2.02</w:t>
      </w:r>
      <w:r>
        <w:rPr>
          <w:sz w:val="20"/>
          <w:szCs w:val="20"/>
          <w:color w:val="auto"/>
        </w:rPr>
        <w:tab/>
      </w:r>
      <w:r>
        <w:rPr>
          <w:rFonts w:ascii="Arial" w:cs="Arial" w:eastAsia="Arial" w:hAnsi="Arial"/>
          <w:sz w:val="19"/>
          <w:szCs w:val="19"/>
          <w:b w:val="1"/>
          <w:bCs w:val="1"/>
          <w:color w:val="auto"/>
        </w:rPr>
        <w:t xml:space="preserve">"Approved Early Retirement Date" </w:t>
      </w:r>
      <w:r>
        <w:rPr>
          <w:rFonts w:ascii="Arial" w:cs="Arial" w:eastAsia="Arial" w:hAnsi="Arial"/>
          <w:sz w:val="19"/>
          <w:szCs w:val="19"/>
          <w:color w:val="auto"/>
        </w:rPr>
        <w:t>means a date which meets each of the following requirements:</w:t>
      </w:r>
    </w:p>
    <w:p>
      <w:pPr>
        <w:spacing w:after="0" w:line="251" w:lineRule="exact"/>
        <w:rPr>
          <w:sz w:val="20"/>
          <w:szCs w:val="20"/>
          <w:color w:val="auto"/>
        </w:rPr>
      </w:pPr>
    </w:p>
    <w:p>
      <w:pPr>
        <w:ind w:left="1320" w:hanging="510"/>
        <w:spacing w:after="0"/>
        <w:tabs>
          <w:tab w:leader="none" w:pos="132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Participant has attained age 55,</w:t>
      </w:r>
    </w:p>
    <w:p>
      <w:pPr>
        <w:spacing w:after="0" w:line="233" w:lineRule="exact"/>
        <w:rPr>
          <w:rFonts w:ascii="Arial" w:cs="Arial" w:eastAsia="Arial" w:hAnsi="Arial"/>
          <w:sz w:val="22"/>
          <w:szCs w:val="22"/>
          <w:color w:val="auto"/>
        </w:rPr>
      </w:pPr>
    </w:p>
    <w:p>
      <w:pPr>
        <w:ind w:left="1320" w:hanging="510"/>
        <w:spacing w:after="0"/>
        <w:tabs>
          <w:tab w:leader="none" w:pos="132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Participant has at least five Years of Service, and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38873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89" w:name="page90"/>
    <w:bookmarkEnd w:id="89"/>
    <w:p>
      <w:pPr>
        <w:ind w:left="1320" w:hanging="510"/>
        <w:spacing w:after="0"/>
        <w:tabs>
          <w:tab w:leader="none" w:pos="13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retirement date has been approved by the Chief Executive Officer of the Employer.</w:t>
      </w:r>
    </w:p>
    <w:p>
      <w:pPr>
        <w:spacing w:after="0" w:line="227" w:lineRule="exact"/>
        <w:rPr>
          <w:sz w:val="20"/>
          <w:szCs w:val="20"/>
          <w:color w:val="auto"/>
        </w:rPr>
      </w:pPr>
    </w:p>
    <w:p>
      <w:pPr>
        <w:jc w:val="both"/>
        <w:ind w:left="800" w:hanging="809"/>
        <w:spacing w:after="0" w:line="243" w:lineRule="auto"/>
        <w:tabs>
          <w:tab w:leader="none" w:pos="780" w:val="left"/>
        </w:tabs>
        <w:rPr>
          <w:sz w:val="20"/>
          <w:szCs w:val="20"/>
          <w:color w:val="auto"/>
        </w:rPr>
      </w:pPr>
      <w:r>
        <w:rPr>
          <w:rFonts w:ascii="Arial" w:cs="Arial" w:eastAsia="Arial" w:hAnsi="Arial"/>
          <w:sz w:val="21"/>
          <w:szCs w:val="21"/>
          <w:color w:val="auto"/>
        </w:rPr>
        <w:t>2.03</w:t>
      </w:r>
      <w:r>
        <w:rPr>
          <w:sz w:val="20"/>
          <w:szCs w:val="20"/>
          <w:color w:val="auto"/>
        </w:rPr>
        <w:tab/>
      </w:r>
      <w:r>
        <w:rPr>
          <w:rFonts w:ascii="Arial" w:cs="Arial" w:eastAsia="Arial" w:hAnsi="Arial"/>
          <w:sz w:val="22"/>
          <w:szCs w:val="22"/>
          <w:b w:val="1"/>
          <w:bCs w:val="1"/>
          <w:color w:val="auto"/>
        </w:rPr>
        <w:t xml:space="preserve">"Base Compensation" </w:t>
      </w:r>
      <w:r>
        <w:rPr>
          <w:rFonts w:ascii="Arial" w:cs="Arial" w:eastAsia="Arial" w:hAnsi="Arial"/>
          <w:sz w:val="22"/>
          <w:szCs w:val="22"/>
          <w:color w:val="auto"/>
        </w:rPr>
        <w:t>means base salary, including amounts deferred under any deferral plan or</w:t>
      </w:r>
      <w:r>
        <w:rPr>
          <w:rFonts w:ascii="Arial" w:cs="Arial" w:eastAsia="Arial" w:hAnsi="Arial"/>
          <w:sz w:val="22"/>
          <w:szCs w:val="22"/>
          <w:b w:val="1"/>
          <w:bCs w:val="1"/>
          <w:color w:val="auto"/>
        </w:rPr>
        <w:t xml:space="preserve"> </w:t>
      </w:r>
      <w:r>
        <w:rPr>
          <w:rFonts w:ascii="Arial" w:cs="Arial" w:eastAsia="Arial" w:hAnsi="Arial"/>
          <w:sz w:val="22"/>
          <w:szCs w:val="22"/>
          <w:color w:val="auto"/>
        </w:rPr>
        <w:t>arrangement with the Employer, but excluding incentive compensation and all other plans or forms of remuneration.</w:t>
      </w:r>
    </w:p>
    <w:p>
      <w:pPr>
        <w:spacing w:after="0" w:line="204"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color w:val="auto"/>
        </w:rPr>
        <w:t>2.04</w:t>
      </w:r>
      <w:r>
        <w:rPr>
          <w:sz w:val="20"/>
          <w:szCs w:val="20"/>
          <w:color w:val="auto"/>
        </w:rPr>
        <w:tab/>
      </w:r>
      <w:r>
        <w:rPr>
          <w:rFonts w:ascii="Arial" w:cs="Arial" w:eastAsia="Arial" w:hAnsi="Arial"/>
          <w:sz w:val="19"/>
          <w:szCs w:val="19"/>
          <w:b w:val="1"/>
          <w:bCs w:val="1"/>
          <w:color w:val="auto"/>
        </w:rPr>
        <w:t xml:space="preserve">"Beneficiary" </w:t>
      </w:r>
      <w:r>
        <w:rPr>
          <w:rFonts w:ascii="Arial" w:cs="Arial" w:eastAsia="Arial" w:hAnsi="Arial"/>
          <w:sz w:val="19"/>
          <w:szCs w:val="19"/>
          <w:color w:val="auto"/>
        </w:rPr>
        <w:t>means the person, persons or entity designated pursuant to Section 4.11.</w:t>
      </w:r>
    </w:p>
    <w:p>
      <w:pPr>
        <w:spacing w:after="0" w:line="245"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color w:val="auto"/>
        </w:rPr>
        <w:t>2.05</w:t>
      </w:r>
      <w:r>
        <w:rPr>
          <w:sz w:val="20"/>
          <w:szCs w:val="20"/>
          <w:color w:val="auto"/>
        </w:rPr>
        <w:tab/>
      </w:r>
      <w:r>
        <w:rPr>
          <w:rFonts w:ascii="Arial" w:cs="Arial" w:eastAsia="Arial" w:hAnsi="Arial"/>
          <w:sz w:val="19"/>
          <w:szCs w:val="19"/>
          <w:b w:val="1"/>
          <w:bCs w:val="1"/>
          <w:color w:val="auto"/>
        </w:rPr>
        <w:t xml:space="preserve">"Board" </w:t>
      </w:r>
      <w:r>
        <w:rPr>
          <w:rFonts w:ascii="Arial" w:cs="Arial" w:eastAsia="Arial" w:hAnsi="Arial"/>
          <w:sz w:val="19"/>
          <w:szCs w:val="19"/>
          <w:color w:val="auto"/>
        </w:rPr>
        <w:t>means the Board of Directors of Matson.</w:t>
      </w:r>
    </w:p>
    <w:p>
      <w:pPr>
        <w:spacing w:after="0" w:line="245" w:lineRule="exact"/>
        <w:rPr>
          <w:sz w:val="20"/>
          <w:szCs w:val="20"/>
          <w:color w:val="auto"/>
        </w:rPr>
      </w:pPr>
    </w:p>
    <w:p>
      <w:pPr>
        <w:jc w:val="both"/>
        <w:ind w:left="820" w:hanging="822"/>
        <w:spacing w:after="0" w:line="256" w:lineRule="auto"/>
        <w:tabs>
          <w:tab w:leader="none" w:pos="800" w:val="left"/>
        </w:tabs>
        <w:rPr>
          <w:sz w:val="20"/>
          <w:szCs w:val="20"/>
          <w:color w:val="auto"/>
        </w:rPr>
      </w:pPr>
      <w:r>
        <w:rPr>
          <w:rFonts w:ascii="Arial" w:cs="Arial" w:eastAsia="Arial" w:hAnsi="Arial"/>
          <w:sz w:val="21"/>
          <w:szCs w:val="21"/>
          <w:color w:val="auto"/>
        </w:rPr>
        <w:t>2.06</w:t>
      </w:r>
      <w:r>
        <w:rPr>
          <w:sz w:val="20"/>
          <w:szCs w:val="20"/>
          <w:color w:val="auto"/>
        </w:rPr>
        <w:tab/>
      </w: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shall mean a change of ownership or control of Matson effected through 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transactions:</w:t>
      </w:r>
    </w:p>
    <w:p>
      <w:pPr>
        <w:spacing w:after="0" w:line="196" w:lineRule="exact"/>
        <w:rPr>
          <w:sz w:val="20"/>
          <w:szCs w:val="20"/>
          <w:color w:val="auto"/>
        </w:rPr>
      </w:pPr>
    </w:p>
    <w:p>
      <w:pPr>
        <w:ind w:left="1460" w:hanging="651"/>
        <w:spacing w:after="0"/>
        <w:tabs>
          <w:tab w:leader="none" w:pos="1460" w:val="left"/>
        </w:tabs>
        <w:numPr>
          <w:ilvl w:val="0"/>
          <w:numId w:val="80"/>
        </w:numPr>
        <w:rPr>
          <w:rFonts w:ascii="Arial" w:cs="Arial" w:eastAsia="Arial" w:hAnsi="Arial"/>
          <w:sz w:val="19"/>
          <w:szCs w:val="19"/>
          <w:color w:val="auto"/>
        </w:rPr>
      </w:pPr>
      <w:r>
        <w:rPr>
          <w:rFonts w:ascii="Arial" w:cs="Arial" w:eastAsia="Arial" w:hAnsi="Arial"/>
          <w:sz w:val="19"/>
          <w:szCs w:val="19"/>
          <w:color w:val="auto"/>
        </w:rPr>
        <w:t>A change in effective control of Matson as defined in Treasury Regulation 1.409A - 3(i)(s)(vi); or</w:t>
      </w:r>
    </w:p>
    <w:p>
      <w:pPr>
        <w:spacing w:after="0" w:line="267" w:lineRule="exact"/>
        <w:rPr>
          <w:rFonts w:ascii="Arial" w:cs="Arial" w:eastAsia="Arial" w:hAnsi="Arial"/>
          <w:sz w:val="19"/>
          <w:szCs w:val="19"/>
          <w:color w:val="auto"/>
        </w:rPr>
      </w:pPr>
    </w:p>
    <w:p>
      <w:pPr>
        <w:ind w:left="1480" w:hanging="670"/>
        <w:spacing w:after="0"/>
        <w:tabs>
          <w:tab w:leader="none" w:pos="1480" w:val="left"/>
        </w:tabs>
        <w:numPr>
          <w:ilvl w:val="0"/>
          <w:numId w:val="80"/>
        </w:numPr>
        <w:rPr>
          <w:rFonts w:ascii="Arial" w:cs="Arial" w:eastAsia="Arial" w:hAnsi="Arial"/>
          <w:sz w:val="21"/>
          <w:szCs w:val="21"/>
          <w:color w:val="auto"/>
        </w:rPr>
      </w:pPr>
      <w:r>
        <w:rPr>
          <w:rFonts w:ascii="Arial" w:cs="Arial" w:eastAsia="Arial" w:hAnsi="Arial"/>
          <w:sz w:val="21"/>
          <w:szCs w:val="21"/>
          <w:color w:val="auto"/>
        </w:rPr>
        <w:t>A change in ownership of Matson as defined in Treasury Regulation § 1.409A - 3(i)(5)(v); or</w:t>
      </w:r>
    </w:p>
    <w:p>
      <w:pPr>
        <w:spacing w:after="0" w:line="244" w:lineRule="exact"/>
        <w:rPr>
          <w:rFonts w:ascii="Arial" w:cs="Arial" w:eastAsia="Arial" w:hAnsi="Arial"/>
          <w:sz w:val="21"/>
          <w:szCs w:val="21"/>
          <w:color w:val="auto"/>
        </w:rPr>
      </w:pPr>
    </w:p>
    <w:p>
      <w:pPr>
        <w:ind w:left="1500" w:hanging="690"/>
        <w:spacing w:after="0"/>
        <w:tabs>
          <w:tab w:leader="none" w:pos="15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A change in ownership of a substantial portion of Matson assets as defined in Treasury Regulation</w:t>
      </w:r>
    </w:p>
    <w:p>
      <w:pPr>
        <w:spacing w:after="0" w:line="42" w:lineRule="exact"/>
        <w:rPr>
          <w:rFonts w:ascii="Arial" w:cs="Arial" w:eastAsia="Arial" w:hAnsi="Arial"/>
          <w:sz w:val="19"/>
          <w:szCs w:val="19"/>
          <w:color w:val="auto"/>
        </w:rPr>
      </w:pPr>
    </w:p>
    <w:p>
      <w:pPr>
        <w:ind w:left="1620" w:hanging="162"/>
        <w:spacing w:after="0"/>
        <w:tabs>
          <w:tab w:leader="none" w:pos="1620" w:val="left"/>
        </w:tabs>
        <w:numPr>
          <w:ilvl w:val="1"/>
          <w:numId w:val="80"/>
        </w:numPr>
        <w:rPr>
          <w:rFonts w:ascii="Arial" w:cs="Arial" w:eastAsia="Arial" w:hAnsi="Arial"/>
          <w:sz w:val="22"/>
          <w:szCs w:val="22"/>
          <w:color w:val="auto"/>
        </w:rPr>
      </w:pPr>
      <w:r>
        <w:rPr>
          <w:rFonts w:ascii="Arial" w:cs="Arial" w:eastAsia="Arial" w:hAnsi="Arial"/>
          <w:sz w:val="22"/>
          <w:szCs w:val="22"/>
          <w:color w:val="auto"/>
        </w:rPr>
        <w:t>1.409A - 3(i)(5)(vii).</w:t>
      </w:r>
    </w:p>
    <w:p>
      <w:pPr>
        <w:spacing w:after="0" w:line="209" w:lineRule="exact"/>
        <w:rPr>
          <w:sz w:val="20"/>
          <w:szCs w:val="20"/>
          <w:color w:val="auto"/>
        </w:rPr>
      </w:pPr>
    </w:p>
    <w:p>
      <w:pPr>
        <w:spacing w:after="0"/>
        <w:tabs>
          <w:tab w:leader="none" w:pos="760" w:val="left"/>
        </w:tabs>
        <w:rPr>
          <w:sz w:val="20"/>
          <w:szCs w:val="20"/>
          <w:color w:val="auto"/>
        </w:rPr>
      </w:pPr>
      <w:r>
        <w:rPr>
          <w:rFonts w:ascii="Arial" w:cs="Arial" w:eastAsia="Arial" w:hAnsi="Arial"/>
          <w:sz w:val="21"/>
          <w:szCs w:val="21"/>
          <w:color w:val="auto"/>
        </w:rPr>
        <w:t>2.07</w:t>
      </w:r>
      <w:r>
        <w:rPr>
          <w:sz w:val="20"/>
          <w:szCs w:val="20"/>
          <w:color w:val="auto"/>
        </w:rPr>
        <w:tab/>
      </w:r>
      <w:r>
        <w:rPr>
          <w:rFonts w:ascii="Arial" w:cs="Arial" w:eastAsia="Arial" w:hAnsi="Arial"/>
          <w:sz w:val="19"/>
          <w:szCs w:val="19"/>
          <w:b w:val="1"/>
          <w:bCs w:val="1"/>
          <w:color w:val="auto"/>
        </w:rPr>
        <w:t xml:space="preserve">"Code" </w:t>
      </w:r>
      <w:r>
        <w:rPr>
          <w:rFonts w:ascii="Arial" w:cs="Arial" w:eastAsia="Arial" w:hAnsi="Arial"/>
          <w:sz w:val="19"/>
          <w:szCs w:val="19"/>
          <w:color w:val="auto"/>
        </w:rPr>
        <w:t>means the Internal Revenue Code of 1986, as amended.</w:t>
      </w:r>
    </w:p>
    <w:p>
      <w:pPr>
        <w:spacing w:after="0" w:line="245" w:lineRule="exact"/>
        <w:rPr>
          <w:sz w:val="20"/>
          <w:szCs w:val="20"/>
          <w:color w:val="auto"/>
        </w:rPr>
      </w:pPr>
    </w:p>
    <w:p>
      <w:pPr>
        <w:spacing w:after="0"/>
        <w:tabs>
          <w:tab w:leader="none" w:pos="760" w:val="left"/>
        </w:tabs>
        <w:rPr>
          <w:sz w:val="20"/>
          <w:szCs w:val="20"/>
          <w:color w:val="auto"/>
        </w:rPr>
      </w:pPr>
      <w:r>
        <w:rPr>
          <w:rFonts w:ascii="Arial" w:cs="Arial" w:eastAsia="Arial" w:hAnsi="Arial"/>
          <w:sz w:val="21"/>
          <w:szCs w:val="21"/>
          <w:color w:val="auto"/>
        </w:rPr>
        <w:t>2.08</w:t>
      </w:r>
      <w:r>
        <w:rPr>
          <w:sz w:val="20"/>
          <w:szCs w:val="20"/>
          <w:color w:val="auto"/>
        </w:rPr>
        <w:tab/>
      </w:r>
      <w:r>
        <w:rPr>
          <w:rFonts w:ascii="Arial" w:cs="Arial" w:eastAsia="Arial" w:hAnsi="Arial"/>
          <w:sz w:val="19"/>
          <w:szCs w:val="19"/>
          <w:b w:val="1"/>
          <w:bCs w:val="1"/>
          <w:color w:val="auto"/>
        </w:rPr>
        <w:t xml:space="preserve">"Committee" </w:t>
      </w:r>
      <w:r>
        <w:rPr>
          <w:rFonts w:ascii="Arial" w:cs="Arial" w:eastAsia="Arial" w:hAnsi="Arial"/>
          <w:sz w:val="19"/>
          <w:szCs w:val="19"/>
          <w:color w:val="auto"/>
        </w:rPr>
        <w:t>means the Compensation Committee of the Board.</w:t>
      </w:r>
    </w:p>
    <w:p>
      <w:pPr>
        <w:spacing w:after="0" w:line="245" w:lineRule="exact"/>
        <w:rPr>
          <w:sz w:val="20"/>
          <w:szCs w:val="20"/>
          <w:color w:val="auto"/>
        </w:rPr>
      </w:pPr>
    </w:p>
    <w:p>
      <w:pPr>
        <w:jc w:val="both"/>
        <w:ind w:left="800" w:hanging="809"/>
        <w:spacing w:after="0" w:line="239" w:lineRule="auto"/>
        <w:tabs>
          <w:tab w:leader="none" w:pos="780" w:val="left"/>
        </w:tabs>
        <w:rPr>
          <w:sz w:val="20"/>
          <w:szCs w:val="20"/>
          <w:color w:val="auto"/>
        </w:rPr>
      </w:pPr>
      <w:r>
        <w:rPr>
          <w:rFonts w:ascii="Arial" w:cs="Arial" w:eastAsia="Arial" w:hAnsi="Arial"/>
          <w:sz w:val="21"/>
          <w:szCs w:val="21"/>
          <w:color w:val="auto"/>
        </w:rPr>
        <w:t>2.09</w:t>
      </w:r>
      <w:r>
        <w:rPr>
          <w:sz w:val="20"/>
          <w:szCs w:val="20"/>
          <w:color w:val="auto"/>
        </w:rPr>
        <w:tab/>
      </w:r>
      <w:r>
        <w:rPr>
          <w:rFonts w:ascii="Arial" w:cs="Arial" w:eastAsia="Arial" w:hAnsi="Arial"/>
          <w:sz w:val="22"/>
          <w:szCs w:val="22"/>
          <w:b w:val="1"/>
          <w:bCs w:val="1"/>
          <w:color w:val="auto"/>
        </w:rPr>
        <w:t xml:space="preserve">"Disabled" or "Disability" </w:t>
      </w:r>
      <w:r>
        <w:rPr>
          <w:rFonts w:ascii="Arial" w:cs="Arial" w:eastAsia="Arial" w:hAnsi="Arial"/>
          <w:sz w:val="22"/>
          <w:szCs w:val="22"/>
          <w:color w:val="auto"/>
        </w:rPr>
        <w:t>means a Participant who is unable to perform substantially all of the material</w:t>
      </w:r>
      <w:r>
        <w:rPr>
          <w:rFonts w:ascii="Arial" w:cs="Arial" w:eastAsia="Arial" w:hAnsi="Arial"/>
          <w:sz w:val="22"/>
          <w:szCs w:val="22"/>
          <w:b w:val="1"/>
          <w:bCs w:val="1"/>
          <w:color w:val="auto"/>
        </w:rPr>
        <w:t xml:space="preserve"> </w:t>
      </w:r>
      <w:r>
        <w:rPr>
          <w:rFonts w:ascii="Arial" w:cs="Arial" w:eastAsia="Arial" w:hAnsi="Arial"/>
          <w:sz w:val="22"/>
          <w:szCs w:val="22"/>
          <w:color w:val="auto"/>
        </w:rPr>
        <w:t>and substantial duties of her or his regular position because of accidental bodily injury sustained or disease originating after the date of such person's designation as a Participant under this Plan. Notwithstanding the foregoing:</w:t>
      </w:r>
    </w:p>
    <w:p>
      <w:pPr>
        <w:spacing w:after="0" w:line="214" w:lineRule="exact"/>
        <w:rPr>
          <w:sz w:val="20"/>
          <w:szCs w:val="20"/>
          <w:color w:val="auto"/>
        </w:rPr>
      </w:pPr>
    </w:p>
    <w:p>
      <w:pPr>
        <w:jc w:val="both"/>
        <w:ind w:left="1460" w:hanging="650"/>
        <w:spacing w:after="0" w:line="238" w:lineRule="auto"/>
        <w:tabs>
          <w:tab w:leader="none" w:pos="1533" w:val="left"/>
        </w:tabs>
        <w:numPr>
          <w:ilvl w:val="0"/>
          <w:numId w:val="81"/>
        </w:numPr>
        <w:rPr>
          <w:rFonts w:ascii="Arial" w:cs="Arial" w:eastAsia="Arial" w:hAnsi="Arial"/>
          <w:sz w:val="22"/>
          <w:szCs w:val="22"/>
          <w:color w:val="auto"/>
        </w:rPr>
      </w:pPr>
      <w:r>
        <w:rPr>
          <w:rFonts w:ascii="Arial" w:cs="Arial" w:eastAsia="Arial" w:hAnsi="Arial"/>
          <w:sz w:val="22"/>
          <w:szCs w:val="22"/>
          <w:color w:val="auto"/>
        </w:rPr>
        <w:t>if a Participant has been Disabled for a continuous period of 24 months, the Participant will cease to be considered Disabled unless he or she is unable to perform any occupation for which the Participant is or becomes reasonably qualified by education, training or experience because of such bodily injury or sickness; and</w:t>
      </w:r>
    </w:p>
    <w:p>
      <w:pPr>
        <w:spacing w:after="0" w:line="212" w:lineRule="exact"/>
        <w:rPr>
          <w:rFonts w:ascii="Arial" w:cs="Arial" w:eastAsia="Arial" w:hAnsi="Arial"/>
          <w:sz w:val="22"/>
          <w:szCs w:val="22"/>
          <w:color w:val="auto"/>
        </w:rPr>
      </w:pPr>
    </w:p>
    <w:p>
      <w:pPr>
        <w:ind w:left="1460" w:hanging="650"/>
        <w:spacing w:after="0" w:line="251" w:lineRule="auto"/>
        <w:tabs>
          <w:tab w:leader="none" w:pos="1633" w:val="left"/>
        </w:tabs>
        <w:numPr>
          <w:ilvl w:val="0"/>
          <w:numId w:val="81"/>
        </w:numPr>
        <w:rPr>
          <w:rFonts w:ascii="Arial" w:cs="Arial" w:eastAsia="Arial" w:hAnsi="Arial"/>
          <w:sz w:val="22"/>
          <w:szCs w:val="22"/>
          <w:color w:val="auto"/>
        </w:rPr>
      </w:pPr>
      <w:r>
        <w:rPr>
          <w:rFonts w:ascii="Arial" w:cs="Arial" w:eastAsia="Arial" w:hAnsi="Arial"/>
          <w:sz w:val="22"/>
          <w:szCs w:val="22"/>
          <w:color w:val="auto"/>
        </w:rPr>
        <w:t>a Participant is not Disabled at any time that the Participant is working for pay or profit at any occupation.</w:t>
      </w:r>
    </w:p>
    <w:p>
      <w:pPr>
        <w:spacing w:after="0" w:line="194" w:lineRule="exact"/>
        <w:rPr>
          <w:sz w:val="20"/>
          <w:szCs w:val="20"/>
          <w:color w:val="auto"/>
        </w:rPr>
      </w:pPr>
    </w:p>
    <w:p>
      <w:pPr>
        <w:jc w:val="both"/>
        <w:ind w:left="800" w:hanging="809"/>
        <w:spacing w:after="0" w:line="243" w:lineRule="auto"/>
        <w:tabs>
          <w:tab w:leader="none" w:pos="780" w:val="left"/>
        </w:tabs>
        <w:rPr>
          <w:sz w:val="20"/>
          <w:szCs w:val="20"/>
          <w:color w:val="auto"/>
        </w:rPr>
      </w:pPr>
      <w:r>
        <w:rPr>
          <w:rFonts w:ascii="Arial" w:cs="Arial" w:eastAsia="Arial" w:hAnsi="Arial"/>
          <w:sz w:val="21"/>
          <w:szCs w:val="21"/>
          <w:color w:val="auto"/>
        </w:rPr>
        <w:t>2.10</w:t>
      </w:r>
      <w:r>
        <w:rPr>
          <w:sz w:val="20"/>
          <w:szCs w:val="20"/>
          <w:color w:val="auto"/>
        </w:rPr>
        <w:tab/>
      </w:r>
      <w:r>
        <w:rPr>
          <w:rFonts w:ascii="Arial" w:cs="Arial" w:eastAsia="Arial" w:hAnsi="Arial"/>
          <w:sz w:val="22"/>
          <w:szCs w:val="22"/>
          <w:b w:val="1"/>
          <w:bCs w:val="1"/>
          <w:color w:val="auto"/>
        </w:rPr>
        <w:t xml:space="preserve">"Early Retirement Factor" </w:t>
      </w:r>
      <w:r>
        <w:rPr>
          <w:rFonts w:ascii="Arial" w:cs="Arial" w:eastAsia="Arial" w:hAnsi="Arial"/>
          <w:sz w:val="22"/>
          <w:szCs w:val="22"/>
          <w:color w:val="auto"/>
        </w:rPr>
        <w:t>means the reduction factors used to calculate early retirement benefits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Matson Retirement Plan for participants of such plan who retire from active service at or after attaining age 55.</w:t>
      </w:r>
    </w:p>
    <w:p>
      <w:pPr>
        <w:spacing w:after="0" w:line="204" w:lineRule="exact"/>
        <w:rPr>
          <w:sz w:val="20"/>
          <w:szCs w:val="20"/>
          <w:color w:val="auto"/>
        </w:rPr>
      </w:pPr>
    </w:p>
    <w:p>
      <w:pPr>
        <w:jc w:val="both"/>
        <w:ind w:left="800" w:hanging="809"/>
        <w:spacing w:after="0" w:line="256" w:lineRule="auto"/>
        <w:tabs>
          <w:tab w:leader="none" w:pos="780" w:val="left"/>
        </w:tabs>
        <w:rPr>
          <w:sz w:val="20"/>
          <w:szCs w:val="20"/>
          <w:color w:val="auto"/>
        </w:rPr>
      </w:pPr>
      <w:r>
        <w:rPr>
          <w:rFonts w:ascii="Arial" w:cs="Arial" w:eastAsia="Arial" w:hAnsi="Arial"/>
          <w:sz w:val="21"/>
          <w:szCs w:val="21"/>
          <w:color w:val="auto"/>
        </w:rPr>
        <w:t>2.11</w:t>
      </w:r>
      <w:r>
        <w:rPr>
          <w:sz w:val="20"/>
          <w:szCs w:val="20"/>
          <w:color w:val="auto"/>
        </w:rPr>
        <w:tab/>
      </w:r>
      <w:r>
        <w:rPr>
          <w:rFonts w:ascii="Arial" w:cs="Arial" w:eastAsia="Arial" w:hAnsi="Arial"/>
          <w:sz w:val="22"/>
          <w:szCs w:val="22"/>
          <w:b w:val="1"/>
          <w:bCs w:val="1"/>
          <w:color w:val="auto"/>
        </w:rPr>
        <w:t xml:space="preserve">"Employer" </w:t>
      </w:r>
      <w:r>
        <w:rPr>
          <w:rFonts w:ascii="Arial" w:cs="Arial" w:eastAsia="Arial" w:hAnsi="Arial"/>
          <w:sz w:val="22"/>
          <w:szCs w:val="22"/>
          <w:color w:val="auto"/>
        </w:rPr>
        <w:t>shall mean Matson or the entity for whom services are performed and with respect to whom</w:t>
      </w:r>
      <w:r>
        <w:rPr>
          <w:rFonts w:ascii="Arial" w:cs="Arial" w:eastAsia="Arial" w:hAnsi="Arial"/>
          <w:sz w:val="22"/>
          <w:szCs w:val="22"/>
          <w:b w:val="1"/>
          <w:bCs w:val="1"/>
          <w:color w:val="auto"/>
        </w:rPr>
        <w:t xml:space="preserve"> </w:t>
      </w:r>
      <w:r>
        <w:rPr>
          <w:rFonts w:ascii="Arial" w:cs="Arial" w:eastAsia="Arial" w:hAnsi="Arial"/>
          <w:sz w:val="22"/>
          <w:szCs w:val="22"/>
          <w:color w:val="auto"/>
        </w:rPr>
        <w:t>the legally binding right to compensation arises, and all entities with</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38873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510" w:right="919" w:bottom="1440" w:gutter="0" w:footer="0" w:header="0"/>
        </w:sectPr>
      </w:pPr>
    </w:p>
    <w:bookmarkStart w:id="90" w:name="page91"/>
    <w:bookmarkEnd w:id="90"/>
    <w:p>
      <w:pPr>
        <w:jc w:val="both"/>
        <w:ind w:left="800"/>
        <w:spacing w:after="0" w:line="274" w:lineRule="auto"/>
        <w:rPr>
          <w:sz w:val="20"/>
          <w:szCs w:val="20"/>
          <w:color w:val="auto"/>
        </w:rPr>
      </w:pPr>
      <w:r>
        <w:rPr>
          <w:rFonts w:ascii="Arial" w:cs="Arial" w:eastAsia="Arial" w:hAnsi="Arial"/>
          <w:sz w:val="19"/>
          <w:szCs w:val="19"/>
          <w:color w:val="auto"/>
        </w:rPr>
        <w:t xml:space="preserve">whom Matson would be considered a single employer under Section 414(b) of the Code; provided that in applying Section 1563(a)(l), (2), and (3) of the Code for purposes of determining a controlled group of corporations under Section 414(b) of the Code, the language "at least 50 percent" is used instead of "at least 80 percent" each place it appears in Section 1563(a)(l), (2), and (3) of the Code, and in applying Treasury Regulation </w:t>
      </w:r>
      <w:r>
        <w:rPr>
          <w:rFonts w:ascii="Arial" w:cs="Arial" w:eastAsia="Arial" w:hAnsi="Arial"/>
          <w:sz w:val="19"/>
          <w:szCs w:val="19"/>
          <w:i w:val="1"/>
          <w:iCs w:val="1"/>
          <w:color w:val="auto"/>
        </w:rPr>
        <w:t>§</w:t>
      </w:r>
      <w:r>
        <w:rPr>
          <w:rFonts w:ascii="Arial" w:cs="Arial" w:eastAsia="Arial" w:hAnsi="Arial"/>
          <w:sz w:val="19"/>
          <w:szCs w:val="19"/>
          <w:color w:val="auto"/>
        </w:rPr>
        <w:t xml:space="preserve"> 1.414(c)-2 for purposes of determining trades or businesses (whether or not incorporated) that are under common control for purposes of Section 414(c) of the Code, "at least 50 percent" is used instead of "at least 80 percent" each place it appears in Treasury Regulation </w:t>
      </w:r>
      <w:r>
        <w:rPr>
          <w:rFonts w:ascii="Arial" w:cs="Arial" w:eastAsia="Arial" w:hAnsi="Arial"/>
          <w:sz w:val="19"/>
          <w:szCs w:val="19"/>
          <w:i w:val="1"/>
          <w:iCs w:val="1"/>
          <w:color w:val="auto"/>
        </w:rPr>
        <w:t>§</w:t>
      </w:r>
      <w:r>
        <w:rPr>
          <w:rFonts w:ascii="Arial" w:cs="Arial" w:eastAsia="Arial" w:hAnsi="Arial"/>
          <w:sz w:val="19"/>
          <w:szCs w:val="19"/>
          <w:color w:val="auto"/>
        </w:rPr>
        <w:t xml:space="preserve"> l.414(c)-2; provided, however, "at least 20 percent" shall replace "at least 50 percent" in the preceding clause if there is a legitimate business criteria for using such lower percentage.</w:t>
      </w:r>
    </w:p>
    <w:p>
      <w:pPr>
        <w:spacing w:after="0" w:line="180" w:lineRule="exact"/>
        <w:rPr>
          <w:sz w:val="20"/>
          <w:szCs w:val="20"/>
          <w:color w:val="auto"/>
        </w:rPr>
      </w:pPr>
    </w:p>
    <w:p>
      <w:pPr>
        <w:jc w:val="both"/>
        <w:ind w:left="800" w:hanging="809"/>
        <w:spacing w:after="0" w:line="237" w:lineRule="auto"/>
        <w:tabs>
          <w:tab w:leader="none" w:pos="780" w:val="left"/>
        </w:tabs>
        <w:rPr>
          <w:sz w:val="20"/>
          <w:szCs w:val="20"/>
          <w:color w:val="auto"/>
        </w:rPr>
      </w:pPr>
      <w:r>
        <w:rPr>
          <w:rFonts w:ascii="Arial" w:cs="Arial" w:eastAsia="Arial" w:hAnsi="Arial"/>
          <w:sz w:val="21"/>
          <w:szCs w:val="21"/>
          <w:color w:val="auto"/>
        </w:rPr>
        <w:t>2.12</w:t>
      </w:r>
      <w:r>
        <w:rPr>
          <w:sz w:val="20"/>
          <w:szCs w:val="20"/>
          <w:color w:val="auto"/>
        </w:rPr>
        <w:tab/>
      </w:r>
      <w:r>
        <w:rPr>
          <w:rFonts w:ascii="Arial" w:cs="Arial" w:eastAsia="Arial" w:hAnsi="Arial"/>
          <w:sz w:val="22"/>
          <w:szCs w:val="22"/>
          <w:b w:val="1"/>
          <w:bCs w:val="1"/>
          <w:color w:val="auto"/>
        </w:rPr>
        <w:t xml:space="preserve">"Final Base Compensation" </w:t>
      </w:r>
      <w:r>
        <w:rPr>
          <w:rFonts w:ascii="Arial" w:cs="Arial" w:eastAsia="Arial" w:hAnsi="Arial"/>
          <w:sz w:val="22"/>
          <w:szCs w:val="22"/>
          <w:color w:val="auto"/>
        </w:rPr>
        <w:t>means a Participant's Base Compensation in effect, as applicable (i) at the</w:t>
      </w:r>
      <w:r>
        <w:rPr>
          <w:rFonts w:ascii="Arial" w:cs="Arial" w:eastAsia="Arial" w:hAnsi="Arial"/>
          <w:sz w:val="22"/>
          <w:szCs w:val="22"/>
          <w:b w:val="1"/>
          <w:bCs w:val="1"/>
          <w:color w:val="auto"/>
        </w:rPr>
        <w:t xml:space="preserve"> </w:t>
      </w:r>
      <w:r>
        <w:rPr>
          <w:rFonts w:ascii="Arial" w:cs="Arial" w:eastAsia="Arial" w:hAnsi="Arial"/>
          <w:sz w:val="22"/>
          <w:szCs w:val="22"/>
          <w:color w:val="auto"/>
        </w:rPr>
        <w:t>time of the Participant's Separation from Service, Participant's death, or Change In Control for purposes of Section 4.08(b)(1) or (2), or (ii) immediately prior to Participant's Disability leave, as provided in Section 4.12(d), and computed as an annual amount by multiplying the then applicable monthly Base Compensation in effect by 12.</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color w:val="auto"/>
        </w:rPr>
        <w:t>2.13</w:t>
      </w:r>
      <w:r>
        <w:rPr>
          <w:sz w:val="20"/>
          <w:szCs w:val="20"/>
          <w:color w:val="auto"/>
        </w:rPr>
        <w:tab/>
      </w:r>
      <w:r>
        <w:rPr>
          <w:rFonts w:ascii="Arial" w:cs="Arial" w:eastAsia="Arial" w:hAnsi="Arial"/>
          <w:sz w:val="19"/>
          <w:szCs w:val="19"/>
          <w:b w:val="1"/>
          <w:bCs w:val="1"/>
          <w:color w:val="auto"/>
        </w:rPr>
        <w:t xml:space="preserve">"Identification Date" </w:t>
      </w:r>
      <w:r>
        <w:rPr>
          <w:rFonts w:ascii="Arial" w:cs="Arial" w:eastAsia="Arial" w:hAnsi="Arial"/>
          <w:sz w:val="19"/>
          <w:szCs w:val="19"/>
          <w:color w:val="auto"/>
        </w:rPr>
        <w:t>shall mean each December 31.</w:t>
      </w:r>
    </w:p>
    <w:p>
      <w:pPr>
        <w:spacing w:after="0" w:line="245"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color w:val="auto"/>
        </w:rPr>
        <w:t>2.14</w:t>
      </w:r>
      <w:r>
        <w:rPr>
          <w:sz w:val="20"/>
          <w:szCs w:val="20"/>
          <w:color w:val="auto"/>
        </w:rPr>
        <w:tab/>
      </w:r>
      <w:r>
        <w:rPr>
          <w:rFonts w:ascii="Arial" w:cs="Arial" w:eastAsia="Arial" w:hAnsi="Arial"/>
          <w:sz w:val="19"/>
          <w:szCs w:val="19"/>
          <w:b w:val="1"/>
          <w:bCs w:val="1"/>
          <w:color w:val="auto"/>
        </w:rPr>
        <w:t xml:space="preserve">"Immediate Change In Control Benefit" </w:t>
      </w:r>
      <w:r>
        <w:rPr>
          <w:rFonts w:ascii="Arial" w:cs="Arial" w:eastAsia="Arial" w:hAnsi="Arial"/>
          <w:sz w:val="19"/>
          <w:szCs w:val="19"/>
          <w:color w:val="auto"/>
        </w:rPr>
        <w:t>means the benefit described in Section 4.08(a).</w:t>
      </w:r>
    </w:p>
    <w:p>
      <w:pPr>
        <w:spacing w:after="0" w:line="245"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color w:val="auto"/>
        </w:rPr>
        <w:t>2.15</w:t>
      </w:r>
      <w:r>
        <w:rPr>
          <w:sz w:val="20"/>
          <w:szCs w:val="20"/>
          <w:color w:val="auto"/>
        </w:rPr>
        <w:tab/>
      </w:r>
      <w:r>
        <w:rPr>
          <w:rFonts w:ascii="Arial" w:cs="Arial" w:eastAsia="Arial" w:hAnsi="Arial"/>
          <w:sz w:val="19"/>
          <w:szCs w:val="19"/>
          <w:b w:val="1"/>
          <w:bCs w:val="1"/>
          <w:color w:val="auto"/>
        </w:rPr>
        <w:t xml:space="preserve">"Involuntary Separation Benefit" </w:t>
      </w:r>
      <w:r>
        <w:rPr>
          <w:rFonts w:ascii="Arial" w:cs="Arial" w:eastAsia="Arial" w:hAnsi="Arial"/>
          <w:sz w:val="19"/>
          <w:szCs w:val="19"/>
          <w:color w:val="auto"/>
        </w:rPr>
        <w:t>means the benefit described in Section 4.05.</w:t>
      </w:r>
    </w:p>
    <w:p>
      <w:pPr>
        <w:spacing w:after="0" w:line="245"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color w:val="auto"/>
        </w:rPr>
        <w:t>2.16</w:t>
      </w:r>
      <w:r>
        <w:rPr>
          <w:sz w:val="20"/>
          <w:szCs w:val="20"/>
          <w:color w:val="auto"/>
        </w:rPr>
        <w:tab/>
      </w:r>
      <w:r>
        <w:rPr>
          <w:rFonts w:ascii="Arial" w:cs="Arial" w:eastAsia="Arial" w:hAnsi="Arial"/>
          <w:sz w:val="19"/>
          <w:szCs w:val="19"/>
          <w:b w:val="1"/>
          <w:bCs w:val="1"/>
          <w:color w:val="auto"/>
        </w:rPr>
        <w:t xml:space="preserve">"Key Employee" </w:t>
      </w:r>
      <w:r>
        <w:rPr>
          <w:rFonts w:ascii="Arial" w:cs="Arial" w:eastAsia="Arial" w:hAnsi="Arial"/>
          <w:sz w:val="19"/>
          <w:szCs w:val="19"/>
          <w:color w:val="auto"/>
        </w:rPr>
        <w:t>shall mean a Participant who, on an Identification Date, is:</w:t>
      </w:r>
    </w:p>
    <w:p>
      <w:pPr>
        <w:spacing w:after="0" w:line="129" w:lineRule="exact"/>
        <w:rPr>
          <w:sz w:val="20"/>
          <w:szCs w:val="20"/>
          <w:color w:val="auto"/>
        </w:rPr>
      </w:pPr>
    </w:p>
    <w:p>
      <w:pPr>
        <w:jc w:val="both"/>
        <w:ind w:left="1400" w:hanging="661"/>
        <w:spacing w:after="0"/>
        <w:tabs>
          <w:tab w:leader="none" w:pos="1535" w:val="left"/>
        </w:tabs>
        <w:numPr>
          <w:ilvl w:val="0"/>
          <w:numId w:val="82"/>
        </w:numPr>
        <w:rPr>
          <w:rFonts w:ascii="Arial" w:cs="Arial" w:eastAsia="Arial" w:hAnsi="Arial"/>
          <w:sz w:val="21"/>
          <w:szCs w:val="21"/>
          <w:color w:val="auto"/>
        </w:rPr>
      </w:pPr>
      <w:r>
        <w:rPr>
          <w:rFonts w:ascii="Arial" w:cs="Arial" w:eastAsia="Arial" w:hAnsi="Arial"/>
          <w:sz w:val="22"/>
          <w:szCs w:val="22"/>
          <w:color w:val="auto"/>
        </w:rPr>
        <w:t>An officer of Matson having annual compensation greater than the compensation limit in Section 416(i)(l)(A)(i) of the Code, provided that no more than fifty officers of Matson shall be determined to be Key Employees as of any Identification Date;</w:t>
      </w:r>
    </w:p>
    <w:p>
      <w:pPr>
        <w:spacing w:after="0" w:line="213" w:lineRule="exact"/>
        <w:rPr>
          <w:rFonts w:ascii="Arial" w:cs="Arial" w:eastAsia="Arial" w:hAnsi="Arial"/>
          <w:sz w:val="21"/>
          <w:szCs w:val="21"/>
          <w:color w:val="auto"/>
        </w:rPr>
      </w:pPr>
    </w:p>
    <w:p>
      <w:pPr>
        <w:ind w:left="1440" w:hanging="701"/>
        <w:spacing w:after="0"/>
        <w:tabs>
          <w:tab w:leader="none" w:pos="1440" w:val="left"/>
        </w:tabs>
        <w:numPr>
          <w:ilvl w:val="0"/>
          <w:numId w:val="82"/>
        </w:numPr>
        <w:rPr>
          <w:rFonts w:ascii="Arial" w:cs="Arial" w:eastAsia="Arial" w:hAnsi="Arial"/>
          <w:sz w:val="21"/>
          <w:szCs w:val="21"/>
          <w:color w:val="auto"/>
        </w:rPr>
      </w:pPr>
      <w:r>
        <w:rPr>
          <w:rFonts w:ascii="Arial" w:cs="Arial" w:eastAsia="Arial" w:hAnsi="Arial"/>
          <w:sz w:val="22"/>
          <w:szCs w:val="22"/>
          <w:color w:val="auto"/>
        </w:rPr>
        <w:t>A five percent owner of Matson; or</w:t>
      </w:r>
    </w:p>
    <w:p>
      <w:pPr>
        <w:spacing w:after="0" w:line="233" w:lineRule="exact"/>
        <w:rPr>
          <w:rFonts w:ascii="Arial" w:cs="Arial" w:eastAsia="Arial" w:hAnsi="Arial"/>
          <w:sz w:val="21"/>
          <w:szCs w:val="21"/>
          <w:color w:val="auto"/>
        </w:rPr>
      </w:pPr>
    </w:p>
    <w:p>
      <w:pPr>
        <w:ind w:left="1440" w:hanging="704"/>
        <w:spacing w:after="0"/>
        <w:tabs>
          <w:tab w:leader="none" w:pos="1440" w:val="left"/>
        </w:tabs>
        <w:numPr>
          <w:ilvl w:val="0"/>
          <w:numId w:val="82"/>
        </w:numPr>
        <w:rPr>
          <w:rFonts w:ascii="Arial" w:cs="Arial" w:eastAsia="Arial" w:hAnsi="Arial"/>
          <w:sz w:val="19"/>
          <w:szCs w:val="19"/>
          <w:color w:val="auto"/>
        </w:rPr>
      </w:pPr>
      <w:r>
        <w:rPr>
          <w:rFonts w:ascii="Arial" w:cs="Arial" w:eastAsia="Arial" w:hAnsi="Arial"/>
          <w:sz w:val="19"/>
          <w:szCs w:val="19"/>
          <w:color w:val="auto"/>
        </w:rPr>
        <w:t>A one percent owner of Matson having annual Compensation from Matson of more than $150,000.</w:t>
      </w:r>
    </w:p>
    <w:p>
      <w:pPr>
        <w:spacing w:after="0" w:line="268" w:lineRule="exact"/>
        <w:rPr>
          <w:sz w:val="20"/>
          <w:szCs w:val="20"/>
          <w:color w:val="auto"/>
        </w:rPr>
      </w:pPr>
    </w:p>
    <w:p>
      <w:pPr>
        <w:jc w:val="both"/>
        <w:ind w:left="720" w:firstLine="7"/>
        <w:spacing w:after="0" w:line="234" w:lineRule="auto"/>
        <w:rPr>
          <w:sz w:val="20"/>
          <w:szCs w:val="20"/>
          <w:color w:val="auto"/>
        </w:rPr>
      </w:pPr>
      <w:r>
        <w:rPr>
          <w:rFonts w:ascii="Arial" w:cs="Arial" w:eastAsia="Arial" w:hAnsi="Arial"/>
          <w:sz w:val="22"/>
          <w:szCs w:val="22"/>
          <w:color w:val="auto"/>
        </w:rPr>
        <w:t xml:space="preserve">If a participant is identified as a Key Employee on an Identification Date, then such participant shall be considered a Key Employee for purposes of the Plan during the period beginning on the first April 1 following the Identification Date and ending on the next March 31. For purposes of this Section 2.16 only and for determining whether a participant is a Key Employee, "Matson" shall mean Matson and its affiliates that are treated as a single employer under Section 414(b) or (c) of the Code, and for purposes of determining whether a Participant is a Key Employee, Treasury Regulation </w:t>
      </w:r>
      <w:r>
        <w:rPr>
          <w:rFonts w:ascii="Arial" w:cs="Arial" w:eastAsia="Arial" w:hAnsi="Arial"/>
          <w:sz w:val="22"/>
          <w:szCs w:val="22"/>
          <w:i w:val="1"/>
          <w:iCs w:val="1"/>
          <w:color w:val="auto"/>
        </w:rPr>
        <w:t>§</w:t>
      </w:r>
      <w:r>
        <w:rPr>
          <w:rFonts w:ascii="Arial" w:cs="Arial" w:eastAsia="Arial" w:hAnsi="Arial"/>
          <w:sz w:val="22"/>
          <w:szCs w:val="22"/>
          <w:color w:val="auto"/>
        </w:rPr>
        <w:t xml:space="preserve"> l.415(c) - 2(d)(4) shall be used to calculate compensation.</w:t>
      </w:r>
    </w:p>
    <w:p>
      <w:pPr>
        <w:spacing w:after="0" w:line="212"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color w:val="auto"/>
        </w:rPr>
        <w:t>2.17</w:t>
      </w:r>
      <w:r>
        <w:rPr>
          <w:sz w:val="20"/>
          <w:szCs w:val="20"/>
          <w:color w:val="auto"/>
        </w:rPr>
        <w:tab/>
      </w:r>
      <w:r>
        <w:rPr>
          <w:rFonts w:ascii="Arial" w:cs="Arial" w:eastAsia="Arial" w:hAnsi="Arial"/>
          <w:sz w:val="19"/>
          <w:szCs w:val="19"/>
          <w:b w:val="1"/>
          <w:bCs w:val="1"/>
          <w:color w:val="auto"/>
        </w:rPr>
        <w:t xml:space="preserve">"Matson" </w:t>
      </w:r>
      <w:r>
        <w:rPr>
          <w:rFonts w:ascii="Arial" w:cs="Arial" w:eastAsia="Arial" w:hAnsi="Arial"/>
          <w:sz w:val="19"/>
          <w:szCs w:val="19"/>
          <w:color w:val="auto"/>
        </w:rPr>
        <w:t>means Matson, Inc., a Hawaii corporation.</w:t>
      </w:r>
    </w:p>
    <w:p>
      <w:pPr>
        <w:spacing w:after="0" w:line="245"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color w:val="auto"/>
        </w:rPr>
        <w:t>2.18</w:t>
      </w:r>
      <w:r>
        <w:rPr>
          <w:sz w:val="20"/>
          <w:szCs w:val="20"/>
          <w:color w:val="auto"/>
        </w:rPr>
        <w:tab/>
      </w:r>
      <w:r>
        <w:rPr>
          <w:rFonts w:ascii="Arial" w:cs="Arial" w:eastAsia="Arial" w:hAnsi="Arial"/>
          <w:sz w:val="19"/>
          <w:szCs w:val="19"/>
          <w:b w:val="1"/>
          <w:bCs w:val="1"/>
          <w:color w:val="auto"/>
        </w:rPr>
        <w:t xml:space="preserve">"Matson Retirement Plan" </w:t>
      </w:r>
      <w:r>
        <w:rPr>
          <w:rFonts w:ascii="Arial" w:cs="Arial" w:eastAsia="Arial" w:hAnsi="Arial"/>
          <w:sz w:val="19"/>
          <w:szCs w:val="19"/>
          <w:color w:val="auto"/>
        </w:rPr>
        <w:t>means the Retirement Plan for Employees of Matson, as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38873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510" w:right="919" w:bottom="1440" w:gutter="0" w:footer="0" w:header="0"/>
        </w:sectPr>
      </w:pPr>
    </w:p>
    <w:bookmarkStart w:id="91" w:name="page92"/>
    <w:bookmarkEnd w:id="91"/>
    <w:p>
      <w:pPr>
        <w:ind w:left="800"/>
        <w:spacing w:after="0"/>
        <w:rPr>
          <w:sz w:val="20"/>
          <w:szCs w:val="20"/>
          <w:color w:val="auto"/>
        </w:rPr>
      </w:pPr>
      <w:r>
        <w:rPr>
          <w:rFonts w:ascii="Arial" w:cs="Arial" w:eastAsia="Arial" w:hAnsi="Arial"/>
          <w:sz w:val="22"/>
          <w:szCs w:val="22"/>
          <w:color w:val="auto"/>
        </w:rPr>
        <w:t>amended from time to time.</w:t>
      </w:r>
    </w:p>
    <w:p>
      <w:pPr>
        <w:spacing w:after="0" w:line="227" w:lineRule="exact"/>
        <w:rPr>
          <w:sz w:val="20"/>
          <w:szCs w:val="20"/>
          <w:color w:val="auto"/>
        </w:rPr>
      </w:pPr>
    </w:p>
    <w:p>
      <w:pPr>
        <w:jc w:val="both"/>
        <w:ind w:left="800" w:hanging="809"/>
        <w:spacing w:after="0" w:line="254" w:lineRule="auto"/>
        <w:tabs>
          <w:tab w:leader="none" w:pos="780" w:val="left"/>
        </w:tabs>
        <w:rPr>
          <w:sz w:val="20"/>
          <w:szCs w:val="20"/>
          <w:color w:val="auto"/>
        </w:rPr>
      </w:pPr>
      <w:r>
        <w:rPr>
          <w:rFonts w:ascii="Arial" w:cs="Arial" w:eastAsia="Arial" w:hAnsi="Arial"/>
          <w:sz w:val="21"/>
          <w:szCs w:val="21"/>
          <w:color w:val="auto"/>
        </w:rPr>
        <w:t>2.19</w:t>
      </w:r>
      <w:r>
        <w:rPr>
          <w:sz w:val="20"/>
          <w:szCs w:val="20"/>
          <w:color w:val="auto"/>
        </w:rPr>
        <w:tab/>
      </w:r>
      <w:r>
        <w:rPr>
          <w:rFonts w:ascii="Arial" w:cs="Arial" w:eastAsia="Arial" w:hAnsi="Arial"/>
          <w:sz w:val="21"/>
          <w:szCs w:val="21"/>
          <w:b w:val="1"/>
          <w:bCs w:val="1"/>
          <w:color w:val="auto"/>
        </w:rPr>
        <w:t xml:space="preserve">"Normal Retirement Benefit" </w:t>
      </w:r>
      <w:r>
        <w:rPr>
          <w:rFonts w:ascii="Arial" w:cs="Arial" w:eastAsia="Arial" w:hAnsi="Arial"/>
          <w:sz w:val="21"/>
          <w:szCs w:val="21"/>
          <w:color w:val="auto"/>
        </w:rPr>
        <w:t>means ten annual amounts, each equal to the percentage (which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not less than 5% nor greater than 35%) of the Participant's Final Base Compensation as specified in such Participant's individual participating agreement, payable in monthly installments, or the lump sum Actuarial Equivalent if the Participant so elects and as provided in Section 4.10.</w:t>
      </w:r>
    </w:p>
    <w:p>
      <w:pPr>
        <w:spacing w:after="0" w:line="193" w:lineRule="exact"/>
        <w:rPr>
          <w:sz w:val="20"/>
          <w:szCs w:val="20"/>
          <w:color w:val="auto"/>
        </w:rPr>
      </w:pPr>
    </w:p>
    <w:p>
      <w:pPr>
        <w:jc w:val="both"/>
        <w:ind w:left="800" w:hanging="809"/>
        <w:spacing w:after="0" w:line="256" w:lineRule="auto"/>
        <w:tabs>
          <w:tab w:leader="none" w:pos="780" w:val="left"/>
        </w:tabs>
        <w:rPr>
          <w:sz w:val="20"/>
          <w:szCs w:val="20"/>
          <w:color w:val="auto"/>
        </w:rPr>
      </w:pPr>
      <w:r>
        <w:rPr>
          <w:rFonts w:ascii="Arial" w:cs="Arial" w:eastAsia="Arial" w:hAnsi="Arial"/>
          <w:sz w:val="21"/>
          <w:szCs w:val="21"/>
          <w:color w:val="auto"/>
        </w:rPr>
        <w:t>2.20</w:t>
      </w:r>
      <w:r>
        <w:rPr>
          <w:sz w:val="20"/>
          <w:szCs w:val="20"/>
          <w:color w:val="auto"/>
        </w:rPr>
        <w:tab/>
      </w:r>
      <w:r>
        <w:rPr>
          <w:rFonts w:ascii="Arial" w:cs="Arial" w:eastAsia="Arial" w:hAnsi="Arial"/>
          <w:sz w:val="22"/>
          <w:szCs w:val="22"/>
          <w:b w:val="1"/>
          <w:bCs w:val="1"/>
          <w:color w:val="auto"/>
        </w:rPr>
        <w:t xml:space="preserve">"Normal Retirement Date" </w:t>
      </w:r>
      <w:r>
        <w:rPr>
          <w:rFonts w:ascii="Arial" w:cs="Arial" w:eastAsia="Arial" w:hAnsi="Arial"/>
          <w:sz w:val="22"/>
          <w:szCs w:val="22"/>
          <w:color w:val="auto"/>
        </w:rPr>
        <w:t>means the first day of the month coincident with or next following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Participant attains age 65.</w:t>
      </w:r>
    </w:p>
    <w:p>
      <w:pPr>
        <w:spacing w:after="0" w:line="190" w:lineRule="exact"/>
        <w:rPr>
          <w:sz w:val="20"/>
          <w:szCs w:val="20"/>
          <w:color w:val="auto"/>
        </w:rPr>
      </w:pPr>
    </w:p>
    <w:p>
      <w:pPr>
        <w:jc w:val="both"/>
        <w:ind w:left="800" w:hanging="809"/>
        <w:spacing w:after="0" w:line="243" w:lineRule="auto"/>
        <w:tabs>
          <w:tab w:leader="none" w:pos="780" w:val="left"/>
        </w:tabs>
        <w:rPr>
          <w:sz w:val="20"/>
          <w:szCs w:val="20"/>
          <w:color w:val="auto"/>
        </w:rPr>
      </w:pPr>
      <w:r>
        <w:rPr>
          <w:rFonts w:ascii="Arial" w:cs="Arial" w:eastAsia="Arial" w:hAnsi="Arial"/>
          <w:sz w:val="21"/>
          <w:szCs w:val="21"/>
          <w:color w:val="auto"/>
        </w:rPr>
        <w:t>2.21</w:t>
      </w:r>
      <w:r>
        <w:rPr>
          <w:sz w:val="20"/>
          <w:szCs w:val="20"/>
          <w:color w:val="auto"/>
        </w:rPr>
        <w:tab/>
      </w:r>
      <w:r>
        <w:rPr>
          <w:rFonts w:ascii="Arial" w:cs="Arial" w:eastAsia="Arial" w:hAnsi="Arial"/>
          <w:sz w:val="22"/>
          <w:szCs w:val="22"/>
          <w:b w:val="1"/>
          <w:bCs w:val="1"/>
          <w:color w:val="auto"/>
        </w:rPr>
        <w:t xml:space="preserve">"Normal Survivor Benefit" </w:t>
      </w:r>
      <w:r>
        <w:rPr>
          <w:rFonts w:ascii="Arial" w:cs="Arial" w:eastAsia="Arial" w:hAnsi="Arial"/>
          <w:sz w:val="22"/>
          <w:szCs w:val="22"/>
          <w:color w:val="auto"/>
        </w:rPr>
        <w:t>means ten annual amounts, each equal to 50% of the Participant’s Final Base</w:t>
      </w:r>
      <w:r>
        <w:rPr>
          <w:rFonts w:ascii="Arial" w:cs="Arial" w:eastAsia="Arial" w:hAnsi="Arial"/>
          <w:sz w:val="22"/>
          <w:szCs w:val="22"/>
          <w:b w:val="1"/>
          <w:bCs w:val="1"/>
          <w:color w:val="auto"/>
        </w:rPr>
        <w:t xml:space="preserve"> </w:t>
      </w:r>
      <w:r>
        <w:rPr>
          <w:rFonts w:ascii="Arial" w:cs="Arial" w:eastAsia="Arial" w:hAnsi="Arial"/>
          <w:sz w:val="22"/>
          <w:szCs w:val="22"/>
          <w:color w:val="auto"/>
        </w:rPr>
        <w:t>Compensation, payable in monthly installments, or the lump sum Actuarial Equivalent if the Participant so elects and as provided in Section 4.10.</w:t>
      </w:r>
    </w:p>
    <w:p>
      <w:pPr>
        <w:spacing w:after="0" w:line="204"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color w:val="auto"/>
        </w:rPr>
        <w:t>2.22</w:t>
      </w:r>
      <w:r>
        <w:rPr>
          <w:sz w:val="20"/>
          <w:szCs w:val="20"/>
          <w:color w:val="auto"/>
        </w:rPr>
        <w:tab/>
      </w:r>
      <w:r>
        <w:rPr>
          <w:rFonts w:ascii="Arial" w:cs="Arial" w:eastAsia="Arial" w:hAnsi="Arial"/>
          <w:sz w:val="19"/>
          <w:szCs w:val="19"/>
          <w:b w:val="1"/>
          <w:bCs w:val="1"/>
          <w:color w:val="auto"/>
        </w:rPr>
        <w:t xml:space="preserve">"Participant" </w:t>
      </w:r>
      <w:r>
        <w:rPr>
          <w:rFonts w:ascii="Arial" w:cs="Arial" w:eastAsia="Arial" w:hAnsi="Arial"/>
          <w:sz w:val="19"/>
          <w:szCs w:val="19"/>
          <w:color w:val="auto"/>
        </w:rPr>
        <w:t>means an employee who meets the conditions set forth in Section 3.01.</w:t>
      </w:r>
    </w:p>
    <w:p>
      <w:pPr>
        <w:spacing w:after="0" w:line="245" w:lineRule="exact"/>
        <w:rPr>
          <w:sz w:val="20"/>
          <w:szCs w:val="20"/>
          <w:color w:val="auto"/>
        </w:rPr>
      </w:pPr>
    </w:p>
    <w:p>
      <w:pPr>
        <w:jc w:val="both"/>
        <w:ind w:left="800" w:hanging="809"/>
        <w:spacing w:after="0" w:line="256" w:lineRule="auto"/>
        <w:tabs>
          <w:tab w:leader="none" w:pos="780" w:val="left"/>
        </w:tabs>
        <w:rPr>
          <w:sz w:val="20"/>
          <w:szCs w:val="20"/>
          <w:color w:val="auto"/>
        </w:rPr>
      </w:pPr>
      <w:r>
        <w:rPr>
          <w:rFonts w:ascii="Arial" w:cs="Arial" w:eastAsia="Arial" w:hAnsi="Arial"/>
          <w:sz w:val="21"/>
          <w:szCs w:val="21"/>
          <w:color w:val="auto"/>
        </w:rPr>
        <w:t>2.23</w:t>
      </w:r>
      <w:r>
        <w:rPr>
          <w:sz w:val="20"/>
          <w:szCs w:val="20"/>
          <w:color w:val="auto"/>
        </w:rPr>
        <w:tab/>
      </w:r>
      <w:r>
        <w:rPr>
          <w:rFonts w:ascii="Arial" w:cs="Arial" w:eastAsia="Arial" w:hAnsi="Arial"/>
          <w:sz w:val="22"/>
          <w:szCs w:val="22"/>
          <w:b w:val="1"/>
          <w:bCs w:val="1"/>
          <w:color w:val="auto"/>
        </w:rPr>
        <w:t xml:space="preserve">"Participation Agreement" </w:t>
      </w:r>
      <w:r>
        <w:rPr>
          <w:rFonts w:ascii="Arial" w:cs="Arial" w:eastAsia="Arial" w:hAnsi="Arial"/>
          <w:sz w:val="22"/>
          <w:szCs w:val="22"/>
          <w:color w:val="auto"/>
        </w:rPr>
        <w:t>means the agreement that must be executed in order to participate in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as set forth in Section 3.01.</w:t>
      </w:r>
    </w:p>
    <w:p>
      <w:pPr>
        <w:spacing w:after="0" w:line="190" w:lineRule="exact"/>
        <w:rPr>
          <w:sz w:val="20"/>
          <w:szCs w:val="20"/>
          <w:color w:val="auto"/>
        </w:rPr>
      </w:pPr>
    </w:p>
    <w:p>
      <w:pPr>
        <w:spacing w:after="0"/>
        <w:tabs>
          <w:tab w:leader="none" w:pos="760" w:val="left"/>
        </w:tabs>
        <w:rPr>
          <w:sz w:val="20"/>
          <w:szCs w:val="20"/>
          <w:color w:val="auto"/>
        </w:rPr>
      </w:pPr>
      <w:r>
        <w:rPr>
          <w:rFonts w:ascii="Arial" w:cs="Arial" w:eastAsia="Arial" w:hAnsi="Arial"/>
          <w:sz w:val="21"/>
          <w:szCs w:val="21"/>
          <w:color w:val="auto"/>
        </w:rPr>
        <w:t>2.24</w:t>
      </w:r>
      <w:r>
        <w:rPr>
          <w:sz w:val="20"/>
          <w:szCs w:val="20"/>
          <w:color w:val="auto"/>
        </w:rPr>
        <w:tab/>
      </w:r>
      <w:r>
        <w:rPr>
          <w:rFonts w:ascii="Arial" w:cs="Arial" w:eastAsia="Arial" w:hAnsi="Arial"/>
          <w:sz w:val="19"/>
          <w:szCs w:val="19"/>
          <w:b w:val="1"/>
          <w:bCs w:val="1"/>
          <w:color w:val="auto"/>
        </w:rPr>
        <w:t xml:space="preserve">"Participation Termination Benefit" </w:t>
      </w:r>
      <w:r>
        <w:rPr>
          <w:rFonts w:ascii="Arial" w:cs="Arial" w:eastAsia="Arial" w:hAnsi="Arial"/>
          <w:sz w:val="19"/>
          <w:szCs w:val="19"/>
          <w:color w:val="auto"/>
        </w:rPr>
        <w:t>means the benefit described in Section 4.06.</w:t>
      </w:r>
    </w:p>
    <w:p>
      <w:pPr>
        <w:spacing w:after="0" w:line="245" w:lineRule="exact"/>
        <w:rPr>
          <w:sz w:val="20"/>
          <w:szCs w:val="20"/>
          <w:color w:val="auto"/>
        </w:rPr>
      </w:pPr>
    </w:p>
    <w:p>
      <w:pPr>
        <w:jc w:val="both"/>
        <w:ind w:left="800" w:hanging="809"/>
        <w:spacing w:after="0" w:line="256" w:lineRule="auto"/>
        <w:tabs>
          <w:tab w:leader="none" w:pos="780" w:val="left"/>
        </w:tabs>
        <w:rPr>
          <w:sz w:val="20"/>
          <w:szCs w:val="20"/>
          <w:color w:val="auto"/>
        </w:rPr>
      </w:pPr>
      <w:r>
        <w:rPr>
          <w:rFonts w:ascii="Arial" w:cs="Arial" w:eastAsia="Arial" w:hAnsi="Arial"/>
          <w:sz w:val="21"/>
          <w:szCs w:val="21"/>
          <w:color w:val="auto"/>
        </w:rPr>
        <w:t>2.25</w:t>
      </w:r>
      <w:r>
        <w:rPr>
          <w:sz w:val="20"/>
          <w:szCs w:val="20"/>
          <w:color w:val="auto"/>
        </w:rPr>
        <w:tab/>
      </w:r>
      <w:r>
        <w:rPr>
          <w:rFonts w:ascii="Arial" w:cs="Arial" w:eastAsia="Arial" w:hAnsi="Arial"/>
          <w:sz w:val="22"/>
          <w:szCs w:val="22"/>
          <w:b w:val="1"/>
          <w:bCs w:val="1"/>
          <w:color w:val="auto"/>
        </w:rPr>
        <w:t xml:space="preserve">"Plan" </w:t>
      </w:r>
      <w:r>
        <w:rPr>
          <w:rFonts w:ascii="Arial" w:cs="Arial" w:eastAsia="Arial" w:hAnsi="Arial"/>
          <w:sz w:val="22"/>
          <w:szCs w:val="22"/>
          <w:color w:val="auto"/>
        </w:rPr>
        <w:t>means the Matson, Inc. Executive Survivor/Retirement Benefit Plan, as amended from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time.</w:t>
      </w:r>
    </w:p>
    <w:p>
      <w:pPr>
        <w:spacing w:after="0" w:line="190" w:lineRule="exact"/>
        <w:rPr>
          <w:sz w:val="20"/>
          <w:szCs w:val="20"/>
          <w:color w:val="auto"/>
        </w:rPr>
      </w:pPr>
    </w:p>
    <w:p>
      <w:pPr>
        <w:spacing w:after="0"/>
        <w:tabs>
          <w:tab w:leader="none" w:pos="760" w:val="left"/>
        </w:tabs>
        <w:rPr>
          <w:sz w:val="20"/>
          <w:szCs w:val="20"/>
          <w:color w:val="auto"/>
        </w:rPr>
      </w:pPr>
      <w:r>
        <w:rPr>
          <w:rFonts w:ascii="Arial" w:cs="Arial" w:eastAsia="Arial" w:hAnsi="Arial"/>
          <w:sz w:val="21"/>
          <w:szCs w:val="21"/>
          <w:color w:val="auto"/>
        </w:rPr>
        <w:t>2.26</w:t>
      </w:r>
      <w:r>
        <w:rPr>
          <w:sz w:val="20"/>
          <w:szCs w:val="20"/>
          <w:color w:val="auto"/>
        </w:rPr>
        <w:tab/>
      </w:r>
      <w:r>
        <w:rPr>
          <w:rFonts w:ascii="Arial" w:cs="Arial" w:eastAsia="Arial" w:hAnsi="Arial"/>
          <w:sz w:val="19"/>
          <w:szCs w:val="19"/>
          <w:b w:val="1"/>
          <w:bCs w:val="1"/>
          <w:color w:val="auto"/>
        </w:rPr>
        <w:t xml:space="preserve">"Plan Termination Benefit" </w:t>
      </w:r>
      <w:r>
        <w:rPr>
          <w:rFonts w:ascii="Arial" w:cs="Arial" w:eastAsia="Arial" w:hAnsi="Arial"/>
          <w:sz w:val="19"/>
          <w:szCs w:val="19"/>
          <w:color w:val="auto"/>
        </w:rPr>
        <w:t>means the benefit described in Section 4.07.</w:t>
      </w:r>
    </w:p>
    <w:p>
      <w:pPr>
        <w:spacing w:after="0" w:line="245" w:lineRule="exact"/>
        <w:rPr>
          <w:sz w:val="20"/>
          <w:szCs w:val="20"/>
          <w:color w:val="auto"/>
        </w:rPr>
      </w:pPr>
    </w:p>
    <w:p>
      <w:pPr>
        <w:spacing w:after="0"/>
        <w:tabs>
          <w:tab w:leader="none" w:pos="760" w:val="left"/>
        </w:tabs>
        <w:rPr>
          <w:sz w:val="20"/>
          <w:szCs w:val="20"/>
          <w:color w:val="auto"/>
        </w:rPr>
      </w:pPr>
      <w:r>
        <w:rPr>
          <w:rFonts w:ascii="Arial" w:cs="Arial" w:eastAsia="Arial" w:hAnsi="Arial"/>
          <w:sz w:val="21"/>
          <w:szCs w:val="21"/>
          <w:color w:val="auto"/>
        </w:rPr>
        <w:t>2.27</w:t>
      </w:r>
      <w:r>
        <w:rPr>
          <w:sz w:val="20"/>
          <w:szCs w:val="20"/>
          <w:color w:val="auto"/>
        </w:rPr>
        <w:tab/>
      </w:r>
      <w:r>
        <w:rPr>
          <w:rFonts w:ascii="Arial" w:cs="Arial" w:eastAsia="Arial" w:hAnsi="Arial"/>
          <w:sz w:val="19"/>
          <w:szCs w:val="19"/>
          <w:b w:val="1"/>
          <w:bCs w:val="1"/>
          <w:color w:val="auto"/>
        </w:rPr>
        <w:t xml:space="preserve">"Pre-Retirement Survivor Benefit" </w:t>
      </w:r>
      <w:r>
        <w:rPr>
          <w:rFonts w:ascii="Arial" w:cs="Arial" w:eastAsia="Arial" w:hAnsi="Arial"/>
          <w:sz w:val="19"/>
          <w:szCs w:val="19"/>
          <w:color w:val="auto"/>
        </w:rPr>
        <w:t>means the benefit described in Section 4.02.</w:t>
      </w:r>
    </w:p>
    <w:p>
      <w:pPr>
        <w:spacing w:after="0" w:line="245" w:lineRule="exact"/>
        <w:rPr>
          <w:sz w:val="20"/>
          <w:szCs w:val="20"/>
          <w:color w:val="auto"/>
        </w:rPr>
      </w:pPr>
    </w:p>
    <w:p>
      <w:pPr>
        <w:spacing w:after="0"/>
        <w:tabs>
          <w:tab w:leader="none" w:pos="760" w:val="left"/>
        </w:tabs>
        <w:rPr>
          <w:sz w:val="20"/>
          <w:szCs w:val="20"/>
          <w:color w:val="auto"/>
        </w:rPr>
      </w:pPr>
      <w:r>
        <w:rPr>
          <w:rFonts w:ascii="Arial" w:cs="Arial" w:eastAsia="Arial" w:hAnsi="Arial"/>
          <w:sz w:val="21"/>
          <w:szCs w:val="21"/>
          <w:color w:val="auto"/>
        </w:rPr>
        <w:t>2.28</w:t>
      </w:r>
      <w:r>
        <w:rPr>
          <w:sz w:val="20"/>
          <w:szCs w:val="20"/>
          <w:color w:val="auto"/>
        </w:rPr>
        <w:tab/>
      </w:r>
      <w:r>
        <w:rPr>
          <w:rFonts w:ascii="Arial" w:cs="Arial" w:eastAsia="Arial" w:hAnsi="Arial"/>
          <w:sz w:val="19"/>
          <w:szCs w:val="19"/>
          <w:b w:val="1"/>
          <w:bCs w:val="1"/>
          <w:color w:val="auto"/>
        </w:rPr>
        <w:t xml:space="preserve">"Prorated Retirement Benefit" </w:t>
      </w:r>
      <w:r>
        <w:rPr>
          <w:rFonts w:ascii="Arial" w:cs="Arial" w:eastAsia="Arial" w:hAnsi="Arial"/>
          <w:sz w:val="19"/>
          <w:szCs w:val="19"/>
          <w:color w:val="auto"/>
        </w:rPr>
        <w:t>means Normal Retirement Benefit multiplied by the Proration Factor.</w:t>
      </w:r>
    </w:p>
    <w:p>
      <w:pPr>
        <w:spacing w:after="0" w:line="245" w:lineRule="exact"/>
        <w:rPr>
          <w:sz w:val="20"/>
          <w:szCs w:val="20"/>
          <w:color w:val="auto"/>
        </w:rPr>
      </w:pPr>
    </w:p>
    <w:p>
      <w:pPr>
        <w:spacing w:after="0"/>
        <w:tabs>
          <w:tab w:leader="none" w:pos="760" w:val="left"/>
        </w:tabs>
        <w:rPr>
          <w:sz w:val="20"/>
          <w:szCs w:val="20"/>
          <w:color w:val="auto"/>
        </w:rPr>
      </w:pPr>
      <w:r>
        <w:rPr>
          <w:rFonts w:ascii="Arial" w:cs="Arial" w:eastAsia="Arial" w:hAnsi="Arial"/>
          <w:sz w:val="21"/>
          <w:szCs w:val="21"/>
          <w:color w:val="auto"/>
        </w:rPr>
        <w:t>2.29</w:t>
      </w:r>
      <w:r>
        <w:rPr>
          <w:sz w:val="20"/>
          <w:szCs w:val="20"/>
          <w:color w:val="auto"/>
        </w:rPr>
        <w:tab/>
      </w:r>
      <w:r>
        <w:rPr>
          <w:rFonts w:ascii="Arial" w:cs="Arial" w:eastAsia="Arial" w:hAnsi="Arial"/>
          <w:sz w:val="19"/>
          <w:szCs w:val="19"/>
          <w:b w:val="1"/>
          <w:bCs w:val="1"/>
          <w:color w:val="auto"/>
        </w:rPr>
        <w:t xml:space="preserve">"Prorated Survivor Benefit" </w:t>
      </w:r>
      <w:r>
        <w:rPr>
          <w:rFonts w:ascii="Arial" w:cs="Arial" w:eastAsia="Arial" w:hAnsi="Arial"/>
          <w:sz w:val="19"/>
          <w:szCs w:val="19"/>
          <w:color w:val="auto"/>
        </w:rPr>
        <w:t>means Normal Survivor Benefit multiplied by the Proration Factor.</w:t>
      </w:r>
    </w:p>
    <w:p>
      <w:pPr>
        <w:spacing w:after="0" w:line="245" w:lineRule="exact"/>
        <w:rPr>
          <w:sz w:val="20"/>
          <w:szCs w:val="20"/>
          <w:color w:val="auto"/>
        </w:rPr>
      </w:pPr>
    </w:p>
    <w:p>
      <w:pPr>
        <w:spacing w:after="0"/>
        <w:tabs>
          <w:tab w:leader="none" w:pos="760" w:val="left"/>
        </w:tabs>
        <w:rPr>
          <w:sz w:val="20"/>
          <w:szCs w:val="20"/>
          <w:color w:val="auto"/>
        </w:rPr>
      </w:pPr>
      <w:r>
        <w:rPr>
          <w:rFonts w:ascii="Arial" w:cs="Arial" w:eastAsia="Arial" w:hAnsi="Arial"/>
          <w:sz w:val="21"/>
          <w:szCs w:val="21"/>
          <w:color w:val="auto"/>
        </w:rPr>
        <w:t>2.30</w:t>
      </w:r>
      <w:r>
        <w:rPr>
          <w:sz w:val="20"/>
          <w:szCs w:val="20"/>
          <w:color w:val="auto"/>
        </w:rPr>
        <w:tab/>
      </w:r>
      <w:r>
        <w:rPr>
          <w:rFonts w:ascii="Arial" w:cs="Arial" w:eastAsia="Arial" w:hAnsi="Arial"/>
          <w:sz w:val="19"/>
          <w:szCs w:val="19"/>
          <w:b w:val="1"/>
          <w:bCs w:val="1"/>
          <w:color w:val="auto"/>
        </w:rPr>
        <w:t xml:space="preserve">"Proration Factor" </w:t>
      </w:r>
      <w:r>
        <w:rPr>
          <w:rFonts w:ascii="Arial" w:cs="Arial" w:eastAsia="Arial" w:hAnsi="Arial"/>
          <w:sz w:val="19"/>
          <w:szCs w:val="19"/>
          <w:color w:val="auto"/>
        </w:rPr>
        <w:t>means:</w:t>
      </w:r>
    </w:p>
    <w:p>
      <w:pPr>
        <w:spacing w:after="0" w:line="251" w:lineRule="exact"/>
        <w:rPr>
          <w:sz w:val="20"/>
          <w:szCs w:val="20"/>
          <w:color w:val="auto"/>
        </w:rPr>
      </w:pPr>
    </w:p>
    <w:p>
      <w:pPr>
        <w:jc w:val="both"/>
        <w:ind w:left="1460" w:hanging="650"/>
        <w:spacing w:after="0" w:line="238" w:lineRule="auto"/>
        <w:tabs>
          <w:tab w:leader="none" w:pos="1804" w:val="left"/>
        </w:tabs>
        <w:numPr>
          <w:ilvl w:val="0"/>
          <w:numId w:val="83"/>
        </w:numPr>
        <w:rPr>
          <w:rFonts w:ascii="Arial" w:cs="Arial" w:eastAsia="Arial" w:hAnsi="Arial"/>
          <w:sz w:val="21"/>
          <w:szCs w:val="21"/>
          <w:color w:val="auto"/>
        </w:rPr>
      </w:pPr>
      <w:r>
        <w:rPr>
          <w:rFonts w:ascii="Arial" w:cs="Arial" w:eastAsia="Arial" w:hAnsi="Arial"/>
          <w:sz w:val="22"/>
          <w:szCs w:val="22"/>
          <w:color w:val="auto"/>
        </w:rPr>
        <w:t>In the case of a Participant who is a Participant in the A&amp;B 1985 Supplemental Executive Retirement Plan, or who was a former Participant in such plan, the ratio of (i) 300 minus the number of completed months between the date of calculation and the Participant's Normal Retirement Date, to (ii) 300.</w:t>
      </w:r>
    </w:p>
    <w:p>
      <w:pPr>
        <w:spacing w:after="0" w:line="212" w:lineRule="exact"/>
        <w:rPr>
          <w:rFonts w:ascii="Arial" w:cs="Arial" w:eastAsia="Arial" w:hAnsi="Arial"/>
          <w:sz w:val="21"/>
          <w:szCs w:val="21"/>
          <w:color w:val="auto"/>
        </w:rPr>
      </w:pPr>
    </w:p>
    <w:p>
      <w:pPr>
        <w:jc w:val="both"/>
        <w:ind w:left="1480" w:hanging="636"/>
        <w:spacing w:after="0" w:line="258" w:lineRule="auto"/>
        <w:tabs>
          <w:tab w:leader="none" w:pos="1665" w:val="left"/>
        </w:tabs>
        <w:numPr>
          <w:ilvl w:val="1"/>
          <w:numId w:val="83"/>
        </w:numPr>
        <w:rPr>
          <w:rFonts w:ascii="Arial" w:cs="Arial" w:eastAsia="Arial" w:hAnsi="Arial"/>
          <w:sz w:val="20"/>
          <w:szCs w:val="20"/>
          <w:color w:val="auto"/>
        </w:rPr>
      </w:pPr>
      <w:r>
        <w:rPr>
          <w:rFonts w:ascii="Arial" w:cs="Arial" w:eastAsia="Arial" w:hAnsi="Arial"/>
          <w:sz w:val="21"/>
          <w:szCs w:val="21"/>
          <w:color w:val="auto"/>
        </w:rPr>
        <w:t>In the case of all other Participants, the ratio of (i) the Participant's Years of Service as of the calculation date, to (ii) the Years of Service the Participant would have earned at his or her Normal Retirement Date had he or she remained in employment status until such date.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38873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510" w:right="919" w:bottom="1440" w:gutter="0" w:footer="0" w:header="0"/>
        </w:sectPr>
      </w:pPr>
    </w:p>
    <w:bookmarkStart w:id="92" w:name="page93"/>
    <w:bookmarkEnd w:id="92"/>
    <w:p>
      <w:pPr>
        <w:jc w:val="both"/>
        <w:ind w:left="820" w:hanging="818"/>
        <w:spacing w:after="0" w:line="284" w:lineRule="auto"/>
        <w:tabs>
          <w:tab w:leader="none" w:pos="800" w:val="left"/>
        </w:tabs>
        <w:rPr>
          <w:sz w:val="20"/>
          <w:szCs w:val="20"/>
          <w:color w:val="auto"/>
        </w:rPr>
      </w:pPr>
      <w:r>
        <w:rPr>
          <w:rFonts w:ascii="Arial" w:cs="Arial" w:eastAsia="Arial" w:hAnsi="Arial"/>
          <w:sz w:val="21"/>
          <w:szCs w:val="21"/>
          <w:color w:val="auto"/>
        </w:rPr>
        <w:t>2.31</w:t>
      </w:r>
      <w:r>
        <w:rPr>
          <w:sz w:val="20"/>
          <w:szCs w:val="20"/>
          <w:color w:val="auto"/>
        </w:rPr>
        <w:tab/>
      </w:r>
      <w:r>
        <w:rPr>
          <w:rFonts w:ascii="Arial" w:cs="Arial" w:eastAsia="Arial" w:hAnsi="Arial"/>
          <w:sz w:val="19"/>
          <w:szCs w:val="19"/>
          <w:b w:val="1"/>
          <w:bCs w:val="1"/>
          <w:color w:val="auto"/>
        </w:rPr>
        <w:t xml:space="preserve">"Separation from Service" </w:t>
      </w:r>
      <w:r>
        <w:rPr>
          <w:rFonts w:ascii="Arial" w:cs="Arial" w:eastAsia="Arial" w:hAnsi="Arial"/>
          <w:sz w:val="19"/>
          <w:szCs w:val="19"/>
          <w:color w:val="auto"/>
        </w:rPr>
        <w:t>shall mean termination of employment with the Employer, other than due to</w:t>
      </w:r>
      <w:r>
        <w:rPr>
          <w:rFonts w:ascii="Arial" w:cs="Arial" w:eastAsia="Arial" w:hAnsi="Arial"/>
          <w:sz w:val="19"/>
          <w:szCs w:val="19"/>
          <w:b w:val="1"/>
          <w:bCs w:val="1"/>
          <w:color w:val="auto"/>
        </w:rPr>
        <w:t xml:space="preserve"> </w:t>
      </w:r>
      <w:r>
        <w:rPr>
          <w:rFonts w:ascii="Arial" w:cs="Arial" w:eastAsia="Arial" w:hAnsi="Arial"/>
          <w:sz w:val="19"/>
          <w:szCs w:val="19"/>
          <w:color w:val="auto"/>
        </w:rPr>
        <w:t>death. A Participant shall be deemed to have experienced a Separation from Service if the Participant’s service with the Employer is reduced to an annual rate that is less than fifty percent of the services rendered, on average, during the immediately preceding three full years of employment with the Employer (or if employed by the Employer less than three years, such lesser period).</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color w:val="auto"/>
        </w:rPr>
        <w:t>2.32</w:t>
      </w:r>
      <w:r>
        <w:rPr>
          <w:sz w:val="20"/>
          <w:szCs w:val="20"/>
          <w:color w:val="auto"/>
        </w:rPr>
        <w:tab/>
      </w:r>
      <w:r>
        <w:rPr>
          <w:rFonts w:ascii="Arial" w:cs="Arial" w:eastAsia="Arial" w:hAnsi="Arial"/>
          <w:sz w:val="19"/>
          <w:szCs w:val="19"/>
          <w:b w:val="1"/>
          <w:bCs w:val="1"/>
          <w:color w:val="auto"/>
        </w:rPr>
        <w:t xml:space="preserve">"Vested Change In Control Benefit" </w:t>
      </w:r>
      <w:r>
        <w:rPr>
          <w:rFonts w:ascii="Arial" w:cs="Arial" w:eastAsia="Arial" w:hAnsi="Arial"/>
          <w:sz w:val="19"/>
          <w:szCs w:val="19"/>
          <w:color w:val="auto"/>
        </w:rPr>
        <w:t>means the benefit described in Section 4.08(a).</w:t>
      </w:r>
    </w:p>
    <w:p>
      <w:pPr>
        <w:spacing w:after="0" w:line="245" w:lineRule="exact"/>
        <w:rPr>
          <w:sz w:val="20"/>
          <w:szCs w:val="20"/>
          <w:color w:val="auto"/>
        </w:rPr>
      </w:pPr>
    </w:p>
    <w:p>
      <w:pPr>
        <w:jc w:val="both"/>
        <w:ind w:left="820" w:hanging="818"/>
        <w:spacing w:after="0" w:line="256" w:lineRule="auto"/>
        <w:tabs>
          <w:tab w:leader="none" w:pos="800" w:val="left"/>
        </w:tabs>
        <w:rPr>
          <w:sz w:val="20"/>
          <w:szCs w:val="20"/>
          <w:color w:val="auto"/>
        </w:rPr>
      </w:pPr>
      <w:r>
        <w:rPr>
          <w:rFonts w:ascii="Arial" w:cs="Arial" w:eastAsia="Arial" w:hAnsi="Arial"/>
          <w:sz w:val="21"/>
          <w:szCs w:val="21"/>
          <w:color w:val="auto"/>
        </w:rPr>
        <w:t>2.33</w:t>
      </w:r>
      <w:r>
        <w:rPr>
          <w:sz w:val="20"/>
          <w:szCs w:val="20"/>
          <w:color w:val="auto"/>
        </w:rPr>
        <w:tab/>
      </w:r>
      <w:r>
        <w:rPr>
          <w:rFonts w:ascii="Arial" w:cs="Arial" w:eastAsia="Arial" w:hAnsi="Arial"/>
          <w:sz w:val="22"/>
          <w:szCs w:val="22"/>
          <w:b w:val="1"/>
          <w:bCs w:val="1"/>
          <w:color w:val="auto"/>
        </w:rPr>
        <w:t xml:space="preserve">"Years of Service" </w:t>
      </w:r>
      <w:r>
        <w:rPr>
          <w:rFonts w:ascii="Arial" w:cs="Arial" w:eastAsia="Arial" w:hAnsi="Arial"/>
          <w:sz w:val="22"/>
          <w:szCs w:val="22"/>
          <w:color w:val="auto"/>
        </w:rPr>
        <w:t>means the number of years and fractions of years which qualify as years of Credited</w:t>
      </w:r>
      <w:r>
        <w:rPr>
          <w:rFonts w:ascii="Arial" w:cs="Arial" w:eastAsia="Arial" w:hAnsi="Arial"/>
          <w:sz w:val="22"/>
          <w:szCs w:val="22"/>
          <w:b w:val="1"/>
          <w:bCs w:val="1"/>
          <w:color w:val="auto"/>
        </w:rPr>
        <w:t xml:space="preserve"> </w:t>
      </w:r>
      <w:r>
        <w:rPr>
          <w:rFonts w:ascii="Arial" w:cs="Arial" w:eastAsia="Arial" w:hAnsi="Arial"/>
          <w:sz w:val="22"/>
          <w:szCs w:val="22"/>
          <w:color w:val="auto"/>
        </w:rPr>
        <w:t>Vesting Service as that term is defined in the Matson Retirement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PARTICIPATION</w:t>
      </w:r>
    </w:p>
    <w:p>
      <w:pPr>
        <w:spacing w:after="0" w:line="233" w:lineRule="exact"/>
        <w:rPr>
          <w:sz w:val="20"/>
          <w:szCs w:val="20"/>
          <w:color w:val="auto"/>
        </w:rPr>
      </w:pPr>
    </w:p>
    <w:p>
      <w:pPr>
        <w:jc w:val="both"/>
        <w:ind w:left="800" w:hanging="809"/>
        <w:spacing w:after="0" w:line="248" w:lineRule="auto"/>
        <w:tabs>
          <w:tab w:leader="none" w:pos="780" w:val="left"/>
        </w:tabs>
        <w:rPr>
          <w:sz w:val="20"/>
          <w:szCs w:val="20"/>
          <w:color w:val="auto"/>
        </w:rPr>
      </w:pPr>
      <w:r>
        <w:rPr>
          <w:rFonts w:ascii="Arial" w:cs="Arial" w:eastAsia="Arial" w:hAnsi="Arial"/>
          <w:sz w:val="22"/>
          <w:szCs w:val="22"/>
          <w:color w:val="auto"/>
        </w:rPr>
        <w:t>3.01</w:t>
      </w:r>
      <w:r>
        <w:rPr>
          <w:sz w:val="20"/>
          <w:szCs w:val="20"/>
          <w:color w:val="auto"/>
        </w:rPr>
        <w:tab/>
      </w:r>
      <w:r>
        <w:rPr>
          <w:rFonts w:ascii="Arial" w:cs="Arial" w:eastAsia="Arial" w:hAnsi="Arial"/>
          <w:sz w:val="21"/>
          <w:szCs w:val="21"/>
          <w:b w:val="1"/>
          <w:bCs w:val="1"/>
          <w:u w:val="single" w:color="auto"/>
          <w:color w:val="auto"/>
        </w:rPr>
        <w:t>Participation</w:t>
      </w:r>
      <w:r>
        <w:rPr>
          <w:rFonts w:ascii="Arial" w:cs="Arial" w:eastAsia="Arial" w:hAnsi="Arial"/>
          <w:sz w:val="21"/>
          <w:szCs w:val="21"/>
          <w:color w:val="auto"/>
        </w:rPr>
        <w:t>. Participants shall be management or highly compensated employees who have been</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specifically designated as Participants by the Chief Executive Officer of the Employer, who have demonstrated insurability to the satisfaction of the Employer, and who have executed a Participation Agreement (including a waiver of group life insurance coverage over $50,000). Participation will begin on the date specified in the Participation Agreement and shall continue until the earlier of the Participant's Separation from Service or until a determination by the Chief Executive Officer of the Employer that the Participant no longer is eligible to participate.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BENEFITS</w:t>
      </w:r>
    </w:p>
    <w:p>
      <w:pPr>
        <w:spacing w:after="0" w:line="233" w:lineRule="exact"/>
        <w:rPr>
          <w:sz w:val="20"/>
          <w:szCs w:val="20"/>
          <w:color w:val="auto"/>
        </w:rPr>
      </w:pPr>
    </w:p>
    <w:p>
      <w:pPr>
        <w:jc w:val="both"/>
        <w:ind w:left="800" w:hanging="809"/>
        <w:spacing w:after="0" w:line="243" w:lineRule="auto"/>
        <w:tabs>
          <w:tab w:leader="none" w:pos="780" w:val="left"/>
        </w:tabs>
        <w:rPr>
          <w:sz w:val="20"/>
          <w:szCs w:val="20"/>
          <w:color w:val="auto"/>
        </w:rPr>
      </w:pPr>
      <w:r>
        <w:rPr>
          <w:rFonts w:ascii="Arial" w:cs="Arial" w:eastAsia="Arial" w:hAnsi="Arial"/>
          <w:sz w:val="22"/>
          <w:szCs w:val="22"/>
          <w:color w:val="auto"/>
        </w:rPr>
        <w:t>4.01</w:t>
      </w:r>
      <w:r>
        <w:rPr>
          <w:sz w:val="20"/>
          <w:szCs w:val="20"/>
          <w:color w:val="auto"/>
        </w:rPr>
        <w:tab/>
      </w:r>
      <w:r>
        <w:rPr>
          <w:rFonts w:ascii="Arial" w:cs="Arial" w:eastAsia="Arial" w:hAnsi="Arial"/>
          <w:sz w:val="22"/>
          <w:szCs w:val="22"/>
          <w:b w:val="1"/>
          <w:bCs w:val="1"/>
          <w:u w:val="single" w:color="auto"/>
          <w:color w:val="auto"/>
        </w:rPr>
        <w:t>Plan Benefits</w:t>
      </w:r>
      <w:r>
        <w:rPr>
          <w:rFonts w:ascii="Arial" w:cs="Arial" w:eastAsia="Arial" w:hAnsi="Arial"/>
          <w:sz w:val="22"/>
          <w:szCs w:val="22"/>
          <w:color w:val="auto"/>
        </w:rPr>
        <w:t>. A Participant shall be entitled to whichever of the benefits provided by Sections 4.02 to</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4.09 provides the greatest benefit. Under no circumstance shall a Participant be entitled to benefits provided by more than one such Section.</w:t>
      </w:r>
    </w:p>
    <w:p>
      <w:pPr>
        <w:spacing w:after="0" w:line="204" w:lineRule="exact"/>
        <w:rPr>
          <w:sz w:val="20"/>
          <w:szCs w:val="20"/>
          <w:color w:val="auto"/>
        </w:rPr>
      </w:pPr>
    </w:p>
    <w:p>
      <w:pPr>
        <w:jc w:val="both"/>
        <w:ind w:left="800" w:hanging="809"/>
        <w:spacing w:after="0" w:line="254" w:lineRule="auto"/>
        <w:tabs>
          <w:tab w:leader="none" w:pos="780" w:val="left"/>
        </w:tabs>
        <w:rPr>
          <w:sz w:val="20"/>
          <w:szCs w:val="20"/>
          <w:color w:val="auto"/>
        </w:rPr>
      </w:pPr>
      <w:r>
        <w:rPr>
          <w:rFonts w:ascii="Arial" w:cs="Arial" w:eastAsia="Arial" w:hAnsi="Arial"/>
          <w:sz w:val="21"/>
          <w:szCs w:val="21"/>
          <w:color w:val="auto"/>
        </w:rPr>
        <w:t>4.02</w:t>
      </w:r>
      <w:r>
        <w:rPr>
          <w:sz w:val="20"/>
          <w:szCs w:val="20"/>
          <w:color w:val="auto"/>
        </w:rPr>
        <w:tab/>
      </w:r>
      <w:r>
        <w:rPr>
          <w:rFonts w:ascii="Arial" w:cs="Arial" w:eastAsia="Arial" w:hAnsi="Arial"/>
          <w:sz w:val="21"/>
          <w:szCs w:val="21"/>
          <w:b w:val="1"/>
          <w:bCs w:val="1"/>
          <w:u w:val="single" w:color="auto"/>
          <w:color w:val="auto"/>
        </w:rPr>
        <w:t>Pre-Retirement Survivor Benefit</w:t>
      </w:r>
      <w:r>
        <w:rPr>
          <w:rFonts w:ascii="Arial" w:cs="Arial" w:eastAsia="Arial" w:hAnsi="Arial"/>
          <w:sz w:val="21"/>
          <w:szCs w:val="21"/>
          <w:color w:val="auto"/>
        </w:rPr>
        <w:t>. Except as provided in Sections 4.06 and 4.07, the Beneficiary of a</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Participant who dies before Separation from Service shall be entitled to receive a Pre-Retirement Survivor Benefit consisting of the Normal Survivor Benefit; provided, however, that such benefit must be paid or commence within 90 days following the Participant's death.</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color w:val="auto"/>
        </w:rPr>
        <w:t>4.03</w:t>
      </w:r>
      <w:r>
        <w:rPr>
          <w:sz w:val="20"/>
          <w:szCs w:val="20"/>
          <w:color w:val="auto"/>
        </w:rPr>
        <w:tab/>
      </w:r>
      <w:r>
        <w:rPr>
          <w:rFonts w:ascii="Arial" w:cs="Arial" w:eastAsia="Arial" w:hAnsi="Arial"/>
          <w:sz w:val="19"/>
          <w:szCs w:val="19"/>
          <w:b w:val="1"/>
          <w:bCs w:val="1"/>
          <w:u w:val="single" w:color="auto"/>
          <w:color w:val="auto"/>
        </w:rPr>
        <w:t>Normal/Late Retirement Benefit</w:t>
      </w:r>
      <w:r>
        <w:rPr>
          <w:rFonts w:ascii="Arial" w:cs="Arial" w:eastAsia="Arial" w:hAnsi="Arial"/>
          <w:sz w:val="19"/>
          <w:szCs w:val="19"/>
          <w:color w:val="auto"/>
        </w:rPr>
        <w:t>.</w:t>
      </w:r>
    </w:p>
    <w:p>
      <w:pPr>
        <w:spacing w:after="0" w:line="245" w:lineRule="exact"/>
        <w:rPr>
          <w:sz w:val="20"/>
          <w:szCs w:val="20"/>
          <w:color w:val="auto"/>
        </w:rPr>
      </w:pPr>
    </w:p>
    <w:p>
      <w:pPr>
        <w:ind w:left="1460" w:hanging="650"/>
        <w:spacing w:after="0" w:line="256" w:lineRule="auto"/>
        <w:tabs>
          <w:tab w:leader="none" w:pos="1953" w:val="left"/>
        </w:tabs>
        <w:numPr>
          <w:ilvl w:val="0"/>
          <w:numId w:val="84"/>
        </w:numPr>
        <w:rPr>
          <w:rFonts w:ascii="Arial" w:cs="Arial" w:eastAsia="Arial" w:hAnsi="Arial"/>
          <w:sz w:val="21"/>
          <w:szCs w:val="21"/>
          <w:color w:val="auto"/>
        </w:rPr>
      </w:pPr>
      <w:r>
        <w:rPr>
          <w:rFonts w:ascii="Arial" w:cs="Arial" w:eastAsia="Arial" w:hAnsi="Arial"/>
          <w:sz w:val="22"/>
          <w:szCs w:val="22"/>
          <w:b w:val="1"/>
          <w:bCs w:val="1"/>
          <w:u w:val="single" w:color="auto"/>
          <w:color w:val="auto"/>
        </w:rPr>
        <w:t>Eligibility</w:t>
      </w:r>
      <w:r>
        <w:rPr>
          <w:rFonts w:ascii="Arial" w:cs="Arial" w:eastAsia="Arial" w:hAnsi="Arial"/>
          <w:sz w:val="22"/>
          <w:szCs w:val="22"/>
          <w:color w:val="auto"/>
        </w:rPr>
        <w:t>. A Participant who meets the following requirements shall be entitled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Normal/Late Retirement Benefit described in subsection (b) below:</w:t>
      </w:r>
    </w:p>
    <w:p>
      <w:pPr>
        <w:spacing w:after="0" w:line="195" w:lineRule="exact"/>
        <w:rPr>
          <w:rFonts w:ascii="Arial" w:cs="Arial" w:eastAsia="Arial" w:hAnsi="Arial"/>
          <w:sz w:val="21"/>
          <w:szCs w:val="21"/>
          <w:color w:val="auto"/>
        </w:rPr>
      </w:pPr>
    </w:p>
    <w:p>
      <w:pPr>
        <w:ind w:left="2140" w:hanging="682"/>
        <w:spacing w:after="0"/>
        <w:tabs>
          <w:tab w:leader="none" w:pos="2140"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Participant has completed three years of participation in the Plan; and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38873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504" w:right="919" w:bottom="1440" w:gutter="0" w:footer="0" w:header="0"/>
        </w:sectPr>
      </w:pPr>
    </w:p>
    <w:bookmarkStart w:id="93" w:name="page94"/>
    <w:bookmarkEnd w:id="93"/>
    <w:p>
      <w:pPr>
        <w:ind w:left="2100" w:hanging="642"/>
        <w:spacing w:after="0" w:line="251" w:lineRule="auto"/>
        <w:tabs>
          <w:tab w:leader="none" w:pos="2394"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Participant experiences a Separation from Service on or after his or her Normal Retirement Date.</w:t>
      </w:r>
    </w:p>
    <w:p>
      <w:pPr>
        <w:spacing w:after="0" w:line="194" w:lineRule="exact"/>
        <w:rPr>
          <w:rFonts w:ascii="Arial" w:cs="Arial" w:eastAsia="Arial" w:hAnsi="Arial"/>
          <w:sz w:val="22"/>
          <w:szCs w:val="22"/>
          <w:color w:val="auto"/>
        </w:rPr>
      </w:pPr>
    </w:p>
    <w:p>
      <w:pPr>
        <w:jc w:val="both"/>
        <w:ind w:left="1460" w:hanging="650"/>
        <w:spacing w:after="0" w:line="237" w:lineRule="auto"/>
        <w:tabs>
          <w:tab w:leader="none" w:pos="1683" w:val="left"/>
        </w:tabs>
        <w:numPr>
          <w:ilvl w:val="0"/>
          <w:numId w:val="86"/>
        </w:numPr>
        <w:rPr>
          <w:rFonts w:ascii="Arial" w:cs="Arial" w:eastAsia="Arial" w:hAnsi="Arial"/>
          <w:sz w:val="21"/>
          <w:szCs w:val="21"/>
          <w:color w:val="auto"/>
        </w:rPr>
      </w:pPr>
      <w:r>
        <w:rPr>
          <w:rFonts w:ascii="Arial" w:cs="Arial" w:eastAsia="Arial" w:hAnsi="Arial"/>
          <w:sz w:val="22"/>
          <w:szCs w:val="22"/>
          <w:b w:val="1"/>
          <w:bCs w:val="1"/>
          <w:u w:val="single" w:color="auto"/>
          <w:color w:val="auto"/>
        </w:rPr>
        <w:t>Benefit</w:t>
      </w:r>
      <w:r>
        <w:rPr>
          <w:rFonts w:ascii="Arial" w:cs="Arial" w:eastAsia="Arial" w:hAnsi="Arial"/>
          <w:sz w:val="22"/>
          <w:szCs w:val="22"/>
          <w:color w:val="auto"/>
        </w:rPr>
        <w:t>. A Participant's Normal/Late Retirement Benefit shall be the benefit in paragraph (2)</w:t>
      </w:r>
      <w:r>
        <w:rPr>
          <w:rFonts w:ascii="Arial" w:cs="Arial" w:eastAsia="Arial" w:hAnsi="Arial"/>
          <w:sz w:val="22"/>
          <w:szCs w:val="22"/>
          <w:b w:val="1"/>
          <w:bCs w:val="1"/>
          <w:color w:val="auto"/>
        </w:rPr>
        <w:t xml:space="preserve"> </w:t>
      </w:r>
      <w:r>
        <w:rPr>
          <w:rFonts w:ascii="Arial" w:cs="Arial" w:eastAsia="Arial" w:hAnsi="Arial"/>
          <w:sz w:val="22"/>
          <w:szCs w:val="22"/>
          <w:color w:val="auto"/>
        </w:rPr>
        <w:t>below unless prior to Separation from Service, the Participant has applied in writing to receive the benefit in paragraph (1) below in lieu of the benefit in paragraph (2) below and the Committee has approved such request; provided that no such request shall become effective until 12 months after the date it is received by the Committee.</w:t>
      </w:r>
    </w:p>
    <w:p>
      <w:pPr>
        <w:spacing w:after="0" w:line="215" w:lineRule="exact"/>
        <w:rPr>
          <w:rFonts w:ascii="Arial" w:cs="Arial" w:eastAsia="Arial" w:hAnsi="Arial"/>
          <w:sz w:val="21"/>
          <w:szCs w:val="21"/>
          <w:color w:val="auto"/>
        </w:rPr>
      </w:pPr>
    </w:p>
    <w:p>
      <w:pPr>
        <w:jc w:val="both"/>
        <w:ind w:left="2100" w:hanging="642"/>
        <w:spacing w:after="0"/>
        <w:tabs>
          <w:tab w:leader="none" w:pos="2201"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Participant's Normal Survivor Benefit, which shall be effective on the first day of the month following the Participant's death and be paid or commence as soon as practicable, but no later than 90 days, after the Participant's death.</w:t>
      </w:r>
    </w:p>
    <w:p>
      <w:pPr>
        <w:spacing w:after="0" w:line="213" w:lineRule="exact"/>
        <w:rPr>
          <w:rFonts w:ascii="Arial" w:cs="Arial" w:eastAsia="Arial" w:hAnsi="Arial"/>
          <w:sz w:val="22"/>
          <w:szCs w:val="22"/>
          <w:color w:val="auto"/>
        </w:rPr>
      </w:pPr>
    </w:p>
    <w:p>
      <w:pPr>
        <w:jc w:val="both"/>
        <w:ind w:left="2100" w:hanging="642"/>
        <w:spacing w:after="0"/>
        <w:tabs>
          <w:tab w:leader="none" w:pos="2250"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Participant's Normal Retirement Benefit, which shall be effective on the first day of the month following his or her Separation from Service and be paid or commence within 90 days following his or her Separation from Service.</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color w:val="auto"/>
        </w:rPr>
        <w:t>4.04</w:t>
      </w:r>
      <w:r>
        <w:rPr>
          <w:sz w:val="20"/>
          <w:szCs w:val="20"/>
          <w:color w:val="auto"/>
        </w:rPr>
        <w:tab/>
      </w:r>
      <w:r>
        <w:rPr>
          <w:rFonts w:ascii="Arial" w:cs="Arial" w:eastAsia="Arial" w:hAnsi="Arial"/>
          <w:sz w:val="19"/>
          <w:szCs w:val="19"/>
          <w:b w:val="1"/>
          <w:bCs w:val="1"/>
          <w:u w:val="single" w:color="auto"/>
          <w:color w:val="auto"/>
        </w:rPr>
        <w:t>Approved Early Retirement Benefit</w:t>
      </w:r>
      <w:r>
        <w:rPr>
          <w:rFonts w:ascii="Arial" w:cs="Arial" w:eastAsia="Arial" w:hAnsi="Arial"/>
          <w:sz w:val="19"/>
          <w:szCs w:val="19"/>
          <w:color w:val="auto"/>
        </w:rPr>
        <w:t>.</w:t>
      </w:r>
    </w:p>
    <w:p>
      <w:pPr>
        <w:spacing w:after="0" w:line="245" w:lineRule="exact"/>
        <w:rPr>
          <w:sz w:val="20"/>
          <w:szCs w:val="20"/>
          <w:color w:val="auto"/>
        </w:rPr>
      </w:pPr>
    </w:p>
    <w:p>
      <w:pPr>
        <w:ind w:left="1460" w:hanging="650"/>
        <w:spacing w:after="0" w:line="256" w:lineRule="auto"/>
        <w:tabs>
          <w:tab w:leader="none" w:pos="1561" w:val="left"/>
        </w:tabs>
        <w:numPr>
          <w:ilvl w:val="0"/>
          <w:numId w:val="87"/>
        </w:numPr>
        <w:rPr>
          <w:rFonts w:ascii="Arial" w:cs="Arial" w:eastAsia="Arial" w:hAnsi="Arial"/>
          <w:sz w:val="21"/>
          <w:szCs w:val="21"/>
          <w:color w:val="auto"/>
        </w:rPr>
      </w:pPr>
      <w:r>
        <w:rPr>
          <w:rFonts w:ascii="Arial" w:cs="Arial" w:eastAsia="Arial" w:hAnsi="Arial"/>
          <w:sz w:val="22"/>
          <w:szCs w:val="22"/>
          <w:b w:val="1"/>
          <w:bCs w:val="1"/>
          <w:u w:val="single" w:color="auto"/>
          <w:color w:val="auto"/>
        </w:rPr>
        <w:t>Eligibility</w:t>
      </w:r>
      <w:r>
        <w:rPr>
          <w:rFonts w:ascii="Arial" w:cs="Arial" w:eastAsia="Arial" w:hAnsi="Arial"/>
          <w:sz w:val="22"/>
          <w:szCs w:val="22"/>
          <w:color w:val="auto"/>
        </w:rPr>
        <w:t>. A Participant who meets the following requirements shall be entitled to the Approved</w:t>
      </w:r>
      <w:r>
        <w:rPr>
          <w:rFonts w:ascii="Arial" w:cs="Arial" w:eastAsia="Arial" w:hAnsi="Arial"/>
          <w:sz w:val="22"/>
          <w:szCs w:val="22"/>
          <w:b w:val="1"/>
          <w:bCs w:val="1"/>
          <w:color w:val="auto"/>
        </w:rPr>
        <w:t xml:space="preserve"> </w:t>
      </w:r>
      <w:r>
        <w:rPr>
          <w:rFonts w:ascii="Arial" w:cs="Arial" w:eastAsia="Arial" w:hAnsi="Arial"/>
          <w:sz w:val="22"/>
          <w:szCs w:val="22"/>
          <w:color w:val="auto"/>
        </w:rPr>
        <w:t>Early Retirement Benefit described in subsection (b) below:</w:t>
      </w:r>
    </w:p>
    <w:p>
      <w:pPr>
        <w:spacing w:after="0" w:line="195" w:lineRule="exact"/>
        <w:rPr>
          <w:rFonts w:ascii="Arial" w:cs="Arial" w:eastAsia="Arial" w:hAnsi="Arial"/>
          <w:sz w:val="21"/>
          <w:szCs w:val="21"/>
          <w:color w:val="auto"/>
        </w:rPr>
      </w:pPr>
    </w:p>
    <w:p>
      <w:pPr>
        <w:ind w:left="2140" w:hanging="682"/>
        <w:spacing w:after="0"/>
        <w:tabs>
          <w:tab w:leader="none" w:pos="2140"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Participant has completed three years of participation in the Plan, and</w:t>
      </w:r>
    </w:p>
    <w:p>
      <w:pPr>
        <w:spacing w:after="0" w:line="233" w:lineRule="exact"/>
        <w:rPr>
          <w:rFonts w:ascii="Arial" w:cs="Arial" w:eastAsia="Arial" w:hAnsi="Arial"/>
          <w:sz w:val="22"/>
          <w:szCs w:val="22"/>
          <w:color w:val="auto"/>
        </w:rPr>
      </w:pPr>
    </w:p>
    <w:p>
      <w:pPr>
        <w:ind w:left="2100" w:hanging="642"/>
        <w:spacing w:after="0" w:line="251" w:lineRule="auto"/>
        <w:tabs>
          <w:tab w:leader="none" w:pos="2312"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Participant experiences a Separation from Service on or after his or her Approved Early Retirement Date and before his or her Normal Retirement Date.</w:t>
      </w:r>
    </w:p>
    <w:p>
      <w:pPr>
        <w:spacing w:after="0" w:line="194" w:lineRule="exact"/>
        <w:rPr>
          <w:rFonts w:ascii="Arial" w:cs="Arial" w:eastAsia="Arial" w:hAnsi="Arial"/>
          <w:sz w:val="22"/>
          <w:szCs w:val="22"/>
          <w:color w:val="auto"/>
        </w:rPr>
      </w:pPr>
    </w:p>
    <w:p>
      <w:pPr>
        <w:jc w:val="both"/>
        <w:ind w:left="1460" w:hanging="650"/>
        <w:spacing w:after="0" w:line="237" w:lineRule="auto"/>
        <w:tabs>
          <w:tab w:leader="none" w:pos="1575" w:val="left"/>
        </w:tabs>
        <w:numPr>
          <w:ilvl w:val="0"/>
          <w:numId w:val="87"/>
        </w:numPr>
        <w:rPr>
          <w:rFonts w:ascii="Arial" w:cs="Arial" w:eastAsia="Arial" w:hAnsi="Arial"/>
          <w:sz w:val="21"/>
          <w:szCs w:val="21"/>
          <w:color w:val="auto"/>
        </w:rPr>
      </w:pPr>
      <w:r>
        <w:rPr>
          <w:rFonts w:ascii="Arial" w:cs="Arial" w:eastAsia="Arial" w:hAnsi="Arial"/>
          <w:sz w:val="22"/>
          <w:szCs w:val="22"/>
          <w:b w:val="1"/>
          <w:bCs w:val="1"/>
          <w:u w:val="single" w:color="auto"/>
          <w:color w:val="auto"/>
        </w:rPr>
        <w:t>Benefit</w:t>
      </w:r>
      <w:r>
        <w:rPr>
          <w:rFonts w:ascii="Arial" w:cs="Arial" w:eastAsia="Arial" w:hAnsi="Arial"/>
          <w:sz w:val="22"/>
          <w:szCs w:val="22"/>
          <w:color w:val="auto"/>
        </w:rPr>
        <w:t>. A Participant's Approved Early Retirement Benefit shall be the benefit in paragraph (2)</w:t>
      </w:r>
      <w:r>
        <w:rPr>
          <w:rFonts w:ascii="Arial" w:cs="Arial" w:eastAsia="Arial" w:hAnsi="Arial"/>
          <w:sz w:val="22"/>
          <w:szCs w:val="22"/>
          <w:b w:val="1"/>
          <w:bCs w:val="1"/>
          <w:color w:val="auto"/>
        </w:rPr>
        <w:t xml:space="preserve"> </w:t>
      </w:r>
      <w:r>
        <w:rPr>
          <w:rFonts w:ascii="Arial" w:cs="Arial" w:eastAsia="Arial" w:hAnsi="Arial"/>
          <w:sz w:val="22"/>
          <w:szCs w:val="22"/>
          <w:color w:val="auto"/>
        </w:rPr>
        <w:t>below unless prior to Separation from Service, the Participant has applied in writing to receive the benefit in paragraph (1) below in lieu of the benefit in paragraph (2) below and the Committee has approved such request; provided that no such request shall become effective until 12 months after the date it is received by the Committee.</w:t>
      </w:r>
    </w:p>
    <w:p>
      <w:pPr>
        <w:spacing w:after="0" w:line="215" w:lineRule="exact"/>
        <w:rPr>
          <w:rFonts w:ascii="Arial" w:cs="Arial" w:eastAsia="Arial" w:hAnsi="Arial"/>
          <w:sz w:val="21"/>
          <w:szCs w:val="21"/>
          <w:color w:val="auto"/>
        </w:rPr>
      </w:pPr>
    </w:p>
    <w:p>
      <w:pPr>
        <w:jc w:val="both"/>
        <w:ind w:left="2100" w:hanging="642"/>
        <w:spacing w:after="0"/>
        <w:tabs>
          <w:tab w:leader="none" w:pos="2201"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Participant's Normal Survivor Benefit, which shall be effective on the first day of the month following the Participant's death and be paid or commence as soon as practicable, but no later than 90 days, after the Participant's death.</w:t>
      </w:r>
    </w:p>
    <w:p>
      <w:pPr>
        <w:spacing w:after="0" w:line="213" w:lineRule="exact"/>
        <w:rPr>
          <w:rFonts w:ascii="Arial" w:cs="Arial" w:eastAsia="Arial" w:hAnsi="Arial"/>
          <w:sz w:val="22"/>
          <w:szCs w:val="22"/>
          <w:color w:val="auto"/>
        </w:rPr>
      </w:pPr>
    </w:p>
    <w:p>
      <w:pPr>
        <w:jc w:val="both"/>
        <w:ind w:left="2100" w:hanging="642"/>
        <w:spacing w:after="0" w:line="238" w:lineRule="auto"/>
        <w:tabs>
          <w:tab w:leader="none" w:pos="2300"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Participant's Normal Retirement Benefit multiplied by the Early Retirement Factor applicable at the Participant's age as of his or her Approved Early Retirement Date, which shall be effective on the first day of the month following his or her Separation from Service and be paid 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38873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510" w:right="919" w:bottom="1440" w:gutter="0" w:footer="0" w:header="0"/>
        </w:sectPr>
      </w:pPr>
    </w:p>
    <w:bookmarkStart w:id="94" w:name="page95"/>
    <w:bookmarkEnd w:id="94"/>
    <w:p>
      <w:pPr>
        <w:ind w:left="2100"/>
        <w:spacing w:after="0"/>
        <w:rPr>
          <w:sz w:val="20"/>
          <w:szCs w:val="20"/>
          <w:color w:val="auto"/>
        </w:rPr>
      </w:pPr>
      <w:r>
        <w:rPr>
          <w:rFonts w:ascii="Arial" w:cs="Arial" w:eastAsia="Arial" w:hAnsi="Arial"/>
          <w:sz w:val="22"/>
          <w:szCs w:val="22"/>
          <w:color w:val="auto"/>
        </w:rPr>
        <w:t>commence within 90 days following his or her Separation from Service.</w:t>
      </w:r>
    </w:p>
    <w:p>
      <w:pPr>
        <w:spacing w:after="0" w:line="227"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b w:val="1"/>
          <w:bCs w:val="1"/>
          <w:color w:val="auto"/>
        </w:rPr>
        <w:t>4.05</w:t>
      </w:r>
      <w:r>
        <w:rPr>
          <w:sz w:val="20"/>
          <w:szCs w:val="20"/>
          <w:color w:val="auto"/>
        </w:rPr>
        <w:tab/>
      </w:r>
      <w:r>
        <w:rPr>
          <w:rFonts w:ascii="Arial" w:cs="Arial" w:eastAsia="Arial" w:hAnsi="Arial"/>
          <w:sz w:val="19"/>
          <w:szCs w:val="19"/>
          <w:b w:val="1"/>
          <w:bCs w:val="1"/>
          <w:u w:val="single" w:color="auto"/>
          <w:color w:val="auto"/>
        </w:rPr>
        <w:t>Involuntary Separation Benefit.</w:t>
      </w:r>
    </w:p>
    <w:p>
      <w:pPr>
        <w:spacing w:after="0" w:line="245" w:lineRule="exact"/>
        <w:rPr>
          <w:sz w:val="20"/>
          <w:szCs w:val="20"/>
          <w:color w:val="auto"/>
        </w:rPr>
      </w:pPr>
    </w:p>
    <w:p>
      <w:pPr>
        <w:ind w:left="1460" w:hanging="650"/>
        <w:spacing w:after="0" w:line="256" w:lineRule="auto"/>
        <w:tabs>
          <w:tab w:leader="none" w:pos="1953" w:val="left"/>
        </w:tabs>
        <w:numPr>
          <w:ilvl w:val="0"/>
          <w:numId w:val="88"/>
        </w:numPr>
        <w:rPr>
          <w:rFonts w:ascii="Arial" w:cs="Arial" w:eastAsia="Arial" w:hAnsi="Arial"/>
          <w:sz w:val="21"/>
          <w:szCs w:val="21"/>
          <w:color w:val="auto"/>
        </w:rPr>
      </w:pPr>
      <w:r>
        <w:rPr>
          <w:rFonts w:ascii="Arial" w:cs="Arial" w:eastAsia="Arial" w:hAnsi="Arial"/>
          <w:sz w:val="22"/>
          <w:szCs w:val="22"/>
          <w:b w:val="1"/>
          <w:bCs w:val="1"/>
          <w:u w:val="single" w:color="auto"/>
          <w:color w:val="auto"/>
        </w:rPr>
        <w:t>Eligibility</w:t>
      </w:r>
      <w:r>
        <w:rPr>
          <w:rFonts w:ascii="Arial" w:cs="Arial" w:eastAsia="Arial" w:hAnsi="Arial"/>
          <w:sz w:val="22"/>
          <w:szCs w:val="22"/>
          <w:color w:val="auto"/>
        </w:rPr>
        <w:t>. A Participant who meets the following requirements shall be entitled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Involuntary Separation Benefit described in subsection (b) below:</w:t>
      </w:r>
    </w:p>
    <w:p>
      <w:pPr>
        <w:spacing w:after="0" w:line="195" w:lineRule="exact"/>
        <w:rPr>
          <w:rFonts w:ascii="Arial" w:cs="Arial" w:eastAsia="Arial" w:hAnsi="Arial"/>
          <w:sz w:val="21"/>
          <w:szCs w:val="21"/>
          <w:color w:val="auto"/>
        </w:rPr>
      </w:pPr>
    </w:p>
    <w:p>
      <w:pPr>
        <w:ind w:left="2140" w:hanging="682"/>
        <w:spacing w:after="0"/>
        <w:tabs>
          <w:tab w:leader="none" w:pos="2140"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The Participant has completed three years of participation in the Plan, and</w:t>
      </w:r>
    </w:p>
    <w:p>
      <w:pPr>
        <w:spacing w:after="0" w:line="233" w:lineRule="exact"/>
        <w:rPr>
          <w:rFonts w:ascii="Arial" w:cs="Arial" w:eastAsia="Arial" w:hAnsi="Arial"/>
          <w:sz w:val="22"/>
          <w:szCs w:val="22"/>
          <w:color w:val="auto"/>
        </w:rPr>
      </w:pPr>
    </w:p>
    <w:p>
      <w:pPr>
        <w:ind w:left="2080" w:hanging="622"/>
        <w:spacing w:after="0"/>
        <w:tabs>
          <w:tab w:leader="none" w:pos="2080"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The Participant experiences an involuntary Separation from Service.</w:t>
      </w:r>
    </w:p>
    <w:p>
      <w:pPr>
        <w:spacing w:after="0" w:line="227" w:lineRule="exact"/>
        <w:rPr>
          <w:rFonts w:ascii="Arial" w:cs="Arial" w:eastAsia="Arial" w:hAnsi="Arial"/>
          <w:sz w:val="22"/>
          <w:szCs w:val="22"/>
          <w:color w:val="auto"/>
        </w:rPr>
      </w:pPr>
    </w:p>
    <w:p>
      <w:pPr>
        <w:jc w:val="both"/>
        <w:ind w:left="1460" w:hanging="650"/>
        <w:spacing w:after="0" w:line="237" w:lineRule="auto"/>
        <w:tabs>
          <w:tab w:leader="none" w:pos="1521" w:val="left"/>
        </w:tabs>
        <w:numPr>
          <w:ilvl w:val="0"/>
          <w:numId w:val="88"/>
        </w:numPr>
        <w:rPr>
          <w:rFonts w:ascii="Arial" w:cs="Arial" w:eastAsia="Arial" w:hAnsi="Arial"/>
          <w:sz w:val="21"/>
          <w:szCs w:val="21"/>
          <w:color w:val="auto"/>
        </w:rPr>
      </w:pPr>
      <w:r>
        <w:rPr>
          <w:rFonts w:ascii="Arial" w:cs="Arial" w:eastAsia="Arial" w:hAnsi="Arial"/>
          <w:sz w:val="22"/>
          <w:szCs w:val="22"/>
          <w:b w:val="1"/>
          <w:bCs w:val="1"/>
          <w:u w:val="single" w:color="auto"/>
          <w:color w:val="auto"/>
        </w:rPr>
        <w:t>Benefit</w:t>
      </w:r>
      <w:r>
        <w:rPr>
          <w:rFonts w:ascii="Arial" w:cs="Arial" w:eastAsia="Arial" w:hAnsi="Arial"/>
          <w:sz w:val="22"/>
          <w:szCs w:val="22"/>
          <w:color w:val="auto"/>
        </w:rPr>
        <w:t>. A Participant's Involuntary Separation Benefit shall be a lump sum payment which is the</w:t>
      </w:r>
      <w:r>
        <w:rPr>
          <w:rFonts w:ascii="Arial" w:cs="Arial" w:eastAsia="Arial" w:hAnsi="Arial"/>
          <w:sz w:val="22"/>
          <w:szCs w:val="22"/>
          <w:b w:val="1"/>
          <w:bCs w:val="1"/>
          <w:color w:val="auto"/>
        </w:rPr>
        <w:t xml:space="preserve"> </w:t>
      </w:r>
      <w:r>
        <w:rPr>
          <w:rFonts w:ascii="Arial" w:cs="Arial" w:eastAsia="Arial" w:hAnsi="Arial"/>
          <w:sz w:val="22"/>
          <w:szCs w:val="22"/>
          <w:color w:val="auto"/>
        </w:rPr>
        <w:t>greater of the Actuarial Equivalent of the benefits defined in paragraph (1) below or the Actuarial Equivalent of the benefits defined in paragraph (2) below. The Involuntary Separation Benefit shall be paid as soon as practicable, but no later than 90 days, after the date of the Participant's involuntary Separation from Service.</w:t>
      </w:r>
    </w:p>
    <w:p>
      <w:pPr>
        <w:spacing w:after="0" w:line="215" w:lineRule="exact"/>
        <w:rPr>
          <w:rFonts w:ascii="Arial" w:cs="Arial" w:eastAsia="Arial" w:hAnsi="Arial"/>
          <w:sz w:val="21"/>
          <w:szCs w:val="21"/>
          <w:color w:val="auto"/>
        </w:rPr>
      </w:pPr>
    </w:p>
    <w:p>
      <w:pPr>
        <w:ind w:left="2100" w:hanging="642"/>
        <w:spacing w:after="0" w:line="328" w:lineRule="auto"/>
        <w:tabs>
          <w:tab w:leader="none" w:pos="2316" w:val="left"/>
        </w:tabs>
        <w:numPr>
          <w:ilvl w:val="1"/>
          <w:numId w:val="88"/>
        </w:numPr>
        <w:rPr>
          <w:rFonts w:ascii="Arial" w:cs="Arial" w:eastAsia="Arial" w:hAnsi="Arial"/>
          <w:sz w:val="19"/>
          <w:szCs w:val="19"/>
          <w:color w:val="auto"/>
        </w:rPr>
      </w:pPr>
      <w:r>
        <w:rPr>
          <w:rFonts w:ascii="Arial" w:cs="Arial" w:eastAsia="Arial" w:hAnsi="Arial"/>
          <w:sz w:val="19"/>
          <w:szCs w:val="19"/>
          <w:color w:val="auto"/>
        </w:rPr>
        <w:t>The Participant's Prorated Survivor Benefit calculated as of the date of the involuntary Separation from Service as if commencing at the time of Participant's death.</w:t>
      </w:r>
    </w:p>
    <w:p>
      <w:pPr>
        <w:spacing w:after="0" w:line="132" w:lineRule="exact"/>
        <w:rPr>
          <w:rFonts w:ascii="Arial" w:cs="Arial" w:eastAsia="Arial" w:hAnsi="Arial"/>
          <w:sz w:val="19"/>
          <w:szCs w:val="19"/>
          <w:color w:val="auto"/>
        </w:rPr>
      </w:pPr>
    </w:p>
    <w:p>
      <w:pPr>
        <w:ind w:left="2100" w:hanging="642"/>
        <w:spacing w:after="0" w:line="328" w:lineRule="auto"/>
        <w:tabs>
          <w:tab w:leader="none" w:pos="2235" w:val="left"/>
        </w:tabs>
        <w:numPr>
          <w:ilvl w:val="1"/>
          <w:numId w:val="88"/>
        </w:numPr>
        <w:rPr>
          <w:rFonts w:ascii="Arial" w:cs="Arial" w:eastAsia="Arial" w:hAnsi="Arial"/>
          <w:sz w:val="19"/>
          <w:szCs w:val="19"/>
          <w:color w:val="auto"/>
        </w:rPr>
      </w:pPr>
      <w:r>
        <w:rPr>
          <w:rFonts w:ascii="Arial" w:cs="Arial" w:eastAsia="Arial" w:hAnsi="Arial"/>
          <w:sz w:val="19"/>
          <w:szCs w:val="19"/>
          <w:color w:val="auto"/>
        </w:rPr>
        <w:t>The Participant's Prorated Retirement Benefit calculated as of the date of the involuntary Separation from Service as if commencing on the Participant's Normal Retirement Date.</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color w:val="auto"/>
        </w:rPr>
        <w:t>4.06</w:t>
      </w:r>
      <w:r>
        <w:rPr>
          <w:sz w:val="20"/>
          <w:szCs w:val="20"/>
          <w:color w:val="auto"/>
        </w:rPr>
        <w:tab/>
      </w:r>
      <w:r>
        <w:rPr>
          <w:rFonts w:ascii="Arial" w:cs="Arial" w:eastAsia="Arial" w:hAnsi="Arial"/>
          <w:sz w:val="19"/>
          <w:szCs w:val="19"/>
          <w:b w:val="1"/>
          <w:bCs w:val="1"/>
          <w:u w:val="single" w:color="auto"/>
          <w:color w:val="auto"/>
        </w:rPr>
        <w:t>Participation Termination Benefit</w:t>
      </w:r>
      <w:r>
        <w:rPr>
          <w:rFonts w:ascii="Arial" w:cs="Arial" w:eastAsia="Arial" w:hAnsi="Arial"/>
          <w:sz w:val="19"/>
          <w:szCs w:val="19"/>
          <w:color w:val="auto"/>
        </w:rPr>
        <w:t>.</w:t>
      </w:r>
    </w:p>
    <w:p>
      <w:pPr>
        <w:spacing w:after="0" w:line="245" w:lineRule="exact"/>
        <w:rPr>
          <w:sz w:val="20"/>
          <w:szCs w:val="20"/>
          <w:color w:val="auto"/>
        </w:rPr>
      </w:pPr>
    </w:p>
    <w:p>
      <w:pPr>
        <w:ind w:left="1460" w:hanging="650"/>
        <w:spacing w:after="0" w:line="256" w:lineRule="auto"/>
        <w:tabs>
          <w:tab w:leader="none" w:pos="1953" w:val="left"/>
        </w:tabs>
        <w:numPr>
          <w:ilvl w:val="0"/>
          <w:numId w:val="89"/>
        </w:numPr>
        <w:rPr>
          <w:rFonts w:ascii="Arial" w:cs="Arial" w:eastAsia="Arial" w:hAnsi="Arial"/>
          <w:sz w:val="21"/>
          <w:szCs w:val="21"/>
          <w:color w:val="auto"/>
        </w:rPr>
      </w:pPr>
      <w:r>
        <w:rPr>
          <w:rFonts w:ascii="Arial" w:cs="Arial" w:eastAsia="Arial" w:hAnsi="Arial"/>
          <w:sz w:val="22"/>
          <w:szCs w:val="22"/>
          <w:b w:val="1"/>
          <w:bCs w:val="1"/>
          <w:u w:val="single" w:color="auto"/>
          <w:color w:val="auto"/>
        </w:rPr>
        <w:t>Eligibility</w:t>
      </w:r>
      <w:r>
        <w:rPr>
          <w:rFonts w:ascii="Arial" w:cs="Arial" w:eastAsia="Arial" w:hAnsi="Arial"/>
          <w:sz w:val="22"/>
          <w:szCs w:val="22"/>
          <w:color w:val="auto"/>
        </w:rPr>
        <w:t>. A Participant who meets the following requirements shall be entitled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Termination Benefit described in subsection (b) below:</w:t>
      </w:r>
    </w:p>
    <w:p>
      <w:pPr>
        <w:spacing w:after="0" w:line="195" w:lineRule="exact"/>
        <w:rPr>
          <w:rFonts w:ascii="Arial" w:cs="Arial" w:eastAsia="Arial" w:hAnsi="Arial"/>
          <w:sz w:val="21"/>
          <w:szCs w:val="21"/>
          <w:color w:val="auto"/>
        </w:rPr>
      </w:pPr>
    </w:p>
    <w:p>
      <w:pPr>
        <w:ind w:left="2140" w:hanging="682"/>
        <w:spacing w:after="0"/>
        <w:tabs>
          <w:tab w:leader="none" w:pos="2140"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Participant has completed three years of participation in the Plan, and</w:t>
      </w:r>
    </w:p>
    <w:p>
      <w:pPr>
        <w:spacing w:after="0" w:line="233" w:lineRule="exact"/>
        <w:rPr>
          <w:sz w:val="20"/>
          <w:szCs w:val="20"/>
          <w:color w:val="auto"/>
        </w:rPr>
      </w:pPr>
    </w:p>
    <w:p>
      <w:pPr>
        <w:jc w:val="both"/>
        <w:ind w:left="1460" w:hanging="650"/>
        <w:spacing w:after="0"/>
        <w:tabs>
          <w:tab w:leader="none" w:pos="1585"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Participant's participation in the Plan is terminated prior to the Participant's Separation from Service as a result of the determination by the Chief Executive Officer that the Participant is no longer eligible to participate in the Plan.</w:t>
      </w:r>
    </w:p>
    <w:p>
      <w:pPr>
        <w:spacing w:after="0" w:line="207" w:lineRule="exact"/>
        <w:rPr>
          <w:sz w:val="20"/>
          <w:szCs w:val="20"/>
          <w:color w:val="auto"/>
        </w:rPr>
      </w:pPr>
    </w:p>
    <w:p>
      <w:pPr>
        <w:jc w:val="both"/>
        <w:ind w:left="1460" w:hanging="650"/>
        <w:spacing w:after="0" w:line="280" w:lineRule="auto"/>
        <w:tabs>
          <w:tab w:leader="none" w:pos="1656" w:val="left"/>
        </w:tabs>
        <w:numPr>
          <w:ilvl w:val="0"/>
          <w:numId w:val="91"/>
        </w:numPr>
        <w:rPr>
          <w:rFonts w:ascii="Arial" w:cs="Arial" w:eastAsia="Arial" w:hAnsi="Arial"/>
          <w:sz w:val="19"/>
          <w:szCs w:val="19"/>
          <w:color w:val="auto"/>
        </w:rPr>
      </w:pPr>
      <w:r>
        <w:rPr>
          <w:rFonts w:ascii="Arial" w:cs="Arial" w:eastAsia="Arial" w:hAnsi="Arial"/>
          <w:sz w:val="19"/>
          <w:szCs w:val="19"/>
          <w:b w:val="1"/>
          <w:bCs w:val="1"/>
          <w:u w:val="single" w:color="auto"/>
          <w:color w:val="auto"/>
        </w:rPr>
        <w:t>Benefit</w:t>
      </w:r>
      <w:r>
        <w:rPr>
          <w:rFonts w:ascii="Arial" w:cs="Arial" w:eastAsia="Arial" w:hAnsi="Arial"/>
          <w:sz w:val="19"/>
          <w:szCs w:val="19"/>
          <w:color w:val="auto"/>
        </w:rPr>
        <w:t>. A Participant's Participation Termination Benefit shall be the benefit in paragraph (1)</w:t>
      </w:r>
      <w:r>
        <w:rPr>
          <w:rFonts w:ascii="Arial" w:cs="Arial" w:eastAsia="Arial" w:hAnsi="Arial"/>
          <w:sz w:val="19"/>
          <w:szCs w:val="19"/>
          <w:b w:val="1"/>
          <w:bCs w:val="1"/>
          <w:color w:val="auto"/>
        </w:rPr>
        <w:t xml:space="preserve"> </w:t>
      </w:r>
      <w:r>
        <w:rPr>
          <w:rFonts w:ascii="Arial" w:cs="Arial" w:eastAsia="Arial" w:hAnsi="Arial"/>
          <w:sz w:val="19"/>
          <w:szCs w:val="19"/>
          <w:color w:val="auto"/>
        </w:rPr>
        <w:t>below prior to the Participant's Separation from Service. Upon the Participant's Separation from Service, it shall be the benefit in paragraph (2) below unless the Participant has applied in writing to receive the benefit in paragraph (1) below in lieu of the benefit in paragraph (2) below and the Committee has approved such request; provided that no such request shall become effective until 12 months after the date it is received by the Committee.</w:t>
      </w:r>
    </w:p>
    <w:p>
      <w:pPr>
        <w:spacing w:after="0" w:line="178" w:lineRule="exact"/>
        <w:rPr>
          <w:rFonts w:ascii="Arial" w:cs="Arial" w:eastAsia="Arial" w:hAnsi="Arial"/>
          <w:sz w:val="19"/>
          <w:szCs w:val="19"/>
          <w:color w:val="auto"/>
        </w:rPr>
      </w:pPr>
    </w:p>
    <w:p>
      <w:pPr>
        <w:ind w:left="2100" w:hanging="642"/>
        <w:spacing w:after="0" w:line="251" w:lineRule="auto"/>
        <w:tabs>
          <w:tab w:leader="none" w:pos="2229" w:val="left"/>
        </w:tabs>
        <w:numPr>
          <w:ilvl w:val="1"/>
          <w:numId w:val="91"/>
        </w:numPr>
        <w:rPr>
          <w:rFonts w:ascii="Arial" w:cs="Arial" w:eastAsia="Arial" w:hAnsi="Arial"/>
          <w:sz w:val="22"/>
          <w:szCs w:val="22"/>
          <w:color w:val="auto"/>
        </w:rPr>
      </w:pPr>
      <w:r>
        <w:rPr>
          <w:rFonts w:ascii="Arial" w:cs="Arial" w:eastAsia="Arial" w:hAnsi="Arial"/>
          <w:sz w:val="22"/>
          <w:szCs w:val="22"/>
          <w:color w:val="auto"/>
        </w:rPr>
        <w:t>The Participant's Prorated Survivor Benefit calculated as of the date that the Participant's participation in the Plan was terminated, which shall be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38873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0">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510" w:right="919" w:bottom="1440" w:gutter="0" w:footer="0" w:header="0"/>
        </w:sectPr>
      </w:pPr>
    </w:p>
    <w:bookmarkStart w:id="95" w:name="page96"/>
    <w:bookmarkEnd w:id="95"/>
    <w:p>
      <w:pPr>
        <w:ind w:left="2100"/>
        <w:spacing w:after="0" w:line="328" w:lineRule="auto"/>
        <w:rPr>
          <w:sz w:val="20"/>
          <w:szCs w:val="20"/>
          <w:color w:val="auto"/>
        </w:rPr>
      </w:pPr>
      <w:r>
        <w:rPr>
          <w:rFonts w:ascii="Arial" w:cs="Arial" w:eastAsia="Arial" w:hAnsi="Arial"/>
          <w:sz w:val="19"/>
          <w:szCs w:val="19"/>
          <w:color w:val="auto"/>
        </w:rPr>
        <w:t>effective on the first day of the month following the Participant's death and be paid or commence as soon as practicable, but not later than 90 days, after the Participant's death.</w:t>
      </w:r>
    </w:p>
    <w:p>
      <w:pPr>
        <w:spacing w:after="0" w:line="132" w:lineRule="exact"/>
        <w:rPr>
          <w:sz w:val="20"/>
          <w:szCs w:val="20"/>
          <w:color w:val="auto"/>
        </w:rPr>
      </w:pPr>
    </w:p>
    <w:p>
      <w:pPr>
        <w:jc w:val="both"/>
        <w:ind w:left="2100" w:hanging="642"/>
        <w:spacing w:after="0" w:line="245" w:lineRule="auto"/>
        <w:tabs>
          <w:tab w:leader="none" w:pos="2148" w:val="left"/>
        </w:tabs>
        <w:numPr>
          <w:ilvl w:val="0"/>
          <w:numId w:val="92"/>
        </w:numPr>
        <w:rPr>
          <w:rFonts w:ascii="Arial" w:cs="Arial" w:eastAsia="Arial" w:hAnsi="Arial"/>
          <w:sz w:val="21"/>
          <w:szCs w:val="21"/>
          <w:color w:val="auto"/>
        </w:rPr>
      </w:pPr>
      <w:r>
        <w:rPr>
          <w:rFonts w:ascii="Arial" w:cs="Arial" w:eastAsia="Arial" w:hAnsi="Arial"/>
          <w:sz w:val="21"/>
          <w:szCs w:val="21"/>
          <w:color w:val="auto"/>
        </w:rPr>
        <w:t>The Participant's Prorated Retirement Benefit calculated as of the date that the Participant's participation in the Plan was terminated and as commencing on the Participant's Normal Retirement Date or Approved Early Retirement Date, whichever is applicable, provided that if the benefit is paid or commences on an Approved Early Retirement Date it shall be multiplied by the Early Retirement Factor applicable to the Participant's age as of his or her Approved Early Retirement Date. This benefit shall be effective on the first day of the month following, and be paid or commence as soon as practicable, but not later than 90 days, following the later of the Participant attaining age 55 or his or her Separation from Service.</w:t>
      </w:r>
    </w:p>
    <w:p>
      <w:pPr>
        <w:spacing w:after="0" w:line="206"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color w:val="auto"/>
        </w:rPr>
        <w:t>4.07</w:t>
      </w:r>
      <w:r>
        <w:rPr>
          <w:sz w:val="20"/>
          <w:szCs w:val="20"/>
          <w:color w:val="auto"/>
        </w:rPr>
        <w:tab/>
      </w:r>
      <w:r>
        <w:rPr>
          <w:rFonts w:ascii="Arial" w:cs="Arial" w:eastAsia="Arial" w:hAnsi="Arial"/>
          <w:sz w:val="19"/>
          <w:szCs w:val="19"/>
          <w:b w:val="1"/>
          <w:bCs w:val="1"/>
          <w:u w:val="single" w:color="auto"/>
          <w:color w:val="auto"/>
        </w:rPr>
        <w:t>Plan Termination Benefit</w:t>
      </w:r>
      <w:r>
        <w:rPr>
          <w:rFonts w:ascii="Arial" w:cs="Arial" w:eastAsia="Arial" w:hAnsi="Arial"/>
          <w:sz w:val="19"/>
          <w:szCs w:val="19"/>
          <w:color w:val="auto"/>
        </w:rPr>
        <w:t>.</w:t>
      </w:r>
    </w:p>
    <w:p>
      <w:pPr>
        <w:spacing w:after="0" w:line="253" w:lineRule="exact"/>
        <w:rPr>
          <w:sz w:val="20"/>
          <w:szCs w:val="20"/>
          <w:color w:val="auto"/>
        </w:rPr>
      </w:pPr>
    </w:p>
    <w:p>
      <w:pPr>
        <w:jc w:val="both"/>
        <w:ind w:left="1460" w:hanging="650"/>
        <w:spacing w:after="0" w:line="248" w:lineRule="auto"/>
        <w:tabs>
          <w:tab w:leader="none" w:pos="1602" w:val="left"/>
        </w:tabs>
        <w:numPr>
          <w:ilvl w:val="0"/>
          <w:numId w:val="93"/>
        </w:numPr>
        <w:rPr>
          <w:rFonts w:ascii="Arial" w:cs="Arial" w:eastAsia="Arial" w:hAnsi="Arial"/>
          <w:sz w:val="21"/>
          <w:szCs w:val="21"/>
          <w:color w:val="auto"/>
        </w:rPr>
      </w:pPr>
      <w:r>
        <w:rPr>
          <w:rFonts w:ascii="Arial" w:cs="Arial" w:eastAsia="Arial" w:hAnsi="Arial"/>
          <w:sz w:val="21"/>
          <w:szCs w:val="21"/>
          <w:b w:val="1"/>
          <w:bCs w:val="1"/>
          <w:u w:val="single" w:color="auto"/>
          <w:color w:val="auto"/>
        </w:rPr>
        <w:t>Eligibility</w:t>
      </w:r>
      <w:r>
        <w:rPr>
          <w:rFonts w:ascii="Arial" w:cs="Arial" w:eastAsia="Arial" w:hAnsi="Arial"/>
          <w:sz w:val="21"/>
          <w:szCs w:val="21"/>
          <w:color w:val="auto"/>
        </w:rPr>
        <w:t>. A Participant of the Plan as of the date the Plan is terminated by the Committee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entitled to the Plan Termination Benefit described in subsection (b) below; provided, however, that for this Section 4.07 termination of the Plan shall mean that benefits payable under the Plan shall be frozen at the date of termination; provided further that termination shall not have the same meaning as provided in Treasury Regulation § l.409A-3(j)(4)(ix).</w:t>
      </w:r>
    </w:p>
    <w:p>
      <w:pPr>
        <w:spacing w:after="0" w:line="210" w:lineRule="exact"/>
        <w:rPr>
          <w:rFonts w:ascii="Arial" w:cs="Arial" w:eastAsia="Arial" w:hAnsi="Arial"/>
          <w:sz w:val="21"/>
          <w:szCs w:val="21"/>
          <w:color w:val="auto"/>
        </w:rPr>
      </w:pPr>
    </w:p>
    <w:p>
      <w:pPr>
        <w:jc w:val="both"/>
        <w:ind w:left="1460" w:hanging="650"/>
        <w:spacing w:after="0" w:line="278" w:lineRule="auto"/>
        <w:tabs>
          <w:tab w:leader="none" w:pos="1562" w:val="left"/>
        </w:tabs>
        <w:numPr>
          <w:ilvl w:val="0"/>
          <w:numId w:val="93"/>
        </w:numPr>
        <w:rPr>
          <w:rFonts w:ascii="Arial" w:cs="Arial" w:eastAsia="Arial" w:hAnsi="Arial"/>
          <w:sz w:val="19"/>
          <w:szCs w:val="19"/>
          <w:color w:val="auto"/>
        </w:rPr>
      </w:pPr>
      <w:r>
        <w:rPr>
          <w:rFonts w:ascii="Arial" w:cs="Arial" w:eastAsia="Arial" w:hAnsi="Arial"/>
          <w:sz w:val="19"/>
          <w:szCs w:val="19"/>
          <w:b w:val="1"/>
          <w:bCs w:val="1"/>
          <w:u w:val="single" w:color="auto"/>
          <w:color w:val="auto"/>
        </w:rPr>
        <w:t>Benefit</w:t>
      </w:r>
      <w:r>
        <w:rPr>
          <w:rFonts w:ascii="Arial" w:cs="Arial" w:eastAsia="Arial" w:hAnsi="Arial"/>
          <w:sz w:val="19"/>
          <w:szCs w:val="19"/>
          <w:color w:val="auto"/>
        </w:rPr>
        <w:t>. A Participant's Plan Termination Benefit shall be the benefit in paragraph (1) below prior to</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Participant's Separation from Service. Upon the Participant's Separation from Service, it shall be the benefit in paragraph (2) below unless prior to Separation from Service, the Participant has applied in writing to receive the benefit in paragraph (1) below in lieu of the benefit in paragraph (2) below and the Committee has approved such request; provided that no such request shall become effective until 12 months after the date it is received by the Committee.</w:t>
      </w:r>
    </w:p>
    <w:p>
      <w:pPr>
        <w:spacing w:after="0" w:line="189" w:lineRule="exact"/>
        <w:rPr>
          <w:rFonts w:ascii="Arial" w:cs="Arial" w:eastAsia="Arial" w:hAnsi="Arial"/>
          <w:sz w:val="19"/>
          <w:szCs w:val="19"/>
          <w:color w:val="auto"/>
        </w:rPr>
      </w:pPr>
    </w:p>
    <w:p>
      <w:pPr>
        <w:jc w:val="both"/>
        <w:ind w:left="2120" w:hanging="656"/>
        <w:spacing w:after="0" w:line="292" w:lineRule="auto"/>
        <w:tabs>
          <w:tab w:leader="none" w:pos="2242" w:val="left"/>
        </w:tabs>
        <w:numPr>
          <w:ilvl w:val="1"/>
          <w:numId w:val="93"/>
        </w:numPr>
        <w:rPr>
          <w:rFonts w:ascii="Arial" w:cs="Arial" w:eastAsia="Arial" w:hAnsi="Arial"/>
          <w:sz w:val="19"/>
          <w:szCs w:val="19"/>
          <w:color w:val="auto"/>
        </w:rPr>
      </w:pPr>
      <w:r>
        <w:rPr>
          <w:rFonts w:ascii="Arial" w:cs="Arial" w:eastAsia="Arial" w:hAnsi="Arial"/>
          <w:sz w:val="19"/>
          <w:szCs w:val="19"/>
          <w:color w:val="auto"/>
        </w:rPr>
        <w:t>The Participant's Prorated Survivor Benefit calculated as of the Plan termination date, which shall be effective on the first day of the month following the Participant's death and be paid or commence as soon as practicable, but not later than 90 days, after the Participant's death.</w:t>
      </w:r>
    </w:p>
    <w:p>
      <w:pPr>
        <w:spacing w:after="0" w:line="161" w:lineRule="exact"/>
        <w:rPr>
          <w:rFonts w:ascii="Arial" w:cs="Arial" w:eastAsia="Arial" w:hAnsi="Arial"/>
          <w:sz w:val="19"/>
          <w:szCs w:val="19"/>
          <w:color w:val="auto"/>
        </w:rPr>
      </w:pPr>
    </w:p>
    <w:p>
      <w:pPr>
        <w:jc w:val="both"/>
        <w:ind w:left="2100" w:hanging="642"/>
        <w:spacing w:after="0" w:line="273" w:lineRule="auto"/>
        <w:tabs>
          <w:tab w:leader="none" w:pos="2155" w:val="left"/>
        </w:tabs>
        <w:numPr>
          <w:ilvl w:val="1"/>
          <w:numId w:val="93"/>
        </w:numPr>
        <w:rPr>
          <w:rFonts w:ascii="Arial" w:cs="Arial" w:eastAsia="Arial" w:hAnsi="Arial"/>
          <w:sz w:val="19"/>
          <w:szCs w:val="19"/>
          <w:color w:val="auto"/>
        </w:rPr>
      </w:pPr>
      <w:r>
        <w:rPr>
          <w:rFonts w:ascii="Arial" w:cs="Arial" w:eastAsia="Arial" w:hAnsi="Arial"/>
          <w:sz w:val="19"/>
          <w:szCs w:val="19"/>
          <w:color w:val="auto"/>
        </w:rPr>
        <w:t>The Participant's Prorated Retirement Benefit calculated as of the Plan termination date and as commencing on the later of the first day of the month following the Participant's Separation from Service or the date that would have qualified as, the Participant's Approved Early Retirement Date if he or she had remained employed as a Participant until such date and then received approval from the Chief Executive Officer for such early retirement, provided that if the benefit is paid or commences on such an early retirement date, it shall be multiplied by the Early Retirement Factor applicable to the Participant's age as of such early retirement date. This benefit shall be effective on the first day of the month following, and be paid or commence as soon as administratively practicable, but no later than 90 days, following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38873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510" w:right="919" w:bottom="1440" w:gutter="0" w:footer="0" w:header="0"/>
        </w:sectPr>
      </w:pPr>
    </w:p>
    <w:bookmarkStart w:id="96" w:name="page97"/>
    <w:bookmarkEnd w:id="96"/>
    <w:p>
      <w:pPr>
        <w:ind w:left="2100"/>
        <w:spacing w:after="0"/>
        <w:rPr>
          <w:sz w:val="20"/>
          <w:szCs w:val="20"/>
          <w:color w:val="auto"/>
        </w:rPr>
      </w:pPr>
      <w:r>
        <w:rPr>
          <w:rFonts w:ascii="Arial" w:cs="Arial" w:eastAsia="Arial" w:hAnsi="Arial"/>
          <w:sz w:val="21"/>
          <w:szCs w:val="21"/>
          <w:color w:val="auto"/>
        </w:rPr>
        <w:t>the later of the Participant attaining age 55 or his or her Separation from Service.</w:t>
      </w:r>
    </w:p>
    <w:p>
      <w:pPr>
        <w:spacing w:after="0" w:line="231"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color w:val="auto"/>
        </w:rPr>
        <w:t>4.08</w:t>
      </w:r>
      <w:r>
        <w:rPr>
          <w:sz w:val="20"/>
          <w:szCs w:val="20"/>
          <w:color w:val="auto"/>
        </w:rPr>
        <w:tab/>
      </w:r>
      <w:r>
        <w:rPr>
          <w:rFonts w:ascii="Arial" w:cs="Arial" w:eastAsia="Arial" w:hAnsi="Arial"/>
          <w:sz w:val="19"/>
          <w:szCs w:val="19"/>
          <w:b w:val="1"/>
          <w:bCs w:val="1"/>
          <w:u w:val="single" w:color="auto"/>
          <w:color w:val="auto"/>
        </w:rPr>
        <w:t>Change In Control Benefits</w:t>
      </w:r>
      <w:r>
        <w:rPr>
          <w:rFonts w:ascii="Arial" w:cs="Arial" w:eastAsia="Arial" w:hAnsi="Arial"/>
          <w:sz w:val="19"/>
          <w:szCs w:val="19"/>
          <w:u w:val="single" w:color="auto"/>
          <w:color w:val="auto"/>
        </w:rPr>
        <w:t>.</w:t>
      </w:r>
    </w:p>
    <w:p>
      <w:pPr>
        <w:spacing w:after="0" w:line="253" w:lineRule="exact"/>
        <w:rPr>
          <w:sz w:val="20"/>
          <w:szCs w:val="20"/>
          <w:color w:val="auto"/>
        </w:rPr>
      </w:pPr>
    </w:p>
    <w:p>
      <w:pPr>
        <w:ind w:left="1620" w:hanging="810"/>
        <w:spacing w:after="0"/>
        <w:tabs>
          <w:tab w:leader="none" w:pos="1620" w:val="left"/>
        </w:tabs>
        <w:numPr>
          <w:ilvl w:val="0"/>
          <w:numId w:val="94"/>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of Matson</w:t>
      </w:r>
      <w:r>
        <w:rPr>
          <w:rFonts w:ascii="Arial" w:cs="Arial" w:eastAsia="Arial" w:hAnsi="Arial"/>
          <w:sz w:val="19"/>
          <w:szCs w:val="19"/>
          <w:color w:val="auto"/>
        </w:rPr>
        <w:t>. Upon the occurrence of a Change In Control, as defined in Section</w:t>
      </w:r>
    </w:p>
    <w:p>
      <w:pPr>
        <w:spacing w:after="0" w:line="48" w:lineRule="exact"/>
        <w:rPr>
          <w:rFonts w:ascii="Arial" w:cs="Arial" w:eastAsia="Arial" w:hAnsi="Arial"/>
          <w:sz w:val="19"/>
          <w:szCs w:val="19"/>
          <w:color w:val="auto"/>
        </w:rPr>
      </w:pPr>
    </w:p>
    <w:p>
      <w:pPr>
        <w:jc w:val="both"/>
        <w:ind w:left="1460"/>
        <w:spacing w:after="0" w:line="259" w:lineRule="auto"/>
        <w:rPr>
          <w:rFonts w:ascii="Arial" w:cs="Arial" w:eastAsia="Arial" w:hAnsi="Arial"/>
          <w:sz w:val="19"/>
          <w:szCs w:val="19"/>
          <w:color w:val="auto"/>
        </w:rPr>
      </w:pPr>
      <w:r>
        <w:rPr>
          <w:rFonts w:ascii="Arial" w:cs="Arial" w:eastAsia="Arial" w:hAnsi="Arial"/>
          <w:sz w:val="20"/>
          <w:szCs w:val="20"/>
          <w:color w:val="auto"/>
        </w:rPr>
        <w:t>2.06, with respect to Matson, the provisions of paragraph (1) below shall apply unless the terms of such Change In Control provide, as a prerequisite to the consummation of the Change In Control, that the employer responsibilities under this Plan are to be assumed by the successor organization. In such latter case, the provisions of paragraph (2) below shall apply.</w:t>
      </w:r>
    </w:p>
    <w:p>
      <w:pPr>
        <w:spacing w:after="0" w:line="204" w:lineRule="exact"/>
        <w:rPr>
          <w:rFonts w:ascii="Arial" w:cs="Arial" w:eastAsia="Arial" w:hAnsi="Arial"/>
          <w:sz w:val="19"/>
          <w:szCs w:val="19"/>
          <w:color w:val="auto"/>
        </w:rPr>
      </w:pPr>
    </w:p>
    <w:p>
      <w:pPr>
        <w:jc w:val="both"/>
        <w:ind w:left="2100" w:hanging="642"/>
        <w:spacing w:after="0" w:line="245" w:lineRule="auto"/>
        <w:tabs>
          <w:tab w:leader="none" w:pos="2511" w:val="left"/>
        </w:tabs>
        <w:numPr>
          <w:ilvl w:val="1"/>
          <w:numId w:val="94"/>
        </w:numPr>
        <w:rPr>
          <w:rFonts w:ascii="Arial" w:cs="Arial" w:eastAsia="Arial" w:hAnsi="Arial"/>
          <w:sz w:val="21"/>
          <w:szCs w:val="21"/>
          <w:color w:val="auto"/>
        </w:rPr>
      </w:pPr>
      <w:r>
        <w:rPr>
          <w:rFonts w:ascii="Arial" w:cs="Arial" w:eastAsia="Arial" w:hAnsi="Arial"/>
          <w:sz w:val="21"/>
          <w:szCs w:val="21"/>
          <w:color w:val="auto"/>
        </w:rPr>
        <w:t>The Plan shall immediately and automatically terminate in accordance with Treasury Regulation § l.409A-3(j)(4)(ix) and each Participant shall become entitled to an Immediate Change In Control Benefit. The Immediate Change In Control Benefit shall be a lump sum payment which is the greater of the Actuarial Equivalent of the benefits defined in paragraph (b)(1) below or the Actuarial Equivalent of the benefits defined in (b)(2). The Immediate Change In Control Benefit shall be immediately due and shall be paid within thirty days of such Plan termination.</w:t>
      </w:r>
    </w:p>
    <w:p>
      <w:pPr>
        <w:spacing w:after="0" w:line="219" w:lineRule="exact"/>
        <w:rPr>
          <w:rFonts w:ascii="Arial" w:cs="Arial" w:eastAsia="Arial" w:hAnsi="Arial"/>
          <w:sz w:val="21"/>
          <w:szCs w:val="21"/>
          <w:color w:val="auto"/>
        </w:rPr>
      </w:pPr>
    </w:p>
    <w:p>
      <w:pPr>
        <w:jc w:val="both"/>
        <w:ind w:left="2100" w:hanging="642"/>
        <w:spacing w:after="0" w:line="269" w:lineRule="auto"/>
        <w:tabs>
          <w:tab w:leader="none" w:pos="2168" w:val="left"/>
        </w:tabs>
        <w:numPr>
          <w:ilvl w:val="1"/>
          <w:numId w:val="94"/>
        </w:numPr>
        <w:rPr>
          <w:rFonts w:ascii="Arial" w:cs="Arial" w:eastAsia="Arial" w:hAnsi="Arial"/>
          <w:sz w:val="19"/>
          <w:szCs w:val="19"/>
          <w:color w:val="auto"/>
        </w:rPr>
      </w:pPr>
      <w:r>
        <w:rPr>
          <w:rFonts w:ascii="Arial" w:cs="Arial" w:eastAsia="Arial" w:hAnsi="Arial"/>
          <w:sz w:val="19"/>
          <w:szCs w:val="19"/>
          <w:color w:val="auto"/>
        </w:rPr>
        <w:t>Each Participant, as defined in this paragraph (2), shall become entitled to a Vested Change In Control Benefit. Upon future Separation from Service, the Participant shall be entitled to the greater of his or her Vested Change In Control Benefit or the benefits otherwise provided by any other benefit section of this Plan. Prior to the Participant's Separation from Service, a Participant's Vested Change In Control Benefit shall be the benefit in paragraph (b)(l) below. Upon the Participant's Separation from Service (voluntary or involuntary), however, the Participant's Vested Change In Control Benefit shall be the greater of the Actuarial Equivalent of benefits defined in paragraph (b)(1) below, the Actuarial Equivalent of the benefits defined in paragraph (b)(2) below, and the Actuarial Equivalent of the benefits defined in paragraph (b)</w:t>
      </w:r>
    </w:p>
    <w:p>
      <w:pPr>
        <w:spacing w:after="0" w:line="1" w:lineRule="exact"/>
        <w:rPr>
          <w:rFonts w:ascii="Arial" w:cs="Arial" w:eastAsia="Arial" w:hAnsi="Arial"/>
          <w:sz w:val="19"/>
          <w:szCs w:val="19"/>
          <w:color w:val="auto"/>
        </w:rPr>
      </w:pPr>
    </w:p>
    <w:p>
      <w:pPr>
        <w:ind w:left="2100" w:firstLine="6"/>
        <w:spacing w:after="0" w:line="246" w:lineRule="auto"/>
        <w:tabs>
          <w:tab w:leader="none" w:pos="2417" w:val="left"/>
        </w:tabs>
        <w:numPr>
          <w:ilvl w:val="2"/>
          <w:numId w:val="94"/>
        </w:numPr>
        <w:rPr>
          <w:rFonts w:ascii="Arial" w:cs="Arial" w:eastAsia="Arial" w:hAnsi="Arial"/>
          <w:sz w:val="21"/>
          <w:szCs w:val="21"/>
          <w:color w:val="auto"/>
        </w:rPr>
      </w:pPr>
      <w:r>
        <w:rPr>
          <w:rFonts w:ascii="Arial" w:cs="Arial" w:eastAsia="Arial" w:hAnsi="Arial"/>
          <w:sz w:val="21"/>
          <w:szCs w:val="21"/>
          <w:color w:val="auto"/>
        </w:rPr>
        <w:t>below. Such Change In Control Benefit shall be made in a lump sum payment within 90 days following his or her Separation from Service.</w:t>
      </w:r>
    </w:p>
    <w:p>
      <w:pPr>
        <w:spacing w:after="0" w:line="202" w:lineRule="exact"/>
        <w:rPr>
          <w:rFonts w:ascii="Arial" w:cs="Arial" w:eastAsia="Arial" w:hAnsi="Arial"/>
          <w:sz w:val="21"/>
          <w:szCs w:val="21"/>
          <w:color w:val="auto"/>
        </w:rPr>
      </w:pPr>
    </w:p>
    <w:p>
      <w:pPr>
        <w:ind w:left="1500" w:hanging="690"/>
        <w:spacing w:after="0"/>
        <w:tabs>
          <w:tab w:leader="none" w:pos="1500" w:val="left"/>
        </w:tabs>
        <w:numPr>
          <w:ilvl w:val="0"/>
          <w:numId w:val="94"/>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Benefits</w:t>
      </w:r>
      <w:r>
        <w:rPr>
          <w:rFonts w:ascii="Arial" w:cs="Arial" w:eastAsia="Arial" w:hAnsi="Arial"/>
          <w:sz w:val="22"/>
          <w:szCs w:val="22"/>
          <w:color w:val="auto"/>
        </w:rPr>
        <w:t>.</w:t>
      </w:r>
    </w:p>
    <w:p>
      <w:pPr>
        <w:spacing w:after="0" w:line="247" w:lineRule="exact"/>
        <w:rPr>
          <w:rFonts w:ascii="Arial" w:cs="Arial" w:eastAsia="Arial" w:hAnsi="Arial"/>
          <w:sz w:val="22"/>
          <w:szCs w:val="22"/>
          <w:color w:val="auto"/>
        </w:rPr>
      </w:pPr>
    </w:p>
    <w:p>
      <w:pPr>
        <w:jc w:val="both"/>
        <w:ind w:left="2100" w:hanging="642"/>
        <w:spacing w:after="0" w:line="249" w:lineRule="auto"/>
        <w:tabs>
          <w:tab w:leader="none" w:pos="2152" w:val="left"/>
        </w:tabs>
        <w:numPr>
          <w:ilvl w:val="1"/>
          <w:numId w:val="94"/>
        </w:numPr>
        <w:rPr>
          <w:rFonts w:ascii="Arial" w:cs="Arial" w:eastAsia="Arial" w:hAnsi="Arial"/>
          <w:sz w:val="21"/>
          <w:szCs w:val="21"/>
          <w:color w:val="auto"/>
        </w:rPr>
      </w:pPr>
      <w:r>
        <w:rPr>
          <w:rFonts w:ascii="Arial" w:cs="Arial" w:eastAsia="Arial" w:hAnsi="Arial"/>
          <w:sz w:val="21"/>
          <w:szCs w:val="21"/>
          <w:color w:val="auto"/>
        </w:rPr>
        <w:t>The Participant's Normal Survivor Benefit determined as of the date of the Change In Control, which shall be effective on the first day of the month following the Participant's death and be paid or commence as soon as practicable, but not later than 90 days, after the Participant's death.</w:t>
      </w:r>
    </w:p>
    <w:p>
      <w:pPr>
        <w:spacing w:after="0" w:line="213" w:lineRule="exact"/>
        <w:rPr>
          <w:rFonts w:ascii="Arial" w:cs="Arial" w:eastAsia="Arial" w:hAnsi="Arial"/>
          <w:sz w:val="21"/>
          <w:szCs w:val="21"/>
          <w:color w:val="auto"/>
        </w:rPr>
      </w:pPr>
    </w:p>
    <w:p>
      <w:pPr>
        <w:ind w:left="2100" w:hanging="642"/>
        <w:spacing w:after="0" w:line="264" w:lineRule="auto"/>
        <w:tabs>
          <w:tab w:leader="none" w:pos="2361" w:val="left"/>
        </w:tabs>
        <w:numPr>
          <w:ilvl w:val="1"/>
          <w:numId w:val="94"/>
        </w:numPr>
        <w:rPr>
          <w:rFonts w:ascii="Arial" w:cs="Arial" w:eastAsia="Arial" w:hAnsi="Arial"/>
          <w:sz w:val="21"/>
          <w:szCs w:val="21"/>
          <w:color w:val="auto"/>
        </w:rPr>
      </w:pPr>
      <w:r>
        <w:rPr>
          <w:rFonts w:ascii="Arial" w:cs="Arial" w:eastAsia="Arial" w:hAnsi="Arial"/>
          <w:sz w:val="21"/>
          <w:szCs w:val="21"/>
          <w:color w:val="auto"/>
        </w:rPr>
        <w:t>The Participant's Normal Retirement Benefit determined as of the date of the Change In Control:</w:t>
      </w:r>
    </w:p>
    <w:p>
      <w:pPr>
        <w:spacing w:after="0" w:line="198" w:lineRule="exact"/>
        <w:rPr>
          <w:sz w:val="20"/>
          <w:szCs w:val="20"/>
          <w:color w:val="auto"/>
        </w:rPr>
      </w:pPr>
    </w:p>
    <w:p>
      <w:pPr>
        <w:jc w:val="both"/>
        <w:ind w:left="2760" w:hanging="654"/>
        <w:spacing w:after="0" w:line="253" w:lineRule="auto"/>
        <w:tabs>
          <w:tab w:leader="none" w:pos="3064" w:val="left"/>
        </w:tabs>
        <w:numPr>
          <w:ilvl w:val="0"/>
          <w:numId w:val="95"/>
        </w:numPr>
        <w:rPr>
          <w:rFonts w:ascii="Arial" w:cs="Arial" w:eastAsia="Arial" w:hAnsi="Arial"/>
          <w:sz w:val="21"/>
          <w:szCs w:val="21"/>
          <w:color w:val="auto"/>
        </w:rPr>
      </w:pPr>
      <w:r>
        <w:rPr>
          <w:rFonts w:ascii="Arial" w:cs="Arial" w:eastAsia="Arial" w:hAnsi="Arial"/>
          <w:sz w:val="21"/>
          <w:szCs w:val="21"/>
          <w:color w:val="auto"/>
        </w:rPr>
        <w:t>commencing on the first day of the first month that would have qualified as the Participant's Approved Early Retirement Date if he or she had remained employed as a Participant until such date 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38873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518" w:right="919" w:bottom="1440" w:gutter="0" w:footer="0" w:header="0"/>
        </w:sectPr>
      </w:pPr>
    </w:p>
    <w:bookmarkStart w:id="97" w:name="page98"/>
    <w:bookmarkEnd w:id="97"/>
    <w:p>
      <w:pPr>
        <w:ind w:left="2760"/>
        <w:spacing w:after="0"/>
        <w:rPr>
          <w:sz w:val="20"/>
          <w:szCs w:val="20"/>
          <w:color w:val="auto"/>
        </w:rPr>
      </w:pPr>
      <w:r>
        <w:rPr>
          <w:rFonts w:ascii="Arial" w:cs="Arial" w:eastAsia="Arial" w:hAnsi="Arial"/>
          <w:sz w:val="19"/>
          <w:szCs w:val="19"/>
          <w:color w:val="auto"/>
        </w:rPr>
        <w:t>then received approval from the Chief Executive Officer for such early retirement, and</w:t>
      </w:r>
    </w:p>
    <w:p>
      <w:pPr>
        <w:spacing w:after="0" w:line="268" w:lineRule="exact"/>
        <w:rPr>
          <w:sz w:val="20"/>
          <w:szCs w:val="20"/>
          <w:color w:val="auto"/>
        </w:rPr>
      </w:pPr>
    </w:p>
    <w:p>
      <w:pPr>
        <w:ind w:left="2760" w:hanging="654"/>
        <w:spacing w:after="0" w:line="264" w:lineRule="auto"/>
        <w:tabs>
          <w:tab w:leader="none" w:pos="2815" w:val="left"/>
        </w:tabs>
        <w:numPr>
          <w:ilvl w:val="1"/>
          <w:numId w:val="96"/>
        </w:numPr>
        <w:rPr>
          <w:rFonts w:ascii="Arial" w:cs="Arial" w:eastAsia="Arial" w:hAnsi="Arial"/>
          <w:sz w:val="21"/>
          <w:szCs w:val="21"/>
          <w:color w:val="auto"/>
        </w:rPr>
      </w:pPr>
      <w:r>
        <w:rPr>
          <w:rFonts w:ascii="Arial" w:cs="Arial" w:eastAsia="Arial" w:hAnsi="Arial"/>
          <w:sz w:val="21"/>
          <w:szCs w:val="21"/>
          <w:color w:val="auto"/>
        </w:rPr>
        <w:t>multiplied by the Early Retirement Factor applicable to the Participant's age at the date the benefit commences.</w:t>
      </w:r>
    </w:p>
    <w:p>
      <w:pPr>
        <w:spacing w:after="0" w:line="189" w:lineRule="exact"/>
        <w:rPr>
          <w:rFonts w:ascii="Arial" w:cs="Arial" w:eastAsia="Arial" w:hAnsi="Arial"/>
          <w:sz w:val="21"/>
          <w:szCs w:val="21"/>
          <w:color w:val="auto"/>
        </w:rPr>
      </w:pPr>
    </w:p>
    <w:p>
      <w:pPr>
        <w:ind w:left="2140" w:hanging="682"/>
        <w:spacing w:after="0"/>
        <w:tabs>
          <w:tab w:leader="none" w:pos="21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Benefits provided by any other section of this Plan.</w:t>
      </w:r>
    </w:p>
    <w:p>
      <w:pPr>
        <w:spacing w:after="0" w:line="227" w:lineRule="exact"/>
        <w:rPr>
          <w:sz w:val="20"/>
          <w:szCs w:val="20"/>
          <w:color w:val="auto"/>
        </w:rPr>
      </w:pPr>
    </w:p>
    <w:p>
      <w:pPr>
        <w:jc w:val="both"/>
        <w:ind w:left="800" w:hanging="809"/>
        <w:spacing w:after="0" w:line="261" w:lineRule="auto"/>
        <w:tabs>
          <w:tab w:leader="none" w:pos="780" w:val="left"/>
        </w:tabs>
        <w:rPr>
          <w:sz w:val="20"/>
          <w:szCs w:val="20"/>
          <w:color w:val="auto"/>
        </w:rPr>
      </w:pPr>
      <w:r>
        <w:rPr>
          <w:rFonts w:ascii="Arial" w:cs="Arial" w:eastAsia="Arial" w:hAnsi="Arial"/>
          <w:sz w:val="21"/>
          <w:szCs w:val="21"/>
          <w:color w:val="auto"/>
        </w:rPr>
        <w:t>4.09</w:t>
      </w:r>
      <w:r>
        <w:rPr>
          <w:sz w:val="20"/>
          <w:szCs w:val="20"/>
          <w:color w:val="auto"/>
        </w:rPr>
        <w:tab/>
      </w:r>
      <w:r>
        <w:rPr>
          <w:rFonts w:ascii="Arial" w:cs="Arial" w:eastAsia="Arial" w:hAnsi="Arial"/>
          <w:sz w:val="20"/>
          <w:szCs w:val="20"/>
          <w:b w:val="1"/>
          <w:bCs w:val="1"/>
          <w:u w:val="single" w:color="auto"/>
          <w:color w:val="auto"/>
        </w:rPr>
        <w:t>Benefits Upon Change In Control of a Subsidiary</w:t>
      </w:r>
      <w:r>
        <w:rPr>
          <w:rFonts w:ascii="Arial" w:cs="Arial" w:eastAsia="Arial" w:hAnsi="Arial"/>
          <w:sz w:val="20"/>
          <w:szCs w:val="20"/>
          <w:color w:val="auto"/>
        </w:rPr>
        <w:t>. Upon the occurrence of a Change In Control, as</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defined in Section 2.06, with respect to a subsidiary of Matson, (i) a Participant who is an employee of such subsidiary shall be entitled to the lump-sum equivalent of a Plan Termination Benefit, determined as if the Plan terminated as of the date of the Change In Control, which shall be immediately due and shall be paid within thirty days of the Change In Control, and (ii) there will be no further obligation to pay benefits under this Plan to Participants who are employees of such subsidiary unless the terms of such Change In Control provide, as a prerequisite to the consummation of the Change In Control, that the employer responsibilities under this Plan are to be assumed by the successor organization.</w:t>
      </w:r>
    </w:p>
    <w:p>
      <w:pPr>
        <w:spacing w:after="0" w:line="195" w:lineRule="exact"/>
        <w:rPr>
          <w:sz w:val="20"/>
          <w:szCs w:val="20"/>
          <w:color w:val="auto"/>
        </w:rPr>
      </w:pPr>
    </w:p>
    <w:p>
      <w:pPr>
        <w:jc w:val="both"/>
        <w:ind w:left="800" w:hanging="809"/>
        <w:spacing w:after="0" w:line="245" w:lineRule="auto"/>
        <w:tabs>
          <w:tab w:leader="none" w:pos="780" w:val="left"/>
        </w:tabs>
        <w:rPr>
          <w:sz w:val="20"/>
          <w:szCs w:val="20"/>
          <w:color w:val="auto"/>
        </w:rPr>
      </w:pPr>
      <w:r>
        <w:rPr>
          <w:rFonts w:ascii="Arial" w:cs="Arial" w:eastAsia="Arial" w:hAnsi="Arial"/>
          <w:sz w:val="21"/>
          <w:szCs w:val="21"/>
          <w:color w:val="auto"/>
        </w:rPr>
        <w:t>4.10</w:t>
      </w:r>
      <w:r>
        <w:rPr>
          <w:sz w:val="20"/>
          <w:szCs w:val="20"/>
          <w:color w:val="auto"/>
        </w:rPr>
        <w:tab/>
      </w:r>
      <w:r>
        <w:rPr>
          <w:rFonts w:ascii="Arial" w:cs="Arial" w:eastAsia="Arial" w:hAnsi="Arial"/>
          <w:sz w:val="21"/>
          <w:szCs w:val="21"/>
          <w:b w:val="1"/>
          <w:bCs w:val="1"/>
          <w:u w:val="single" w:color="auto"/>
          <w:color w:val="auto"/>
        </w:rPr>
        <w:t>Form of Benefits</w:t>
      </w:r>
      <w:r>
        <w:rPr>
          <w:rFonts w:ascii="Arial" w:cs="Arial" w:eastAsia="Arial" w:hAnsi="Arial"/>
          <w:sz w:val="21"/>
          <w:szCs w:val="21"/>
          <w:color w:val="auto"/>
        </w:rPr>
        <w:t>. Subject to Section 4.12(f)(2), a Participant may elect, in writing, to have the payment of the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Normal/Late Retirement Benefit, the Approved Early Retirement Benefit, the Pre-Retirement Survivor Benefit, the Participation Termination Benefit and the Plan Termination Benefit under the Plan made in a lump sum; instead of 120 monthly installments, which shall be the default form of benefit unless otherwise specified in the Plan. Effective on January 1, 2009, such election shall become irrevocable on the 31</w:t>
      </w:r>
      <w:r>
        <w:rPr>
          <w:rFonts w:ascii="Arial" w:cs="Arial" w:eastAsia="Arial" w:hAnsi="Arial"/>
          <w:sz w:val="10"/>
          <w:szCs w:val="10"/>
          <w:color w:val="auto"/>
        </w:rPr>
        <w:t>st</w:t>
      </w:r>
      <w:r>
        <w:rPr>
          <w:rFonts w:ascii="Arial" w:cs="Arial" w:eastAsia="Arial" w:hAnsi="Arial"/>
          <w:sz w:val="21"/>
          <w:szCs w:val="21"/>
          <w:color w:val="auto"/>
        </w:rPr>
        <w:t xml:space="preserve"> day immediately following the date on which the Participant first becomes eligible to participate in the Plan. A Participant may elect only one form of payment, which will be applicable for all forms of benefits that are elective and payable under this Plan. If the Participant makes no election, then his or her benefit shall be paid in 120 monthly installments.</w:t>
      </w:r>
    </w:p>
    <w:p>
      <w:pPr>
        <w:spacing w:after="0" w:line="212" w:lineRule="exact"/>
        <w:rPr>
          <w:sz w:val="20"/>
          <w:szCs w:val="20"/>
          <w:color w:val="auto"/>
        </w:rPr>
      </w:pPr>
    </w:p>
    <w:p>
      <w:pPr>
        <w:jc w:val="both"/>
        <w:ind w:left="800" w:hanging="809"/>
        <w:spacing w:after="0" w:line="258" w:lineRule="auto"/>
        <w:tabs>
          <w:tab w:leader="none" w:pos="780" w:val="left"/>
        </w:tabs>
        <w:rPr>
          <w:sz w:val="20"/>
          <w:szCs w:val="20"/>
          <w:color w:val="auto"/>
        </w:rPr>
      </w:pPr>
      <w:r>
        <w:rPr>
          <w:rFonts w:ascii="Arial" w:cs="Arial" w:eastAsia="Arial" w:hAnsi="Arial"/>
          <w:sz w:val="21"/>
          <w:szCs w:val="21"/>
          <w:color w:val="auto"/>
        </w:rPr>
        <w:t>4.11</w:t>
      </w:r>
      <w:r>
        <w:rPr>
          <w:sz w:val="20"/>
          <w:szCs w:val="20"/>
          <w:color w:val="auto"/>
        </w:rPr>
        <w:tab/>
      </w:r>
      <w:r>
        <w:rPr>
          <w:rFonts w:ascii="Arial" w:cs="Arial" w:eastAsia="Arial" w:hAnsi="Arial"/>
          <w:sz w:val="20"/>
          <w:szCs w:val="20"/>
          <w:b w:val="1"/>
          <w:bCs w:val="1"/>
          <w:u w:val="single" w:color="auto"/>
          <w:color w:val="auto"/>
        </w:rPr>
        <w:t>Designation of Beneficiaries</w:t>
      </w:r>
      <w:r>
        <w:rPr>
          <w:rFonts w:ascii="Arial" w:cs="Arial" w:eastAsia="Arial" w:hAnsi="Arial"/>
          <w:sz w:val="20"/>
          <w:szCs w:val="20"/>
          <w:color w:val="auto"/>
        </w:rPr>
        <w:t>. A Participant may file with the Administrator on forms provided by the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Administrator a written designation of one or more primary beneficiaries and one or more contingent beneficiaries to whom benefits otherwise due the Participant shall be made after the death of the Participant. Such payments will be divided among the primary beneficiaries who survive the Participant in such proportion as directed in the written designation. If no primary Beneficiary survives the Participant for 30 days, such payment will be divided among the contingent beneficiaries who survive the Participant for 30 days in such proportion as directed in the written designation. If no primary or contingent Beneficiary survives the Participant for 30 days, or if no Beneficiary has been designated by the Participant, such payments will be made to the estate of the Participant. A Beneficiary may not, under any circumstances, change the time and form of the payments due to them pursuant to this Plan.</w:t>
      </w:r>
    </w:p>
    <w:p>
      <w:pPr>
        <w:spacing w:after="0" w:line="194" w:lineRule="exact"/>
        <w:rPr>
          <w:sz w:val="20"/>
          <w:szCs w:val="20"/>
          <w:color w:val="auto"/>
        </w:rPr>
      </w:pPr>
    </w:p>
    <w:p>
      <w:pPr>
        <w:spacing w:after="0"/>
        <w:tabs>
          <w:tab w:leader="none" w:pos="800" w:val="left"/>
        </w:tabs>
        <w:rPr>
          <w:sz w:val="20"/>
          <w:szCs w:val="20"/>
          <w:color w:val="auto"/>
        </w:rPr>
      </w:pPr>
      <w:r>
        <w:rPr>
          <w:rFonts w:ascii="Arial" w:cs="Arial" w:eastAsia="Arial" w:hAnsi="Arial"/>
          <w:sz w:val="21"/>
          <w:szCs w:val="21"/>
          <w:b w:val="1"/>
          <w:bCs w:val="1"/>
          <w:color w:val="auto"/>
        </w:rPr>
        <w:t>4.12</w:t>
      </w:r>
      <w:r>
        <w:rPr>
          <w:sz w:val="20"/>
          <w:szCs w:val="20"/>
          <w:color w:val="auto"/>
        </w:rPr>
        <w:tab/>
      </w:r>
      <w:r>
        <w:rPr>
          <w:rFonts w:ascii="Arial" w:cs="Arial" w:eastAsia="Arial" w:hAnsi="Arial"/>
          <w:sz w:val="19"/>
          <w:szCs w:val="19"/>
          <w:b w:val="1"/>
          <w:bCs w:val="1"/>
          <w:u w:val="single" w:color="auto"/>
          <w:color w:val="auto"/>
        </w:rPr>
        <w:t>Additional Benefits Provisions</w:t>
      </w:r>
    </w:p>
    <w:p>
      <w:pPr>
        <w:spacing w:after="0" w:line="245" w:lineRule="exact"/>
        <w:rPr>
          <w:sz w:val="20"/>
          <w:szCs w:val="20"/>
          <w:color w:val="auto"/>
        </w:rPr>
      </w:pPr>
    </w:p>
    <w:p>
      <w:pPr>
        <w:jc w:val="both"/>
        <w:ind w:left="1460" w:hanging="650"/>
        <w:spacing w:after="0" w:line="243" w:lineRule="auto"/>
        <w:tabs>
          <w:tab w:leader="none" w:pos="1565" w:val="left"/>
        </w:tabs>
        <w:numPr>
          <w:ilvl w:val="0"/>
          <w:numId w:val="98"/>
        </w:numPr>
        <w:rPr>
          <w:rFonts w:ascii="Arial" w:cs="Arial" w:eastAsia="Arial" w:hAnsi="Arial"/>
          <w:sz w:val="22"/>
          <w:szCs w:val="22"/>
          <w:color w:val="auto"/>
        </w:rPr>
      </w:pPr>
      <w:r>
        <w:rPr>
          <w:rFonts w:ascii="Arial" w:cs="Arial" w:eastAsia="Arial" w:hAnsi="Arial"/>
          <w:sz w:val="22"/>
          <w:szCs w:val="22"/>
          <w:b w:val="1"/>
          <w:bCs w:val="1"/>
          <w:color w:val="auto"/>
        </w:rPr>
        <w:t>Benefit Agreement</w:t>
      </w:r>
      <w:r>
        <w:rPr>
          <w:rFonts w:ascii="Arial" w:cs="Arial" w:eastAsia="Arial" w:hAnsi="Arial"/>
          <w:sz w:val="22"/>
          <w:szCs w:val="22"/>
          <w:color w:val="auto"/>
        </w:rPr>
        <w:t>. The Administrator shall provide to each Participant a form of Participation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which shall set forth the Participant's acceptance of the benefits provided under the Plan and the Participant's Participation Agreement 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38873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518" w:right="919" w:bottom="1440" w:gutter="0" w:footer="0" w:header="0"/>
        </w:sectPr>
      </w:pPr>
    </w:p>
    <w:bookmarkStart w:id="98" w:name="page99"/>
    <w:bookmarkEnd w:id="98"/>
    <w:p>
      <w:pPr>
        <w:ind w:left="940"/>
        <w:spacing w:after="0"/>
        <w:rPr>
          <w:sz w:val="20"/>
          <w:szCs w:val="20"/>
          <w:color w:val="auto"/>
        </w:rPr>
      </w:pPr>
      <w:r>
        <w:rPr>
          <w:rFonts w:ascii="Arial" w:cs="Arial" w:eastAsia="Arial" w:hAnsi="Arial"/>
          <w:sz w:val="22"/>
          <w:szCs w:val="22"/>
          <w:color w:val="auto"/>
        </w:rPr>
        <w:t>be bound by the terms of the Plan.</w:t>
      </w:r>
    </w:p>
    <w:p>
      <w:pPr>
        <w:spacing w:after="0" w:line="235" w:lineRule="exact"/>
        <w:rPr>
          <w:sz w:val="20"/>
          <w:szCs w:val="20"/>
          <w:color w:val="auto"/>
        </w:rPr>
      </w:pPr>
    </w:p>
    <w:p>
      <w:pPr>
        <w:jc w:val="both"/>
        <w:ind w:left="940" w:hanging="650"/>
        <w:spacing w:after="0" w:line="248" w:lineRule="auto"/>
        <w:tabs>
          <w:tab w:leader="none" w:pos="1042" w:val="left"/>
        </w:tabs>
        <w:numPr>
          <w:ilvl w:val="0"/>
          <w:numId w:val="99"/>
        </w:numPr>
        <w:rPr>
          <w:rFonts w:ascii="Arial" w:cs="Arial" w:eastAsia="Arial" w:hAnsi="Arial"/>
          <w:sz w:val="21"/>
          <w:szCs w:val="21"/>
          <w:color w:val="auto"/>
        </w:rPr>
      </w:pPr>
      <w:r>
        <w:rPr>
          <w:rFonts w:ascii="Arial" w:cs="Arial" w:eastAsia="Arial" w:hAnsi="Arial"/>
          <w:sz w:val="21"/>
          <w:szCs w:val="21"/>
          <w:b w:val="1"/>
          <w:bCs w:val="1"/>
          <w:color w:val="auto"/>
        </w:rPr>
        <w:t>Exclusion for Suicide or Self-Inflicted Injury</w:t>
      </w:r>
      <w:r>
        <w:rPr>
          <w:rFonts w:ascii="Arial" w:cs="Arial" w:eastAsia="Arial" w:hAnsi="Arial"/>
          <w:sz w:val="21"/>
          <w:szCs w:val="21"/>
          <w:color w:val="auto"/>
        </w:rPr>
        <w:t>. Notwithstanding any other provision of the Plan, no</w:t>
      </w:r>
      <w:r>
        <w:rPr>
          <w:rFonts w:ascii="Arial" w:cs="Arial" w:eastAsia="Arial" w:hAnsi="Arial"/>
          <w:sz w:val="21"/>
          <w:szCs w:val="21"/>
          <w:b w:val="1"/>
          <w:bCs w:val="1"/>
          <w:color w:val="auto"/>
        </w:rPr>
        <w:t xml:space="preserve"> </w:t>
      </w:r>
      <w:r>
        <w:rPr>
          <w:rFonts w:ascii="Arial" w:cs="Arial" w:eastAsia="Arial" w:hAnsi="Arial"/>
          <w:sz w:val="21"/>
          <w:szCs w:val="21"/>
          <w:color w:val="auto"/>
        </w:rPr>
        <w:t>benefits shall be paid to any Participation or Beneficiary in the event of the death of the Participant as the result of suicide or self-inflicted injury within two years of the later of the date he or she first became a Participant or the date the Participant executed the Participation Agreement referred to in Section 3.01.</w:t>
      </w:r>
    </w:p>
    <w:p>
      <w:pPr>
        <w:spacing w:after="0" w:line="210" w:lineRule="exact"/>
        <w:rPr>
          <w:rFonts w:ascii="Arial" w:cs="Arial" w:eastAsia="Arial" w:hAnsi="Arial"/>
          <w:sz w:val="21"/>
          <w:szCs w:val="21"/>
          <w:color w:val="auto"/>
        </w:rPr>
      </w:pPr>
    </w:p>
    <w:p>
      <w:pPr>
        <w:jc w:val="both"/>
        <w:ind w:left="940" w:hanging="650"/>
        <w:spacing w:after="0" w:line="257" w:lineRule="auto"/>
        <w:tabs>
          <w:tab w:leader="none" w:pos="1018" w:val="left"/>
        </w:tabs>
        <w:numPr>
          <w:ilvl w:val="0"/>
          <w:numId w:val="99"/>
        </w:numPr>
        <w:rPr>
          <w:rFonts w:ascii="Arial" w:cs="Arial" w:eastAsia="Arial" w:hAnsi="Arial"/>
          <w:sz w:val="21"/>
          <w:szCs w:val="21"/>
          <w:color w:val="auto"/>
        </w:rPr>
      </w:pPr>
      <w:r>
        <w:rPr>
          <w:rFonts w:ascii="Arial" w:cs="Arial" w:eastAsia="Arial" w:hAnsi="Arial"/>
          <w:sz w:val="20"/>
          <w:szCs w:val="20"/>
          <w:b w:val="1"/>
          <w:bCs w:val="1"/>
          <w:color w:val="auto"/>
        </w:rPr>
        <w:t>Leave of Absence</w:t>
      </w:r>
      <w:r>
        <w:rPr>
          <w:rFonts w:ascii="Arial" w:cs="Arial" w:eastAsia="Arial" w:hAnsi="Arial"/>
          <w:sz w:val="20"/>
          <w:szCs w:val="20"/>
          <w:color w:val="auto"/>
        </w:rPr>
        <w:t>. A Participant who is on an approved bona fide leave of absence with salary, or on</w:t>
      </w:r>
      <w:r>
        <w:rPr>
          <w:rFonts w:ascii="Arial" w:cs="Arial" w:eastAsia="Arial" w:hAnsi="Arial"/>
          <w:sz w:val="20"/>
          <w:szCs w:val="20"/>
          <w:b w:val="1"/>
          <w:bCs w:val="1"/>
          <w:color w:val="auto"/>
        </w:rPr>
        <w:t xml:space="preserve"> </w:t>
      </w:r>
      <w:r>
        <w:rPr>
          <w:rFonts w:ascii="Arial" w:cs="Arial" w:eastAsia="Arial" w:hAnsi="Arial"/>
          <w:sz w:val="20"/>
          <w:szCs w:val="20"/>
          <w:color w:val="auto"/>
        </w:rPr>
        <w:t>an approved bona fide leave of absence without salary for a period of not more than 90 days, shall be deemed to be a Participant employed by the Employer during such leave of absence. A Participation who is on an approved bona fide leave of absence with salary for a period in excess of six months shall be deemed to have experienced a Separation from Service as of the end of the first six months of such leave of absence, if the Participant does not have a contractual or statutory right to reemployment. A Participant who is on an approved bona fide leave of absence without salary for a period in excess of 90 days shall be deemed to have experienced a voluntary Separation from Service as of the end of such 90-day period, if the Participant does not have a contractual or statutory right to reemployment.</w:t>
      </w:r>
    </w:p>
    <w:p>
      <w:pPr>
        <w:spacing w:after="0" w:line="190" w:lineRule="exact"/>
        <w:rPr>
          <w:rFonts w:ascii="Arial" w:cs="Arial" w:eastAsia="Arial" w:hAnsi="Arial"/>
          <w:sz w:val="21"/>
          <w:szCs w:val="21"/>
          <w:color w:val="auto"/>
        </w:rPr>
      </w:pPr>
    </w:p>
    <w:p>
      <w:pPr>
        <w:jc w:val="both"/>
        <w:ind w:left="940" w:hanging="650"/>
        <w:spacing w:after="0" w:line="247" w:lineRule="auto"/>
        <w:tabs>
          <w:tab w:leader="none" w:pos="976" w:val="left"/>
        </w:tabs>
        <w:numPr>
          <w:ilvl w:val="0"/>
          <w:numId w:val="99"/>
        </w:numPr>
        <w:rPr>
          <w:rFonts w:ascii="Arial" w:cs="Arial" w:eastAsia="Arial" w:hAnsi="Arial"/>
          <w:sz w:val="21"/>
          <w:szCs w:val="21"/>
          <w:color w:val="auto"/>
        </w:rPr>
      </w:pPr>
      <w:r>
        <w:rPr>
          <w:rFonts w:ascii="Arial" w:cs="Arial" w:eastAsia="Arial" w:hAnsi="Arial"/>
          <w:sz w:val="21"/>
          <w:szCs w:val="21"/>
          <w:b w:val="1"/>
          <w:bCs w:val="1"/>
          <w:u w:val="single" w:color="auto"/>
          <w:color w:val="auto"/>
        </w:rPr>
        <w:t>Disability Leave</w:t>
      </w:r>
      <w:r>
        <w:rPr>
          <w:rFonts w:ascii="Arial" w:cs="Arial" w:eastAsia="Arial" w:hAnsi="Arial"/>
          <w:sz w:val="21"/>
          <w:szCs w:val="21"/>
          <w:color w:val="auto"/>
        </w:rPr>
        <w:t>. A Disabled Participant shall continue to be eligible for retirement benefits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regardless of the nonperformance of services for the Employer. Failure to return to employee status at the termination of the Disabled Participant's Disabled status shall be deemed a voluntary Separation from Service if the Participant is offered employment in a position substantially equivalent to the position held by the Participant at the time his or her disabled status began. Otherwise, such failure to return to employee status shall be deemed an involuntary Separation from Service. Paragraph 4.12(c) shall be applied in determining whether the Participant has experienced a Separation from Service.</w:t>
      </w:r>
    </w:p>
    <w:p>
      <w:pPr>
        <w:spacing w:after="0" w:line="199" w:lineRule="exact"/>
        <w:rPr>
          <w:rFonts w:ascii="Arial" w:cs="Arial" w:eastAsia="Arial" w:hAnsi="Arial"/>
          <w:sz w:val="21"/>
          <w:szCs w:val="21"/>
          <w:color w:val="auto"/>
        </w:rPr>
      </w:pPr>
    </w:p>
    <w:p>
      <w:pPr>
        <w:jc w:val="both"/>
        <w:ind w:left="940" w:hanging="650"/>
        <w:spacing w:after="0" w:line="245" w:lineRule="auto"/>
        <w:tabs>
          <w:tab w:leader="none" w:pos="1031" w:val="left"/>
        </w:tabs>
        <w:numPr>
          <w:ilvl w:val="0"/>
          <w:numId w:val="99"/>
        </w:numPr>
        <w:rPr>
          <w:rFonts w:ascii="Arial" w:cs="Arial" w:eastAsia="Arial" w:hAnsi="Arial"/>
          <w:sz w:val="21"/>
          <w:szCs w:val="21"/>
          <w:color w:val="auto"/>
        </w:rPr>
      </w:pPr>
      <w:r>
        <w:rPr>
          <w:rFonts w:ascii="Arial" w:cs="Arial" w:eastAsia="Arial" w:hAnsi="Arial"/>
          <w:sz w:val="21"/>
          <w:szCs w:val="21"/>
          <w:b w:val="1"/>
          <w:bCs w:val="1"/>
          <w:u w:val="single" w:color="auto"/>
          <w:color w:val="auto"/>
        </w:rPr>
        <w:t>Termination for Good Cause</w:t>
      </w:r>
      <w:r>
        <w:rPr>
          <w:rFonts w:ascii="Arial" w:cs="Arial" w:eastAsia="Arial" w:hAnsi="Arial"/>
          <w:sz w:val="21"/>
          <w:szCs w:val="21"/>
          <w:color w:val="auto"/>
        </w:rPr>
        <w:t>. Notwithstanding any other provision of this Plan, all rights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any Beneficiary, or the rights of their executors or administrators, or any other person, to receive benefits under this Plan shall be forfeited if the Participant's employment with the Employer is terminated for Good Cause. For purposes of this subsection, "Good Cause" means (a) the willful and continued failure by a Participant to substantially perform his or her duties with the Employer (other than any such failure resulting from a Participant's incapacity due to physical or mental illness) or (b) the willful engaging by the Participant in conduct which is demonstrably and materially injurious to the Employer, monetarily or otherwise. For purposes of this definition, no act, or failure to act, shall be considered "willful" unless done, or omitted to be done, not in good faith and without reasonable belief that the action or omission was in the best interest of the Employer.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78740</wp:posOffset>
            </wp:positionV>
            <wp:extent cx="638873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4">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540"/>
          </w:cols>
          <w:pgMar w:left="1440" w:top="510" w:right="919" w:bottom="1440" w:gutter="0" w:footer="0" w:header="0"/>
        </w:sectPr>
      </w:pPr>
    </w:p>
    <w:bookmarkStart w:id="99" w:name="page100"/>
    <w:bookmarkEnd w:id="99"/>
    <w:p>
      <w:pPr>
        <w:ind w:left="1460" w:hanging="644"/>
        <w:spacing w:after="0"/>
        <w:tabs>
          <w:tab w:leader="none" w:pos="1460" w:val="left"/>
        </w:tabs>
        <w:numPr>
          <w:ilvl w:val="0"/>
          <w:numId w:val="100"/>
        </w:numPr>
        <w:rPr>
          <w:rFonts w:ascii="Arial" w:cs="Arial" w:eastAsia="Arial" w:hAnsi="Arial"/>
          <w:sz w:val="22"/>
          <w:szCs w:val="22"/>
          <w:color w:val="auto"/>
        </w:rPr>
      </w:pPr>
      <w:r>
        <w:rPr>
          <w:rFonts w:ascii="Arial" w:cs="Arial" w:eastAsia="Arial" w:hAnsi="Arial"/>
          <w:sz w:val="22"/>
          <w:szCs w:val="22"/>
          <w:b w:val="1"/>
          <w:bCs w:val="1"/>
          <w:u w:val="single" w:color="auto"/>
          <w:color w:val="auto"/>
        </w:rPr>
        <w:t>Alternative Time and Form of Benefit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2100" w:hanging="642"/>
        <w:spacing w:after="0" w:line="273" w:lineRule="auto"/>
        <w:tabs>
          <w:tab w:leader="none" w:pos="2217" w:val="left"/>
        </w:tabs>
        <w:numPr>
          <w:ilvl w:val="1"/>
          <w:numId w:val="100"/>
        </w:numPr>
        <w:rPr>
          <w:rFonts w:ascii="Arial" w:cs="Arial" w:eastAsia="Arial" w:hAnsi="Arial"/>
          <w:sz w:val="19"/>
          <w:szCs w:val="19"/>
          <w:color w:val="auto"/>
        </w:rPr>
      </w:pPr>
      <w:r>
        <w:rPr>
          <w:rFonts w:ascii="Arial" w:cs="Arial" w:eastAsia="Arial" w:hAnsi="Arial"/>
          <w:sz w:val="19"/>
          <w:szCs w:val="19"/>
          <w:b w:val="1"/>
          <w:bCs w:val="1"/>
          <w:u w:val="single" w:color="auto"/>
          <w:color w:val="auto"/>
        </w:rPr>
        <w:t>Special Distribution Election on or before December 31, 2007</w:t>
      </w:r>
      <w:r>
        <w:rPr>
          <w:rFonts w:ascii="Arial" w:cs="Arial" w:eastAsia="Arial" w:hAnsi="Arial"/>
          <w:sz w:val="19"/>
          <w:szCs w:val="19"/>
          <w:color w:val="auto"/>
        </w:rPr>
        <w:t>. Under the terms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on or before December 31, 2007, Participants may make a special distribution election to receive a distribution in a time other than that elected in prior years; provided that the distribution election is made and irrevocable at least twelve months in advance of the newly elected distribution date (and the previously scheduled distribution date, if any) and the election is made no later than December 31, 2007. An election made pursuant to this subparagraph (1) shall be subject to any special administrative rules imposed by the Board or the Committee including rules intended to comply with Section 409A of the Code. No election under this subparagraph (1) shall (i) change the payment date of any distribution otherwise scheduled to be paid in 2007 or cause a payment to be paid in 2007, or (ii) be permitted after December 31, 2007.</w:t>
      </w:r>
    </w:p>
    <w:p>
      <w:pPr>
        <w:spacing w:after="0" w:line="183" w:lineRule="exact"/>
        <w:rPr>
          <w:rFonts w:ascii="Arial" w:cs="Arial" w:eastAsia="Arial" w:hAnsi="Arial"/>
          <w:sz w:val="19"/>
          <w:szCs w:val="19"/>
          <w:color w:val="auto"/>
        </w:rPr>
      </w:pPr>
    </w:p>
    <w:p>
      <w:pPr>
        <w:jc w:val="both"/>
        <w:ind w:left="2100" w:hanging="642"/>
        <w:spacing w:after="0" w:line="273" w:lineRule="auto"/>
        <w:tabs>
          <w:tab w:leader="none" w:pos="2217" w:val="left"/>
        </w:tabs>
        <w:numPr>
          <w:ilvl w:val="1"/>
          <w:numId w:val="100"/>
        </w:numPr>
        <w:rPr>
          <w:rFonts w:ascii="Arial" w:cs="Arial" w:eastAsia="Arial" w:hAnsi="Arial"/>
          <w:sz w:val="19"/>
          <w:szCs w:val="19"/>
          <w:color w:val="auto"/>
        </w:rPr>
      </w:pPr>
      <w:r>
        <w:rPr>
          <w:rFonts w:ascii="Arial" w:cs="Arial" w:eastAsia="Arial" w:hAnsi="Arial"/>
          <w:sz w:val="19"/>
          <w:szCs w:val="19"/>
          <w:b w:val="1"/>
          <w:bCs w:val="1"/>
          <w:u w:val="single" w:color="auto"/>
          <w:color w:val="auto"/>
        </w:rPr>
        <w:t>Special Distribution Election on or before December 31, 2008</w:t>
      </w:r>
      <w:r>
        <w:rPr>
          <w:rFonts w:ascii="Arial" w:cs="Arial" w:eastAsia="Arial" w:hAnsi="Arial"/>
          <w:sz w:val="19"/>
          <w:szCs w:val="19"/>
          <w:color w:val="auto"/>
        </w:rPr>
        <w:t>. Under the terms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on or before December 31, 2008, Participants may make a special distribution election to receive a distribution in a time and form other than that elected in prior years; provided that the distribution election is made and irrevocable at least twelve months in advance of the newly elected distribution date (and the previously scheduled distribution date, if any) and the election is made no later than December 31, 2008. An election made pursuant to this subparagraph (2) shall be subject to any special administrative rules imposed by the Board or the Committee including rules intended to comply with Section 409A of the Code. No election under this subparagraph (2) shall (i) change the payment date of any distribution otherwise scheduled to be paid in 2008 or cause a payment to be paid in 2008, or (ii) be permitted after December 31, 2008.</w:t>
      </w:r>
    </w:p>
    <w:p>
      <w:pPr>
        <w:spacing w:after="0" w:line="189" w:lineRule="exact"/>
        <w:rPr>
          <w:rFonts w:ascii="Arial" w:cs="Arial" w:eastAsia="Arial" w:hAnsi="Arial"/>
          <w:sz w:val="19"/>
          <w:szCs w:val="19"/>
          <w:color w:val="auto"/>
        </w:rPr>
      </w:pPr>
    </w:p>
    <w:p>
      <w:pPr>
        <w:jc w:val="both"/>
        <w:ind w:left="2100" w:hanging="642"/>
        <w:spacing w:after="0" w:line="235" w:lineRule="auto"/>
        <w:tabs>
          <w:tab w:leader="none" w:pos="2145"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Board or the Committee in its sole discretion may elect to pay a Participant's spouse or Beneficiary a lump-sum Actuarial Equivalent or other form of benefit that it deems appropriate in lieu of the benefit form otherwise provided with respect to which deferrals of compensation are treated as having been deferred under a single nonqualified deferred compensation plan under Treasury Regulation § l.409A-l(c)(2), is less than the Code Section 402(g)(l )(B) limit.</w:t>
      </w:r>
    </w:p>
    <w:p>
      <w:pPr>
        <w:spacing w:after="0" w:line="209" w:lineRule="exact"/>
        <w:rPr>
          <w:rFonts w:ascii="Arial" w:cs="Arial" w:eastAsia="Arial" w:hAnsi="Arial"/>
          <w:sz w:val="22"/>
          <w:szCs w:val="22"/>
          <w:color w:val="auto"/>
        </w:rPr>
      </w:pPr>
    </w:p>
    <w:p>
      <w:pPr>
        <w:ind w:left="1460" w:hanging="650"/>
        <w:spacing w:after="0" w:line="256" w:lineRule="auto"/>
        <w:tabs>
          <w:tab w:leader="none" w:pos="1617" w:val="left"/>
        </w:tabs>
        <w:numPr>
          <w:ilvl w:val="0"/>
          <w:numId w:val="100"/>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color w:val="auto"/>
        </w:rPr>
        <w:t>. Benefit payments hereunder shall be subject to applicable federal, state and local</w:t>
      </w:r>
      <w:r>
        <w:rPr>
          <w:rFonts w:ascii="Arial" w:cs="Arial" w:eastAsia="Arial" w:hAnsi="Arial"/>
          <w:sz w:val="22"/>
          <w:szCs w:val="22"/>
          <w:b w:val="1"/>
          <w:bCs w:val="1"/>
          <w:color w:val="auto"/>
        </w:rPr>
        <w:t xml:space="preserve"> </w:t>
      </w:r>
      <w:r>
        <w:rPr>
          <w:rFonts w:ascii="Arial" w:cs="Arial" w:eastAsia="Arial" w:hAnsi="Arial"/>
          <w:sz w:val="22"/>
          <w:szCs w:val="22"/>
          <w:color w:val="auto"/>
        </w:rPr>
        <w:t>withholding for taxes.</w:t>
      </w:r>
    </w:p>
    <w:p>
      <w:pPr>
        <w:spacing w:after="0" w:line="190" w:lineRule="exact"/>
        <w:rPr>
          <w:sz w:val="20"/>
          <w:szCs w:val="20"/>
          <w:color w:val="auto"/>
        </w:rPr>
      </w:pPr>
    </w:p>
    <w:p>
      <w:pPr>
        <w:jc w:val="both"/>
        <w:ind w:left="800" w:hanging="809"/>
        <w:spacing w:after="0" w:line="251" w:lineRule="auto"/>
        <w:tabs>
          <w:tab w:leader="none" w:pos="780" w:val="left"/>
        </w:tabs>
        <w:rPr>
          <w:sz w:val="20"/>
          <w:szCs w:val="20"/>
          <w:color w:val="auto"/>
        </w:rPr>
      </w:pPr>
      <w:r>
        <w:rPr>
          <w:rFonts w:ascii="Arial" w:cs="Arial" w:eastAsia="Arial" w:hAnsi="Arial"/>
          <w:sz w:val="22"/>
          <w:szCs w:val="22"/>
          <w:color w:val="auto"/>
        </w:rPr>
        <w:t>4.13</w:t>
      </w:r>
      <w:r>
        <w:rPr>
          <w:sz w:val="20"/>
          <w:szCs w:val="20"/>
          <w:color w:val="auto"/>
        </w:rPr>
        <w:tab/>
      </w:r>
      <w:r>
        <w:rPr>
          <w:rFonts w:ascii="Arial" w:cs="Arial" w:eastAsia="Arial" w:hAnsi="Arial"/>
          <w:sz w:val="21"/>
          <w:szCs w:val="21"/>
          <w:b w:val="1"/>
          <w:bCs w:val="1"/>
          <w:u w:val="single" w:color="auto"/>
          <w:color w:val="auto"/>
        </w:rPr>
        <w:t>Group Life Insurance</w:t>
      </w:r>
      <w:r>
        <w:rPr>
          <w:rFonts w:ascii="Arial" w:cs="Arial" w:eastAsia="Arial" w:hAnsi="Arial"/>
          <w:sz w:val="21"/>
          <w:szCs w:val="21"/>
          <w:color w:val="auto"/>
        </w:rPr>
        <w:t>. The Employer will maintain for each Participant, throughout each Participant's</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lifetime, group life insurance coverage in the amount of $50,000. The life insurance benefits payable under such group life insurance will be in addition to the benefits payable under the provisions of this plan, and will be in lieu of any life insurance benefits to which a Participant may otherwise be entitled under the Matson, Inc. Retiree Health and Welfare Benefit Plan.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38873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504" w:right="919" w:bottom="1440" w:gutter="0" w:footer="0" w:header="0"/>
        </w:sectPr>
      </w:pPr>
    </w:p>
    <w:bookmarkStart w:id="100" w:name="page101"/>
    <w:bookmarkEnd w:id="100"/>
    <w:p>
      <w:pPr>
        <w:jc w:val="both"/>
        <w:ind w:left="800" w:hanging="809"/>
        <w:spacing w:after="0" w:line="247" w:lineRule="auto"/>
        <w:tabs>
          <w:tab w:leader="none" w:pos="780" w:val="left"/>
        </w:tabs>
        <w:rPr>
          <w:sz w:val="20"/>
          <w:szCs w:val="20"/>
          <w:color w:val="auto"/>
        </w:rPr>
      </w:pPr>
      <w:r>
        <w:rPr>
          <w:rFonts w:ascii="Arial" w:cs="Arial" w:eastAsia="Arial" w:hAnsi="Arial"/>
          <w:sz w:val="22"/>
          <w:szCs w:val="22"/>
          <w:color w:val="auto"/>
        </w:rPr>
        <w:t>4.14</w:t>
      </w:r>
      <w:r>
        <w:rPr>
          <w:sz w:val="20"/>
          <w:szCs w:val="20"/>
          <w:color w:val="auto"/>
        </w:rPr>
        <w:tab/>
      </w:r>
      <w:r>
        <w:rPr>
          <w:rFonts w:ascii="Arial" w:cs="Arial" w:eastAsia="Arial" w:hAnsi="Arial"/>
          <w:sz w:val="21"/>
          <w:szCs w:val="21"/>
          <w:b w:val="1"/>
          <w:bCs w:val="1"/>
          <w:u w:val="single" w:color="auto"/>
          <w:color w:val="auto"/>
        </w:rPr>
        <w:t>Six-Month Delay for Key Employees</w:t>
      </w:r>
      <w:r>
        <w:rPr>
          <w:rFonts w:ascii="Arial" w:cs="Arial" w:eastAsia="Arial" w:hAnsi="Arial"/>
          <w:sz w:val="21"/>
          <w:szCs w:val="21"/>
          <w:color w:val="auto"/>
        </w:rPr>
        <w:t>. Notwithstanding any other provision in this Article IV to the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contrary, any distribution scheduled to be made upon Separation from Service to a Participant who is identified as a Key Employee as of the date he or she experiences a Separation from Service shall be delayed for a minimum of six months following the Participant's Separation from Service. Any payment to a Key Employee delayed under this Section 4.14 shall be made within 90 days after the six-month anniversary of the Participant's Separation from Service. The identification of a Participant as a Key Employee shall be made by the Committee in accordance with Section 2.16 of the Plan and sections 416(i) and 409A of the Code and the regulations promulgated thereunder.</w:t>
      </w:r>
    </w:p>
    <w:p>
      <w:pPr>
        <w:spacing w:after="0" w:line="200" w:lineRule="exact"/>
        <w:rPr>
          <w:sz w:val="20"/>
          <w:szCs w:val="20"/>
          <w:color w:val="auto"/>
        </w:rPr>
      </w:pPr>
    </w:p>
    <w:p>
      <w:pPr>
        <w:jc w:val="both"/>
        <w:ind w:left="800" w:hanging="809"/>
        <w:spacing w:after="0" w:line="254" w:lineRule="auto"/>
        <w:tabs>
          <w:tab w:leader="none" w:pos="780" w:val="left"/>
        </w:tabs>
        <w:rPr>
          <w:sz w:val="20"/>
          <w:szCs w:val="20"/>
          <w:color w:val="auto"/>
        </w:rPr>
      </w:pPr>
      <w:r>
        <w:rPr>
          <w:rFonts w:ascii="Arial" w:cs="Arial" w:eastAsia="Arial" w:hAnsi="Arial"/>
          <w:sz w:val="22"/>
          <w:szCs w:val="22"/>
          <w:color w:val="auto"/>
        </w:rPr>
        <w:t>4.15</w:t>
      </w:r>
      <w:r>
        <w:rPr>
          <w:sz w:val="20"/>
          <w:szCs w:val="20"/>
          <w:color w:val="auto"/>
        </w:rPr>
        <w:tab/>
      </w:r>
      <w:r>
        <w:rPr>
          <w:rFonts w:ascii="Arial" w:cs="Arial" w:eastAsia="Arial" w:hAnsi="Arial"/>
          <w:sz w:val="21"/>
          <w:szCs w:val="21"/>
          <w:b w:val="1"/>
          <w:bCs w:val="1"/>
          <w:u w:val="single" w:color="auto"/>
          <w:color w:val="auto"/>
        </w:rPr>
        <w:t>Valuation of Benefits</w:t>
      </w:r>
      <w:r>
        <w:rPr>
          <w:rFonts w:ascii="Arial" w:cs="Arial" w:eastAsia="Arial" w:hAnsi="Arial"/>
          <w:sz w:val="21"/>
          <w:szCs w:val="21"/>
          <w:color w:val="auto"/>
        </w:rPr>
        <w:t>. Unless otherwise specified in the Plan, the amount of benefits to be distributed</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under the Plan, including the Actuarial Equivalent lump sum amounts, shall be determined on the first day of the month following (i) the date on which the Participant experiences a Separation from Service or (ii) the date of the Participant's death, whichever is applicable.</w:t>
      </w:r>
    </w:p>
    <w:p>
      <w:pPr>
        <w:spacing w:after="0" w:line="201" w:lineRule="exact"/>
        <w:rPr>
          <w:sz w:val="20"/>
          <w:szCs w:val="20"/>
          <w:color w:val="auto"/>
        </w:rPr>
      </w:pPr>
    </w:p>
    <w:p>
      <w:pPr>
        <w:jc w:val="both"/>
        <w:ind w:left="800" w:hanging="809"/>
        <w:spacing w:after="0" w:line="251" w:lineRule="auto"/>
        <w:tabs>
          <w:tab w:leader="none" w:pos="780" w:val="left"/>
        </w:tabs>
        <w:rPr>
          <w:sz w:val="20"/>
          <w:szCs w:val="20"/>
          <w:color w:val="auto"/>
        </w:rPr>
      </w:pPr>
      <w:r>
        <w:rPr>
          <w:rFonts w:ascii="Arial" w:cs="Arial" w:eastAsia="Arial" w:hAnsi="Arial"/>
          <w:sz w:val="21"/>
          <w:szCs w:val="21"/>
          <w:color w:val="auto"/>
        </w:rPr>
        <w:t>4.16</w:t>
      </w:r>
      <w:r>
        <w:rPr>
          <w:sz w:val="20"/>
          <w:szCs w:val="20"/>
          <w:color w:val="auto"/>
        </w:rPr>
        <w:tab/>
      </w:r>
      <w:r>
        <w:rPr>
          <w:rFonts w:ascii="Arial" w:cs="Arial" w:eastAsia="Arial" w:hAnsi="Arial"/>
          <w:sz w:val="21"/>
          <w:szCs w:val="21"/>
          <w:b w:val="1"/>
          <w:bCs w:val="1"/>
          <w:u w:val="single" w:color="auto"/>
          <w:color w:val="auto"/>
        </w:rPr>
        <w:t>Effective Date of Death Benefit Election</w:t>
      </w:r>
      <w:r>
        <w:rPr>
          <w:rFonts w:ascii="Arial" w:cs="Arial" w:eastAsia="Arial" w:hAnsi="Arial"/>
          <w:sz w:val="21"/>
          <w:szCs w:val="21"/>
          <w:color w:val="auto"/>
        </w:rPr>
        <w:t>. If an election to receive a survivor benefit in lieu of a retirement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benefit under Section 4.03, 4.04, 4.06 or 4.07 is not effective prior to the date that a Participant experiences a Separation from Service, a Participant's election to receive a survivor benefit in lieu of a retirement benefit shall be void.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SOURCE OF PAYMENTS</w:t>
      </w:r>
    </w:p>
    <w:p>
      <w:pPr>
        <w:spacing w:after="0" w:line="241" w:lineRule="exact"/>
        <w:rPr>
          <w:sz w:val="20"/>
          <w:szCs w:val="20"/>
          <w:color w:val="auto"/>
        </w:rPr>
      </w:pPr>
    </w:p>
    <w:p>
      <w:pPr>
        <w:jc w:val="both"/>
        <w:ind w:left="800" w:hanging="809"/>
        <w:spacing w:after="0" w:line="272" w:lineRule="auto"/>
        <w:tabs>
          <w:tab w:leader="none" w:pos="780" w:val="left"/>
        </w:tabs>
        <w:rPr>
          <w:sz w:val="20"/>
          <w:szCs w:val="20"/>
          <w:color w:val="auto"/>
        </w:rPr>
      </w:pPr>
      <w:r>
        <w:rPr>
          <w:rFonts w:ascii="Arial" w:cs="Arial" w:eastAsia="Arial" w:hAnsi="Arial"/>
          <w:sz w:val="21"/>
          <w:szCs w:val="21"/>
          <w:color w:val="auto"/>
        </w:rPr>
        <w:t>5.01</w:t>
      </w:r>
      <w:r>
        <w:rPr>
          <w:sz w:val="20"/>
          <w:szCs w:val="20"/>
          <w:color w:val="auto"/>
        </w:rPr>
        <w:tab/>
      </w:r>
      <w:r>
        <w:rPr>
          <w:rFonts w:ascii="Arial" w:cs="Arial" w:eastAsia="Arial" w:hAnsi="Arial"/>
          <w:sz w:val="19"/>
          <w:szCs w:val="19"/>
          <w:b w:val="1"/>
          <w:bCs w:val="1"/>
          <w:u w:val="single" w:color="auto"/>
          <w:color w:val="auto"/>
        </w:rPr>
        <w:t>Source of Payments</w:t>
      </w:r>
      <w:r>
        <w:rPr>
          <w:rFonts w:ascii="Arial" w:cs="Arial" w:eastAsia="Arial" w:hAnsi="Arial"/>
          <w:sz w:val="19"/>
          <w:szCs w:val="19"/>
          <w:color w:val="auto"/>
        </w:rPr>
        <w:t>. All benefits payable under this Plan shall be paid in cash from the general funds of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Employer, and no trust account, escrow, fiduciary relationship or other security arrangement shall be established to assure payment. No Participant or Beneficiary shall have any right, title or interest whatsoever in any investments which the Employer may make to aid it in meeting its obligations hereunder. Nothing contained in this Plan, and no action taken pursuant to its provisions, shall create or be construed to create a trust of any kind, or a fiduciary relationship, between the Employer and any Participant, any Beneficiary or a Participant, or any other person. Any amounts payable under the Plan shall continue for all purposes to be part of the general assets of the Employer and, thus, subject to the claims of the Employer's creditors. The Employer shall in no way be restricted with regard to the control, investment and use of such amounts. To the extent that any person acquires a right to receive benefits from the Employer under this Plan, such right shall be no greater than, nor different from, the right of an unsecured general creditor of the Employer.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38873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504" w:right="919" w:bottom="1440" w:gutter="0" w:footer="0" w:header="0"/>
        </w:sectPr>
      </w:pPr>
    </w:p>
    <w:bookmarkStart w:id="101" w:name="page102"/>
    <w:bookmarkEnd w:id="101"/>
    <w:p>
      <w:pPr>
        <w:jc w:val="center"/>
        <w:spacing w:after="0"/>
        <w:rPr>
          <w:sz w:val="20"/>
          <w:szCs w:val="20"/>
          <w:color w:val="auto"/>
        </w:rPr>
      </w:pPr>
      <w:r>
        <w:rPr>
          <w:rFonts w:ascii="Arial" w:cs="Arial" w:eastAsia="Arial" w:hAnsi="Arial"/>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ADMINISTRATION OF THE PLAN</w:t>
      </w:r>
    </w:p>
    <w:p>
      <w:pPr>
        <w:spacing w:after="0" w:line="241" w:lineRule="exact"/>
        <w:rPr>
          <w:sz w:val="20"/>
          <w:szCs w:val="20"/>
          <w:color w:val="auto"/>
        </w:rPr>
      </w:pPr>
    </w:p>
    <w:p>
      <w:pPr>
        <w:jc w:val="both"/>
        <w:ind w:left="800" w:hanging="809"/>
        <w:spacing w:after="0" w:line="248" w:lineRule="auto"/>
        <w:tabs>
          <w:tab w:leader="none" w:pos="780" w:val="left"/>
        </w:tabs>
        <w:rPr>
          <w:sz w:val="20"/>
          <w:szCs w:val="20"/>
          <w:color w:val="auto"/>
        </w:rPr>
      </w:pPr>
      <w:r>
        <w:rPr>
          <w:rFonts w:ascii="Arial" w:cs="Arial" w:eastAsia="Arial" w:hAnsi="Arial"/>
          <w:sz w:val="21"/>
          <w:szCs w:val="21"/>
          <w:color w:val="auto"/>
        </w:rPr>
        <w:t>6.01</w:t>
      </w:r>
      <w:r>
        <w:rPr>
          <w:sz w:val="20"/>
          <w:szCs w:val="20"/>
          <w:color w:val="auto"/>
        </w:rPr>
        <w:tab/>
      </w:r>
      <w:r>
        <w:rPr>
          <w:rFonts w:ascii="Arial" w:cs="Arial" w:eastAsia="Arial" w:hAnsi="Arial"/>
          <w:sz w:val="21"/>
          <w:szCs w:val="21"/>
          <w:b w:val="1"/>
          <w:bCs w:val="1"/>
          <w:u w:val="single" w:color="auto"/>
          <w:color w:val="auto"/>
        </w:rPr>
        <w:t>Administrator</w:t>
      </w:r>
      <w:r>
        <w:rPr>
          <w:rFonts w:ascii="Arial" w:cs="Arial" w:eastAsia="Arial" w:hAnsi="Arial"/>
          <w:sz w:val="21"/>
          <w:szCs w:val="21"/>
          <w:color w:val="auto"/>
        </w:rPr>
        <w:t>. The Administrative Committee appointed by the Board (or such other committee as may be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appointed by the Board from time to time) shall be the administrator of this Plan (the "Administrator"). The Administrator shall have full authority to administer the Plan. The Administrator shall have all of the powers granted by the Matson Retirement Plan to the Administrator of such plan and shall be subject to the same procedures and limitations of authority.</w:t>
      </w:r>
    </w:p>
    <w:p>
      <w:pPr>
        <w:spacing w:after="0" w:line="211" w:lineRule="exact"/>
        <w:rPr>
          <w:sz w:val="20"/>
          <w:szCs w:val="20"/>
          <w:color w:val="auto"/>
        </w:rPr>
      </w:pPr>
    </w:p>
    <w:p>
      <w:pPr>
        <w:jc w:val="both"/>
        <w:ind w:left="800" w:hanging="809"/>
        <w:spacing w:after="0" w:line="270" w:lineRule="auto"/>
        <w:tabs>
          <w:tab w:leader="none" w:pos="780" w:val="left"/>
        </w:tabs>
        <w:rPr>
          <w:sz w:val="20"/>
          <w:szCs w:val="20"/>
          <w:color w:val="auto"/>
        </w:rPr>
      </w:pPr>
      <w:r>
        <w:rPr>
          <w:rFonts w:ascii="Arial" w:cs="Arial" w:eastAsia="Arial" w:hAnsi="Arial"/>
          <w:sz w:val="21"/>
          <w:szCs w:val="21"/>
          <w:color w:val="auto"/>
        </w:rPr>
        <w:t>6.02</w:t>
      </w:r>
      <w:r>
        <w:rPr>
          <w:sz w:val="20"/>
          <w:szCs w:val="20"/>
          <w:color w:val="auto"/>
        </w:rPr>
        <w:tab/>
      </w:r>
      <w:r>
        <w:rPr>
          <w:rFonts w:ascii="Arial" w:cs="Arial" w:eastAsia="Arial" w:hAnsi="Arial"/>
          <w:sz w:val="21"/>
          <w:szCs w:val="21"/>
          <w:b w:val="1"/>
          <w:bCs w:val="1"/>
          <w:u w:val="single" w:color="auto"/>
          <w:color w:val="auto"/>
        </w:rPr>
        <w:t>Claims Procedure</w:t>
      </w:r>
      <w:r>
        <w:rPr>
          <w:rFonts w:ascii="Arial" w:cs="Arial" w:eastAsia="Arial" w:hAnsi="Arial"/>
          <w:sz w:val="21"/>
          <w:szCs w:val="21"/>
          <w:color w:val="auto"/>
        </w:rPr>
        <w:t>. The Administrator shall employ the claims procedures as are applicable under the Matson</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Retirement Plan.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AND TERMINATION</w:t>
      </w:r>
    </w:p>
    <w:p>
      <w:pPr>
        <w:spacing w:after="0" w:line="239" w:lineRule="exact"/>
        <w:rPr>
          <w:sz w:val="20"/>
          <w:szCs w:val="20"/>
          <w:color w:val="auto"/>
        </w:rPr>
      </w:pPr>
    </w:p>
    <w:p>
      <w:pPr>
        <w:jc w:val="both"/>
        <w:ind w:left="800" w:hanging="809"/>
        <w:spacing w:after="0" w:line="277" w:lineRule="auto"/>
        <w:tabs>
          <w:tab w:leader="none" w:pos="780" w:val="left"/>
        </w:tabs>
        <w:rPr>
          <w:sz w:val="20"/>
          <w:szCs w:val="20"/>
          <w:color w:val="auto"/>
        </w:rPr>
      </w:pPr>
      <w:r>
        <w:rPr>
          <w:rFonts w:ascii="Arial" w:cs="Arial" w:eastAsia="Arial" w:hAnsi="Arial"/>
          <w:sz w:val="22"/>
          <w:szCs w:val="22"/>
          <w:color w:val="auto"/>
        </w:rPr>
        <w:t>7.01</w:t>
      </w:r>
      <w:r>
        <w:rPr>
          <w:sz w:val="20"/>
          <w:szCs w:val="20"/>
          <w:color w:val="auto"/>
        </w:rPr>
        <w:tab/>
      </w:r>
      <w:r>
        <w:rPr>
          <w:rFonts w:ascii="Arial" w:cs="Arial" w:eastAsia="Arial" w:hAnsi="Arial"/>
          <w:sz w:val="19"/>
          <w:szCs w:val="19"/>
          <w:color w:val="auto"/>
        </w:rPr>
        <w:t>The right to amend, modify, partially terminate, or completely terminate this Plan is reserved to the Committee; provided, however, that any termination of the Plan will be done pursuant to Section 409A of the Code and the regulations promulgated thereunder. However, no amendment, modification or termination shall adversely affect the right of any Participant or Beneficiary who is receiving benefits under the Plan at the time of such amendment, modification or termination or who is entitled to benefits under the provisions of Section 4.06 as a former Participant of the Plan. The rights of other Participants as of the date the Plan is terminated shall be determined under the provisions of Section 4.07.</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 PROVISIONS</w:t>
      </w:r>
    </w:p>
    <w:p>
      <w:pPr>
        <w:spacing w:after="0" w:line="233" w:lineRule="exact"/>
        <w:rPr>
          <w:sz w:val="20"/>
          <w:szCs w:val="20"/>
          <w:color w:val="auto"/>
        </w:rPr>
      </w:pPr>
    </w:p>
    <w:p>
      <w:pPr>
        <w:jc w:val="both"/>
        <w:ind w:left="800" w:hanging="728"/>
        <w:spacing w:after="0" w:line="280" w:lineRule="auto"/>
        <w:tabs>
          <w:tab w:leader="none" w:pos="780" w:val="left"/>
        </w:tabs>
        <w:rPr>
          <w:sz w:val="20"/>
          <w:szCs w:val="20"/>
          <w:color w:val="auto"/>
        </w:rPr>
      </w:pPr>
      <w:r>
        <w:rPr>
          <w:rFonts w:ascii="Arial" w:cs="Arial" w:eastAsia="Arial" w:hAnsi="Arial"/>
          <w:sz w:val="22"/>
          <w:szCs w:val="22"/>
          <w:color w:val="auto"/>
        </w:rPr>
        <w:t>8.01</w:t>
      </w:r>
      <w:r>
        <w:rPr>
          <w:sz w:val="20"/>
          <w:szCs w:val="20"/>
          <w:color w:val="auto"/>
        </w:rPr>
        <w:tab/>
      </w:r>
      <w:r>
        <w:rPr>
          <w:rFonts w:ascii="Arial" w:cs="Arial" w:eastAsia="Arial" w:hAnsi="Arial"/>
          <w:sz w:val="19"/>
          <w:szCs w:val="19"/>
          <w:b w:val="1"/>
          <w:bCs w:val="1"/>
          <w:u w:val="single" w:color="auto"/>
          <w:color w:val="auto"/>
        </w:rPr>
        <w:t>Benefits Not Assignable</w:t>
      </w:r>
      <w:r>
        <w:rPr>
          <w:rFonts w:ascii="Arial" w:cs="Arial" w:eastAsia="Arial" w:hAnsi="Arial"/>
          <w:sz w:val="19"/>
          <w:szCs w:val="19"/>
          <w:color w:val="auto"/>
        </w:rPr>
        <w:t>. No Participant or Beneficiary, or any other person having or claiming to have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any interest of any kind or character in or under this Plan or in any payment therefrom shall have the right to sell, assign, transfer, convey, hypothecate, anticipate, pledge or otherwise dispose of such interest; and to the extent permitted by law, such interest shall not be subject to any liabilities or obligations of the Participant or to any bankruptcy proceedings, creditor claims, attachment, garnishments, execution, levy or other legal process against such Participant or his or her property.</w:t>
      </w:r>
    </w:p>
    <w:p>
      <w:pPr>
        <w:spacing w:after="0" w:line="172" w:lineRule="exact"/>
        <w:rPr>
          <w:sz w:val="20"/>
          <w:szCs w:val="20"/>
          <w:color w:val="auto"/>
        </w:rPr>
      </w:pPr>
    </w:p>
    <w:p>
      <w:pPr>
        <w:jc w:val="both"/>
        <w:ind w:left="800" w:hanging="809"/>
        <w:spacing w:after="0" w:line="256" w:lineRule="auto"/>
        <w:tabs>
          <w:tab w:leader="none" w:pos="780" w:val="left"/>
        </w:tabs>
        <w:rPr>
          <w:sz w:val="20"/>
          <w:szCs w:val="20"/>
          <w:color w:val="auto"/>
        </w:rPr>
      </w:pPr>
      <w:r>
        <w:rPr>
          <w:rFonts w:ascii="Arial" w:cs="Arial" w:eastAsia="Arial" w:hAnsi="Arial"/>
          <w:sz w:val="22"/>
          <w:szCs w:val="22"/>
          <w:color w:val="auto"/>
        </w:rPr>
        <w:t>8.02</w:t>
      </w:r>
      <w:r>
        <w:rPr>
          <w:sz w:val="20"/>
          <w:szCs w:val="20"/>
          <w:color w:val="auto"/>
        </w:rPr>
        <w:tab/>
      </w:r>
      <w:r>
        <w:rPr>
          <w:rFonts w:ascii="Arial" w:cs="Arial" w:eastAsia="Arial" w:hAnsi="Arial"/>
          <w:sz w:val="22"/>
          <w:szCs w:val="22"/>
          <w:b w:val="1"/>
          <w:bCs w:val="1"/>
          <w:u w:val="single" w:color="auto"/>
          <w:color w:val="auto"/>
        </w:rPr>
        <w:t>Controlling Law</w:t>
      </w:r>
      <w:r>
        <w:rPr>
          <w:rFonts w:ascii="Arial" w:cs="Arial" w:eastAsia="Arial" w:hAnsi="Arial"/>
          <w:sz w:val="22"/>
          <w:szCs w:val="22"/>
          <w:color w:val="auto"/>
        </w:rPr>
        <w:t>. This Plan shall be construed, administered, and governed in all respects in accordance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with the laws of the State of Hawaii.</w:t>
      </w:r>
    </w:p>
    <w:p>
      <w:pPr>
        <w:spacing w:after="0" w:line="190" w:lineRule="exact"/>
        <w:rPr>
          <w:sz w:val="20"/>
          <w:szCs w:val="20"/>
          <w:color w:val="auto"/>
        </w:rPr>
      </w:pPr>
    </w:p>
    <w:p>
      <w:pPr>
        <w:jc w:val="both"/>
        <w:ind w:left="800" w:hanging="809"/>
        <w:spacing w:after="0" w:line="239" w:lineRule="auto"/>
        <w:tabs>
          <w:tab w:leader="none" w:pos="780" w:val="left"/>
        </w:tabs>
        <w:rPr>
          <w:sz w:val="20"/>
          <w:szCs w:val="20"/>
          <w:color w:val="auto"/>
        </w:rPr>
      </w:pPr>
      <w:r>
        <w:rPr>
          <w:rFonts w:ascii="Arial" w:cs="Arial" w:eastAsia="Arial" w:hAnsi="Arial"/>
          <w:sz w:val="22"/>
          <w:szCs w:val="22"/>
          <w:color w:val="auto"/>
        </w:rPr>
        <w:t>8.03</w:t>
      </w:r>
      <w:r>
        <w:rPr>
          <w:sz w:val="20"/>
          <w:szCs w:val="20"/>
          <w:color w:val="auto"/>
        </w:rPr>
        <w:tab/>
      </w:r>
      <w:r>
        <w:rPr>
          <w:rFonts w:ascii="Arial" w:cs="Arial" w:eastAsia="Arial" w:hAnsi="Arial"/>
          <w:sz w:val="22"/>
          <w:szCs w:val="22"/>
          <w:b w:val="1"/>
          <w:bCs w:val="1"/>
          <w:u w:val="single" w:color="auto"/>
          <w:color w:val="auto"/>
        </w:rPr>
        <w:t>Not an Employment Contract</w:t>
      </w:r>
      <w:r>
        <w:rPr>
          <w:rFonts w:ascii="Arial" w:cs="Arial" w:eastAsia="Arial" w:hAnsi="Arial"/>
          <w:sz w:val="22"/>
          <w:szCs w:val="22"/>
          <w:color w:val="auto"/>
        </w:rPr>
        <w:t>. The adoption and maintenance of this Plan shall not be deemed to confer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on any Participant any right to continue in the employ of the Employer, and shall not be deemed to interfere with the right of the Employer to discharge any person with or without cause or treat any person without regard to the effect that such treatment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38873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504" w:right="919" w:bottom="1440" w:gutter="0" w:footer="0" w:header="0"/>
        </w:sectPr>
      </w:pPr>
    </w:p>
    <w:bookmarkStart w:id="102" w:name="page103"/>
    <w:bookmarkEnd w:id="102"/>
    <w:p>
      <w:pPr>
        <w:ind w:left="800"/>
        <w:spacing w:after="0"/>
        <w:rPr>
          <w:sz w:val="20"/>
          <w:szCs w:val="20"/>
          <w:color w:val="auto"/>
        </w:rPr>
      </w:pPr>
      <w:r>
        <w:rPr>
          <w:rFonts w:ascii="Arial" w:cs="Arial" w:eastAsia="Arial" w:hAnsi="Arial"/>
          <w:sz w:val="22"/>
          <w:szCs w:val="22"/>
          <w:color w:val="auto"/>
        </w:rPr>
        <w:t>might have on the person as a Participant.</w:t>
      </w:r>
    </w:p>
    <w:p>
      <w:pPr>
        <w:spacing w:after="0" w:line="227" w:lineRule="exact"/>
        <w:rPr>
          <w:sz w:val="20"/>
          <w:szCs w:val="20"/>
          <w:color w:val="auto"/>
        </w:rPr>
      </w:pPr>
    </w:p>
    <w:p>
      <w:pPr>
        <w:jc w:val="both"/>
        <w:ind w:left="800" w:hanging="809"/>
        <w:spacing w:after="0" w:line="243" w:lineRule="auto"/>
        <w:tabs>
          <w:tab w:leader="none" w:pos="780" w:val="left"/>
        </w:tabs>
        <w:rPr>
          <w:sz w:val="20"/>
          <w:szCs w:val="20"/>
          <w:color w:val="auto"/>
        </w:rPr>
      </w:pPr>
      <w:r>
        <w:rPr>
          <w:rFonts w:ascii="Arial" w:cs="Arial" w:eastAsia="Arial" w:hAnsi="Arial"/>
          <w:sz w:val="22"/>
          <w:szCs w:val="22"/>
          <w:color w:val="auto"/>
        </w:rPr>
        <w:t>8.04</w:t>
      </w:r>
      <w:r>
        <w:rPr>
          <w:sz w:val="20"/>
          <w:szCs w:val="20"/>
          <w:color w:val="auto"/>
        </w:rPr>
        <w:tab/>
      </w:r>
      <w:r>
        <w:rPr>
          <w:rFonts w:ascii="Arial" w:cs="Arial" w:eastAsia="Arial" w:hAnsi="Arial"/>
          <w:sz w:val="22"/>
          <w:szCs w:val="22"/>
          <w:b w:val="1"/>
          <w:bCs w:val="1"/>
          <w:u w:val="single" w:color="auto"/>
          <w:color w:val="auto"/>
        </w:rPr>
        <w:t>Binding Agreement</w:t>
      </w:r>
      <w:r>
        <w:rPr>
          <w:rFonts w:ascii="Arial" w:cs="Arial" w:eastAsia="Arial" w:hAnsi="Arial"/>
          <w:sz w:val="22"/>
          <w:szCs w:val="22"/>
          <w:color w:val="auto"/>
        </w:rPr>
        <w:t>. This Plan shall be binding upon and inure to the benefit of the Employer, its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successors and assigns, and the Participants and their beneficiaries, heirs, executors, administrators and legal representatives.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38873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510" w:right="919" w:bottom="1440" w:gutter="0" w:footer="0" w:header="0"/>
        </w:sectPr>
      </w:pPr>
    </w:p>
    <w:bookmarkStart w:id="103" w:name="page104"/>
    <w:bookmarkEnd w:id="103"/>
    <w:p>
      <w:pPr>
        <w:ind w:hanging="2"/>
        <w:spacing w:after="0" w:line="251" w:lineRule="auto"/>
        <w:rPr>
          <w:sz w:val="20"/>
          <w:szCs w:val="20"/>
          <w:color w:val="auto"/>
        </w:rPr>
      </w:pPr>
      <w:r>
        <w:rPr>
          <w:rFonts w:ascii="Arial" w:cs="Arial" w:eastAsia="Arial" w:hAnsi="Arial"/>
          <w:sz w:val="22"/>
          <w:szCs w:val="22"/>
          <w:color w:val="1F1F1F"/>
        </w:rPr>
        <w:t>IN WITNESS WHEREOF, Matson, Inc. has caused this Plan to be executed on its behalf by its duly authorized officers this 29</w:t>
      </w:r>
      <w:r>
        <w:rPr>
          <w:rFonts w:ascii="Arial" w:cs="Arial" w:eastAsia="Arial" w:hAnsi="Arial"/>
          <w:sz w:val="10"/>
          <w:szCs w:val="10"/>
          <w:color w:val="1F1F1F"/>
        </w:rPr>
        <w:t>th</w:t>
      </w:r>
      <w:r>
        <w:rPr>
          <w:rFonts w:ascii="Arial" w:cs="Arial" w:eastAsia="Arial" w:hAnsi="Arial"/>
          <w:sz w:val="22"/>
          <w:szCs w:val="22"/>
          <w:color w:val="1F1F1F"/>
        </w:rPr>
        <w:t xml:space="preserve"> day of June, 2012.</w:t>
      </w:r>
    </w:p>
    <w:p>
      <w:pPr>
        <w:spacing w:after="0" w:line="200" w:lineRule="exact"/>
        <w:rPr>
          <w:sz w:val="20"/>
          <w:szCs w:val="20"/>
          <w:color w:val="auto"/>
        </w:rPr>
      </w:pPr>
    </w:p>
    <w:p>
      <w:pPr>
        <w:spacing w:after="0" w:line="243"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MATSON, INC.</w:t>
      </w:r>
    </w:p>
    <w:p>
      <w:pPr>
        <w:spacing w:after="0" w:line="200" w:lineRule="exact"/>
        <w:rPr>
          <w:sz w:val="20"/>
          <w:szCs w:val="20"/>
          <w:color w:val="auto"/>
        </w:rPr>
      </w:pPr>
    </w:p>
    <w:p>
      <w:pPr>
        <w:spacing w:after="0" w:line="276"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By: /s/ Yolanda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7620</wp:posOffset>
            </wp:positionV>
            <wp:extent cx="28816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9">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Its: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-3175</wp:posOffset>
            </wp:positionV>
            <wp:extent cx="28816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0">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By: /s/ Peter T. Heilmann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7620</wp:posOffset>
            </wp:positionV>
            <wp:extent cx="28816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1">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Its: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-3175</wp:posOffset>
            </wp:positionV>
            <wp:extent cx="28816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2">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38873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510" w:right="9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0" w:type="dxa"/>
            <w:vAlign w:val="bottom"/>
            <w:gridSpan w:val="2"/>
          </w:tcPr>
          <w:p>
            <w:pPr>
              <w:ind w:left="1400"/>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MATSON, INC.</w:t>
            </w:r>
          </w:p>
        </w:tc>
        <w:tc>
          <w:tcPr>
            <w:tcW w:w="15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660" w:type="dxa"/>
            <w:vAlign w:val="bottom"/>
            <w:gridSpan w:val="3"/>
          </w:tcPr>
          <w:p>
            <w:pPr>
              <w:jc w:val="center"/>
              <w:ind w:left="2270"/>
              <w:spacing w:after="0"/>
              <w:rPr>
                <w:sz w:val="20"/>
                <w:szCs w:val="20"/>
                <w:color w:val="auto"/>
              </w:rPr>
            </w:pPr>
            <w:r>
              <w:rPr>
                <w:rFonts w:ascii="Arial" w:cs="Arial" w:eastAsia="Arial" w:hAnsi="Arial"/>
                <w:sz w:val="18"/>
                <w:szCs w:val="18"/>
                <w:b w:val="1"/>
                <w:bCs w:val="1"/>
                <w:color w:val="auto"/>
                <w:w w:val="89"/>
              </w:rPr>
              <w:t>Subsidiaries as of February 15, 2019</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6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ABHI-Crockett, Inc.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Hawaii</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spacing w:after="0" w:line="189" w:lineRule="exact"/>
              <w:rPr>
                <w:sz w:val="20"/>
                <w:szCs w:val="20"/>
                <w:color w:val="auto"/>
              </w:rPr>
            </w:pPr>
            <w:r>
              <w:rPr>
                <w:rFonts w:ascii="Arial" w:cs="Arial" w:eastAsia="Arial" w:hAnsi="Arial"/>
                <w:sz w:val="18"/>
                <w:szCs w:val="18"/>
                <w:color w:val="auto"/>
              </w:rPr>
              <w:t>Matson Navigation Company, Inc.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160"/>
              <w:spacing w:after="0" w:line="189" w:lineRule="exact"/>
              <w:rPr>
                <w:sz w:val="20"/>
                <w:szCs w:val="20"/>
                <w:color w:val="auto"/>
              </w:rPr>
            </w:pPr>
            <w:r>
              <w:rPr>
                <w:rFonts w:ascii="Arial" w:cs="Arial" w:eastAsia="Arial" w:hAnsi="Arial"/>
                <w:sz w:val="18"/>
                <w:szCs w:val="18"/>
                <w:color w:val="auto"/>
              </w:rPr>
              <w:t>Subsidiaries:</w:t>
            </w:r>
          </w:p>
        </w:tc>
        <w:tc>
          <w:tcPr>
            <w:tcW w:w="23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340"/>
              <w:spacing w:after="0" w:line="189" w:lineRule="exact"/>
              <w:rPr>
                <w:sz w:val="20"/>
                <w:szCs w:val="20"/>
                <w:color w:val="auto"/>
              </w:rPr>
            </w:pPr>
            <w:r>
              <w:rPr>
                <w:rFonts w:ascii="Arial" w:cs="Arial" w:eastAsia="Arial" w:hAnsi="Arial"/>
                <w:sz w:val="18"/>
                <w:szCs w:val="18"/>
                <w:color w:val="auto"/>
              </w:rPr>
              <w:t>Matson Alaska, Inc.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520"/>
              <w:spacing w:after="0" w:line="189" w:lineRule="exact"/>
              <w:rPr>
                <w:sz w:val="20"/>
                <w:szCs w:val="20"/>
                <w:color w:val="auto"/>
              </w:rPr>
            </w:pPr>
            <w:r>
              <w:rPr>
                <w:rFonts w:ascii="Arial" w:cs="Arial" w:eastAsia="Arial" w:hAnsi="Arial"/>
                <w:sz w:val="18"/>
                <w:szCs w:val="18"/>
                <w:color w:val="auto"/>
              </w:rPr>
              <w:t>Subsidiaries:</w:t>
            </w:r>
          </w:p>
        </w:tc>
        <w:tc>
          <w:tcPr>
            <w:tcW w:w="23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700"/>
              <w:spacing w:after="0" w:line="189" w:lineRule="exact"/>
              <w:rPr>
                <w:sz w:val="20"/>
                <w:szCs w:val="20"/>
                <w:color w:val="auto"/>
              </w:rPr>
            </w:pPr>
            <w:r>
              <w:rPr>
                <w:rFonts w:ascii="Arial" w:cs="Arial" w:eastAsia="Arial" w:hAnsi="Arial"/>
                <w:sz w:val="18"/>
                <w:szCs w:val="18"/>
                <w:color w:val="auto"/>
              </w:rPr>
              <w:t>Horizon Lines Holding Corp.</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940"/>
              <w:spacing w:after="0" w:line="189" w:lineRule="exact"/>
              <w:rPr>
                <w:sz w:val="20"/>
                <w:szCs w:val="20"/>
                <w:color w:val="auto"/>
              </w:rPr>
            </w:pPr>
            <w:r>
              <w:rPr>
                <w:rFonts w:ascii="Arial" w:cs="Arial" w:eastAsia="Arial" w:hAnsi="Arial"/>
                <w:sz w:val="18"/>
                <w:szCs w:val="18"/>
                <w:color w:val="auto"/>
              </w:rPr>
              <w:t>Subsidiaries:</w:t>
            </w:r>
          </w:p>
        </w:tc>
        <w:tc>
          <w:tcPr>
            <w:tcW w:w="23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1280"/>
              <w:spacing w:after="0" w:line="189" w:lineRule="exact"/>
              <w:rPr>
                <w:sz w:val="20"/>
                <w:szCs w:val="20"/>
                <w:color w:val="auto"/>
              </w:rPr>
            </w:pPr>
            <w:r>
              <w:rPr>
                <w:rFonts w:ascii="Arial" w:cs="Arial" w:eastAsia="Arial" w:hAnsi="Arial"/>
                <w:sz w:val="18"/>
                <w:szCs w:val="18"/>
                <w:color w:val="auto"/>
              </w:rPr>
              <w:t>Horizon Lines of Puerto Rico, LLC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1280"/>
              <w:spacing w:after="0" w:line="189" w:lineRule="exact"/>
              <w:rPr>
                <w:sz w:val="20"/>
                <w:szCs w:val="20"/>
                <w:color w:val="auto"/>
              </w:rPr>
            </w:pPr>
            <w:r>
              <w:rPr>
                <w:rFonts w:ascii="Arial" w:cs="Arial" w:eastAsia="Arial" w:hAnsi="Arial"/>
                <w:sz w:val="18"/>
                <w:szCs w:val="18"/>
                <w:color w:val="auto"/>
              </w:rPr>
              <w:t>HLPR Holding Corp.</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1280"/>
              <w:spacing w:after="0" w:line="189" w:lineRule="exact"/>
              <w:rPr>
                <w:sz w:val="20"/>
                <w:szCs w:val="20"/>
                <w:color w:val="auto"/>
              </w:rPr>
            </w:pPr>
            <w:r>
              <w:rPr>
                <w:rFonts w:ascii="Arial" w:cs="Arial" w:eastAsia="Arial" w:hAnsi="Arial"/>
                <w:sz w:val="18"/>
                <w:szCs w:val="18"/>
                <w:color w:val="auto"/>
              </w:rPr>
              <w:t>Horizon Logistics, LLC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1600"/>
              <w:spacing w:after="0" w:line="189" w:lineRule="exact"/>
              <w:rPr>
                <w:sz w:val="20"/>
                <w:szCs w:val="20"/>
                <w:color w:val="auto"/>
              </w:rPr>
            </w:pPr>
            <w:r>
              <w:rPr>
                <w:rFonts w:ascii="Arial" w:cs="Arial" w:eastAsia="Arial" w:hAnsi="Arial"/>
                <w:sz w:val="18"/>
                <w:szCs w:val="18"/>
                <w:color w:val="auto"/>
              </w:rPr>
              <w:t>Subsidiaries:</w:t>
            </w:r>
          </w:p>
        </w:tc>
        <w:tc>
          <w:tcPr>
            <w:tcW w:w="23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1920"/>
              <w:spacing w:after="0" w:line="189" w:lineRule="exact"/>
              <w:rPr>
                <w:sz w:val="20"/>
                <w:szCs w:val="20"/>
                <w:color w:val="auto"/>
              </w:rPr>
            </w:pPr>
            <w:r>
              <w:rPr>
                <w:rFonts w:ascii="Arial" w:cs="Arial" w:eastAsia="Arial" w:hAnsi="Arial"/>
                <w:sz w:val="18"/>
                <w:szCs w:val="18"/>
                <w:color w:val="auto"/>
              </w:rPr>
              <w:t>Horizon Services Group, LLC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1920"/>
              <w:spacing w:after="0" w:line="189" w:lineRule="exact"/>
              <w:rPr>
                <w:sz w:val="20"/>
                <w:szCs w:val="20"/>
                <w:color w:val="auto"/>
              </w:rPr>
            </w:pPr>
            <w:r>
              <w:rPr>
                <w:rFonts w:ascii="Arial" w:cs="Arial" w:eastAsia="Arial" w:hAnsi="Arial"/>
                <w:sz w:val="18"/>
                <w:szCs w:val="18"/>
                <w:color w:val="auto"/>
              </w:rPr>
              <w:t>Aero Logistics, LLC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1280"/>
              <w:spacing w:after="0" w:line="189" w:lineRule="exact"/>
              <w:rPr>
                <w:sz w:val="20"/>
                <w:szCs w:val="20"/>
                <w:color w:val="auto"/>
              </w:rPr>
            </w:pPr>
            <w:r>
              <w:rPr>
                <w:rFonts w:ascii="Arial" w:cs="Arial" w:eastAsia="Arial" w:hAnsi="Arial"/>
                <w:sz w:val="18"/>
                <w:szCs w:val="18"/>
                <w:color w:val="auto"/>
              </w:rPr>
              <w:t>Horizon Lines, LLC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1600"/>
              <w:spacing w:after="0" w:line="189" w:lineRule="exact"/>
              <w:rPr>
                <w:sz w:val="20"/>
                <w:szCs w:val="20"/>
                <w:color w:val="auto"/>
              </w:rPr>
            </w:pPr>
            <w:r>
              <w:rPr>
                <w:rFonts w:ascii="Arial" w:cs="Arial" w:eastAsia="Arial" w:hAnsi="Arial"/>
                <w:sz w:val="18"/>
                <w:szCs w:val="18"/>
                <w:color w:val="auto"/>
              </w:rPr>
              <w:t>Subsidiaries:</w:t>
            </w:r>
          </w:p>
        </w:tc>
        <w:tc>
          <w:tcPr>
            <w:tcW w:w="23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1920"/>
              <w:spacing w:after="0" w:line="189" w:lineRule="exact"/>
              <w:rPr>
                <w:sz w:val="20"/>
                <w:szCs w:val="20"/>
                <w:color w:val="auto"/>
              </w:rPr>
            </w:pPr>
            <w:r>
              <w:rPr>
                <w:rFonts w:ascii="Arial" w:cs="Arial" w:eastAsia="Arial" w:hAnsi="Arial"/>
                <w:sz w:val="18"/>
                <w:szCs w:val="18"/>
                <w:color w:val="auto"/>
              </w:rPr>
              <w:t>Horizon Lines of Guam, LLC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1920"/>
              <w:spacing w:after="0" w:line="189" w:lineRule="exact"/>
              <w:rPr>
                <w:sz w:val="20"/>
                <w:szCs w:val="20"/>
                <w:color w:val="auto"/>
              </w:rPr>
            </w:pPr>
            <w:r>
              <w:rPr>
                <w:rFonts w:ascii="Arial" w:cs="Arial" w:eastAsia="Arial" w:hAnsi="Arial"/>
                <w:sz w:val="18"/>
                <w:szCs w:val="18"/>
                <w:color w:val="auto"/>
              </w:rPr>
              <w:t>Horizon Lines Vessels, LLC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1920"/>
              <w:spacing w:after="0" w:line="189" w:lineRule="exact"/>
              <w:rPr>
                <w:sz w:val="20"/>
                <w:szCs w:val="20"/>
                <w:color w:val="auto"/>
              </w:rPr>
            </w:pPr>
            <w:r>
              <w:rPr>
                <w:rFonts w:ascii="Arial" w:cs="Arial" w:eastAsia="Arial" w:hAnsi="Arial"/>
                <w:sz w:val="18"/>
                <w:szCs w:val="18"/>
                <w:color w:val="auto"/>
              </w:rPr>
              <w:t>H-L Distribution Service, LLC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1920"/>
              <w:spacing w:after="0" w:line="189" w:lineRule="exact"/>
              <w:rPr>
                <w:sz w:val="20"/>
                <w:szCs w:val="20"/>
                <w:color w:val="auto"/>
              </w:rPr>
            </w:pPr>
            <w:r>
              <w:rPr>
                <w:rFonts w:ascii="Arial" w:cs="Arial" w:eastAsia="Arial" w:hAnsi="Arial"/>
                <w:sz w:val="18"/>
                <w:szCs w:val="18"/>
                <w:color w:val="auto"/>
              </w:rPr>
              <w:t>Matson Navigation Company of Alaska, LLC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2420"/>
              <w:spacing w:after="0" w:line="189" w:lineRule="exact"/>
              <w:rPr>
                <w:sz w:val="20"/>
                <w:szCs w:val="20"/>
                <w:color w:val="auto"/>
              </w:rPr>
            </w:pPr>
            <w:r>
              <w:rPr>
                <w:rFonts w:ascii="Arial" w:cs="Arial" w:eastAsia="Arial" w:hAnsi="Arial"/>
                <w:sz w:val="18"/>
                <w:szCs w:val="18"/>
                <w:color w:val="auto"/>
              </w:rPr>
              <w:t>Subsidiaries:</w:t>
            </w:r>
          </w:p>
        </w:tc>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2580"/>
              <w:spacing w:after="0" w:line="189" w:lineRule="exact"/>
              <w:rPr>
                <w:sz w:val="20"/>
                <w:szCs w:val="20"/>
                <w:color w:val="auto"/>
              </w:rPr>
            </w:pPr>
            <w:r>
              <w:rPr>
                <w:rFonts w:ascii="Arial" w:cs="Arial" w:eastAsia="Arial" w:hAnsi="Arial"/>
                <w:sz w:val="18"/>
                <w:szCs w:val="18"/>
                <w:color w:val="auto"/>
              </w:rPr>
              <w:t>Horizon Lines Merchant Vessels, LLC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3060"/>
              <w:spacing w:after="0" w:line="189" w:lineRule="exact"/>
              <w:rPr>
                <w:sz w:val="20"/>
                <w:szCs w:val="20"/>
                <w:color w:val="auto"/>
              </w:rPr>
            </w:pPr>
            <w:r>
              <w:rPr>
                <w:rFonts w:ascii="Arial" w:cs="Arial" w:eastAsia="Arial" w:hAnsi="Arial"/>
                <w:sz w:val="18"/>
                <w:szCs w:val="18"/>
                <w:color w:val="auto"/>
              </w:rPr>
              <w:t>Subsidiaries:</w:t>
            </w:r>
          </w:p>
        </w:tc>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jc w:val="center"/>
              <w:ind w:left="2270"/>
              <w:spacing w:after="0" w:line="189" w:lineRule="exact"/>
              <w:rPr>
                <w:sz w:val="20"/>
                <w:szCs w:val="20"/>
                <w:color w:val="auto"/>
              </w:rPr>
            </w:pPr>
            <w:r>
              <w:rPr>
                <w:rFonts w:ascii="Arial" w:cs="Arial" w:eastAsia="Arial" w:hAnsi="Arial"/>
                <w:sz w:val="18"/>
                <w:szCs w:val="18"/>
                <w:color w:val="auto"/>
                <w:w w:val="92"/>
              </w:rPr>
              <w:t>Horizon Lines Alaska Vessels, LLC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3220"/>
              <w:spacing w:after="0" w:line="189" w:lineRule="exact"/>
              <w:rPr>
                <w:sz w:val="20"/>
                <w:szCs w:val="20"/>
                <w:color w:val="auto"/>
              </w:rPr>
            </w:pPr>
            <w:r>
              <w:rPr>
                <w:rFonts w:ascii="Arial" w:cs="Arial" w:eastAsia="Arial" w:hAnsi="Arial"/>
                <w:sz w:val="18"/>
                <w:szCs w:val="18"/>
                <w:color w:val="auto"/>
              </w:rPr>
              <w:t>Horizon Lines Alaska Terminals, LLC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8"/>
                <w:szCs w:val="18"/>
                <w:color w:val="auto"/>
              </w:rPr>
              <w:t>Matson Logistics, Inc.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520"/>
              <w:spacing w:after="0" w:line="189" w:lineRule="exact"/>
              <w:rPr>
                <w:sz w:val="20"/>
                <w:szCs w:val="20"/>
                <w:color w:val="auto"/>
              </w:rPr>
            </w:pPr>
            <w:r>
              <w:rPr>
                <w:rFonts w:ascii="Arial" w:cs="Arial" w:eastAsia="Arial" w:hAnsi="Arial"/>
                <w:sz w:val="18"/>
                <w:szCs w:val="18"/>
                <w:color w:val="auto"/>
              </w:rPr>
              <w:t>Subsidiaries:</w:t>
            </w:r>
          </w:p>
        </w:tc>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700"/>
              <w:spacing w:after="0" w:line="189" w:lineRule="exact"/>
              <w:rPr>
                <w:sz w:val="20"/>
                <w:szCs w:val="20"/>
                <w:color w:val="auto"/>
              </w:rPr>
            </w:pPr>
            <w:r>
              <w:rPr>
                <w:rFonts w:ascii="Arial" w:cs="Arial" w:eastAsia="Arial" w:hAnsi="Arial"/>
                <w:sz w:val="18"/>
                <w:szCs w:val="18"/>
                <w:color w:val="auto"/>
              </w:rPr>
              <w:t>Matson Logistics Services, LLC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700"/>
              <w:spacing w:after="0" w:line="189" w:lineRule="exact"/>
              <w:rPr>
                <w:sz w:val="20"/>
                <w:szCs w:val="20"/>
                <w:color w:val="auto"/>
              </w:rPr>
            </w:pPr>
            <w:r>
              <w:rPr>
                <w:rFonts w:ascii="Arial" w:cs="Arial" w:eastAsia="Arial" w:hAnsi="Arial"/>
                <w:sz w:val="18"/>
                <w:szCs w:val="18"/>
                <w:color w:val="auto"/>
              </w:rPr>
              <w:t>Matson Logistics Warehousing, Inc.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700"/>
              <w:spacing w:after="0" w:line="189" w:lineRule="exact"/>
              <w:rPr>
                <w:sz w:val="20"/>
                <w:szCs w:val="20"/>
                <w:color w:val="auto"/>
              </w:rPr>
            </w:pPr>
            <w:r>
              <w:rPr>
                <w:rFonts w:ascii="Arial" w:cs="Arial" w:eastAsia="Arial" w:hAnsi="Arial"/>
                <w:sz w:val="18"/>
                <w:szCs w:val="18"/>
                <w:color w:val="auto"/>
              </w:rPr>
              <w:t>Span Intermediate, LLC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940"/>
              <w:spacing w:after="0" w:line="189" w:lineRule="exact"/>
              <w:rPr>
                <w:sz w:val="20"/>
                <w:szCs w:val="20"/>
                <w:color w:val="auto"/>
              </w:rPr>
            </w:pPr>
            <w:r>
              <w:rPr>
                <w:rFonts w:ascii="Arial" w:cs="Arial" w:eastAsia="Arial" w:hAnsi="Arial"/>
                <w:sz w:val="18"/>
                <w:szCs w:val="18"/>
                <w:color w:val="auto"/>
              </w:rPr>
              <w:t>Subsidiary:</w:t>
            </w:r>
          </w:p>
        </w:tc>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1280"/>
              <w:spacing w:after="0" w:line="189" w:lineRule="exact"/>
              <w:rPr>
                <w:sz w:val="20"/>
                <w:szCs w:val="20"/>
                <w:color w:val="auto"/>
              </w:rPr>
            </w:pPr>
            <w:r>
              <w:rPr>
                <w:rFonts w:ascii="Arial" w:cs="Arial" w:eastAsia="Arial" w:hAnsi="Arial"/>
                <w:sz w:val="18"/>
                <w:szCs w:val="18"/>
                <w:color w:val="auto"/>
              </w:rPr>
              <w:t>Span Acquisition Co., LLC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1600"/>
              <w:spacing w:after="0" w:line="189" w:lineRule="exact"/>
              <w:rPr>
                <w:sz w:val="20"/>
                <w:szCs w:val="20"/>
                <w:color w:val="auto"/>
              </w:rPr>
            </w:pPr>
            <w:r>
              <w:rPr>
                <w:rFonts w:ascii="Arial" w:cs="Arial" w:eastAsia="Arial" w:hAnsi="Arial"/>
                <w:sz w:val="18"/>
                <w:szCs w:val="18"/>
                <w:color w:val="auto"/>
              </w:rPr>
              <w:t>Subsidiaries:</w:t>
            </w:r>
          </w:p>
        </w:tc>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1920"/>
              <w:spacing w:after="0" w:line="189" w:lineRule="exact"/>
              <w:rPr>
                <w:sz w:val="20"/>
                <w:szCs w:val="20"/>
                <w:color w:val="auto"/>
              </w:rPr>
            </w:pPr>
            <w:r>
              <w:rPr>
                <w:rFonts w:ascii="Arial" w:cs="Arial" w:eastAsia="Arial" w:hAnsi="Arial"/>
                <w:sz w:val="18"/>
                <w:szCs w:val="18"/>
                <w:color w:val="auto"/>
              </w:rPr>
              <w:t>Span Alaska Transportation, LLC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Washington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1920"/>
              <w:spacing w:after="0" w:line="189" w:lineRule="exact"/>
              <w:rPr>
                <w:sz w:val="20"/>
                <w:szCs w:val="20"/>
                <w:color w:val="auto"/>
              </w:rPr>
            </w:pPr>
            <w:r>
              <w:rPr>
                <w:rFonts w:ascii="Arial" w:cs="Arial" w:eastAsia="Arial" w:hAnsi="Arial"/>
                <w:sz w:val="18"/>
                <w:szCs w:val="18"/>
                <w:color w:val="auto"/>
              </w:rPr>
              <w:t>Alaska Freight Express, LLC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Washington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1920"/>
              <w:spacing w:after="0" w:line="189" w:lineRule="exact"/>
              <w:rPr>
                <w:sz w:val="20"/>
                <w:szCs w:val="20"/>
                <w:color w:val="auto"/>
              </w:rPr>
            </w:pPr>
            <w:r>
              <w:rPr>
                <w:rFonts w:ascii="Arial" w:cs="Arial" w:eastAsia="Arial" w:hAnsi="Arial"/>
                <w:sz w:val="18"/>
                <w:szCs w:val="18"/>
                <w:color w:val="auto"/>
              </w:rPr>
              <w:t>Midnight Sun Transportation Services, LLC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Alaska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340"/>
              <w:spacing w:after="0" w:line="189" w:lineRule="exact"/>
              <w:rPr>
                <w:sz w:val="20"/>
                <w:szCs w:val="20"/>
                <w:color w:val="auto"/>
              </w:rPr>
            </w:pPr>
            <w:r>
              <w:rPr>
                <w:rFonts w:ascii="Arial" w:cs="Arial" w:eastAsia="Arial" w:hAnsi="Arial"/>
                <w:sz w:val="18"/>
                <w:szCs w:val="18"/>
                <w:color w:val="auto"/>
              </w:rPr>
              <w:t>Matson Logistics Limited</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8"/>
                <w:szCs w:val="18"/>
                <w:color w:val="auto"/>
              </w:rPr>
              <w:t>Matson Navigation Vessels, LLC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340"/>
              <w:spacing w:after="0" w:line="189" w:lineRule="exact"/>
              <w:rPr>
                <w:sz w:val="20"/>
                <w:szCs w:val="20"/>
                <w:color w:val="auto"/>
              </w:rPr>
            </w:pPr>
            <w:r>
              <w:rPr>
                <w:rFonts w:ascii="Arial" w:cs="Arial" w:eastAsia="Arial" w:hAnsi="Arial"/>
                <w:sz w:val="18"/>
                <w:szCs w:val="18"/>
                <w:color w:val="auto"/>
              </w:rPr>
              <w:t>Matson Terminals, Inc.</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8"/>
                <w:szCs w:val="18"/>
                <w:color w:val="auto"/>
              </w:rPr>
              <w:t>Matson Ventures, Inc.</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340"/>
              <w:spacing w:after="0" w:line="189" w:lineRule="exact"/>
              <w:rPr>
                <w:sz w:val="20"/>
                <w:szCs w:val="20"/>
                <w:color w:val="auto"/>
              </w:rPr>
            </w:pPr>
            <w:r>
              <w:rPr>
                <w:rFonts w:ascii="Arial" w:cs="Arial" w:eastAsia="Arial" w:hAnsi="Arial"/>
                <w:sz w:val="18"/>
                <w:szCs w:val="18"/>
                <w:color w:val="auto"/>
              </w:rPr>
              <w:t>Matson Logistics (Shanghai) Co., Ltd.</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China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8"/>
                <w:szCs w:val="18"/>
                <w:color w:val="auto"/>
              </w:rPr>
              <w:t>Matson Shipping (Hong Kong) Limited</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340"/>
              <w:spacing w:after="0" w:line="189" w:lineRule="exact"/>
              <w:rPr>
                <w:sz w:val="20"/>
                <w:szCs w:val="20"/>
                <w:color w:val="auto"/>
              </w:rPr>
            </w:pPr>
            <w:r>
              <w:rPr>
                <w:rFonts w:ascii="Arial" w:cs="Arial" w:eastAsia="Arial" w:hAnsi="Arial"/>
                <w:sz w:val="18"/>
                <w:szCs w:val="18"/>
                <w:color w:val="auto"/>
              </w:rPr>
              <w:t>Matson Shipping (Shanghai) Co., Ltd.</w:t>
            </w:r>
          </w:p>
        </w:tc>
        <w:tc>
          <w:tcPr>
            <w:tcW w:w="2380" w:type="dxa"/>
            <w:vAlign w:val="bottom"/>
          </w:tcPr>
          <w:p>
            <w:pPr>
              <w:ind w:left="680"/>
              <w:spacing w:after="0" w:line="189" w:lineRule="exact"/>
              <w:rPr>
                <w:sz w:val="20"/>
                <w:szCs w:val="20"/>
                <w:color w:val="auto"/>
              </w:rPr>
            </w:pPr>
            <w:r>
              <w:rPr>
                <w:rFonts w:ascii="Arial" w:cs="Arial" w:eastAsia="Arial" w:hAnsi="Arial"/>
                <w:sz w:val="18"/>
                <w:szCs w:val="18"/>
                <w:color w:val="auto"/>
              </w:rPr>
              <w:t>China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8"/>
                <w:szCs w:val="18"/>
                <w:color w:val="auto"/>
              </w:rPr>
              <w:t>Matson South Pacific Holdco Limited</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New Zealand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520"/>
              <w:spacing w:after="0" w:line="189" w:lineRule="exact"/>
              <w:rPr>
                <w:sz w:val="20"/>
                <w:szCs w:val="20"/>
                <w:color w:val="auto"/>
              </w:rPr>
            </w:pPr>
            <w:r>
              <w:rPr>
                <w:rFonts w:ascii="Arial" w:cs="Arial" w:eastAsia="Arial" w:hAnsi="Arial"/>
                <w:sz w:val="18"/>
                <w:szCs w:val="18"/>
                <w:color w:val="auto"/>
              </w:rPr>
              <w:t>Subsidiary:</w:t>
            </w:r>
          </w:p>
        </w:tc>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700"/>
              <w:spacing w:after="0" w:line="189" w:lineRule="exact"/>
              <w:rPr>
                <w:sz w:val="20"/>
                <w:szCs w:val="20"/>
                <w:color w:val="auto"/>
              </w:rPr>
            </w:pPr>
            <w:r>
              <w:rPr>
                <w:rFonts w:ascii="Arial" w:cs="Arial" w:eastAsia="Arial" w:hAnsi="Arial"/>
                <w:sz w:val="18"/>
                <w:szCs w:val="18"/>
                <w:color w:val="auto"/>
              </w:rPr>
              <w:t>Matson South Pacific Limited</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New Zealand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tcPr>
          <w:p>
            <w:pPr>
              <w:ind w:left="880"/>
              <w:spacing w:after="0" w:line="189" w:lineRule="exact"/>
              <w:rPr>
                <w:sz w:val="20"/>
                <w:szCs w:val="20"/>
                <w:color w:val="auto"/>
              </w:rPr>
            </w:pPr>
            <w:r>
              <w:rPr>
                <w:rFonts w:ascii="Arial" w:cs="Arial" w:eastAsia="Arial" w:hAnsi="Arial"/>
                <w:sz w:val="18"/>
                <w:szCs w:val="18"/>
                <w:color w:val="auto"/>
              </w:rPr>
              <w:t>Subsidiaries:</w:t>
            </w:r>
          </w:p>
        </w:tc>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3"/>
            <w:shd w:val="clear" w:color="auto" w:fill="CCEEFF"/>
          </w:tcPr>
          <w:p>
            <w:pPr>
              <w:ind w:left="1280"/>
              <w:spacing w:after="0" w:line="189" w:lineRule="exact"/>
              <w:rPr>
                <w:sz w:val="20"/>
                <w:szCs w:val="20"/>
                <w:color w:val="auto"/>
              </w:rPr>
            </w:pPr>
            <w:r>
              <w:rPr>
                <w:rFonts w:ascii="Arial" w:cs="Arial" w:eastAsia="Arial" w:hAnsi="Arial"/>
                <w:sz w:val="18"/>
                <w:szCs w:val="18"/>
                <w:color w:val="auto"/>
              </w:rPr>
              <w:t>Matson Cook Islands Limited</w:t>
            </w:r>
          </w:p>
        </w:tc>
        <w:tc>
          <w:tcPr>
            <w:tcW w:w="23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Cook Islands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20" w:type="dxa"/>
            <w:vAlign w:val="bottom"/>
          </w:tcPr>
          <w:p>
            <w:pPr>
              <w:ind w:left="1300"/>
              <w:spacing w:after="0"/>
              <w:rPr>
                <w:sz w:val="20"/>
                <w:szCs w:val="20"/>
                <w:color w:val="auto"/>
              </w:rPr>
            </w:pPr>
            <w:r>
              <w:rPr>
                <w:rFonts w:ascii="Arial" w:cs="Arial" w:eastAsia="Arial" w:hAnsi="Arial"/>
                <w:sz w:val="18"/>
                <w:szCs w:val="18"/>
                <w:color w:val="auto"/>
              </w:rPr>
              <w:t>Tranz Pacific Management Limited</w:t>
            </w:r>
          </w:p>
        </w:tc>
        <w:tc>
          <w:tcPr>
            <w:tcW w:w="3440" w:type="dxa"/>
            <w:vAlign w:val="bottom"/>
          </w:tcPr>
          <w:p>
            <w:pPr>
              <w:ind w:left="1740"/>
              <w:spacing w:after="0"/>
              <w:rPr>
                <w:sz w:val="20"/>
                <w:szCs w:val="20"/>
                <w:color w:val="auto"/>
              </w:rPr>
            </w:pPr>
            <w:r>
              <w:rPr>
                <w:rFonts w:ascii="Arial" w:cs="Arial" w:eastAsia="Arial" w:hAnsi="Arial"/>
                <w:sz w:val="18"/>
                <w:szCs w:val="18"/>
                <w:color w:val="auto"/>
              </w:rPr>
              <w:t>New Zealand</w:t>
            </w:r>
          </w:p>
        </w:tc>
      </w:tr>
      <w:tr>
        <w:trPr>
          <w:trHeight w:val="189"/>
        </w:trPr>
        <w:tc>
          <w:tcPr>
            <w:tcW w:w="5620" w:type="dxa"/>
            <w:vAlign w:val="bottom"/>
            <w:shd w:val="clear" w:color="auto" w:fill="CCEEFF"/>
          </w:tcPr>
          <w:p>
            <w:pPr>
              <w:ind w:left="1300"/>
              <w:spacing w:after="0" w:line="189" w:lineRule="exact"/>
              <w:rPr>
                <w:sz w:val="20"/>
                <w:szCs w:val="20"/>
                <w:color w:val="auto"/>
              </w:rPr>
            </w:pPr>
            <w:r>
              <w:rPr>
                <w:rFonts w:ascii="Arial" w:cs="Arial" w:eastAsia="Arial" w:hAnsi="Arial"/>
                <w:sz w:val="18"/>
                <w:szCs w:val="18"/>
                <w:color w:val="auto"/>
              </w:rPr>
              <w:t>Matson (Antigua) Limited</w:t>
            </w:r>
          </w:p>
        </w:tc>
        <w:tc>
          <w:tcPr>
            <w:tcW w:w="3440" w:type="dxa"/>
            <w:vAlign w:val="bottom"/>
            <w:shd w:val="clear" w:color="auto" w:fill="CCEEFF"/>
          </w:tcPr>
          <w:p>
            <w:pPr>
              <w:ind w:left="1740"/>
              <w:spacing w:after="0" w:line="189" w:lineRule="exact"/>
              <w:rPr>
                <w:sz w:val="20"/>
                <w:szCs w:val="20"/>
                <w:color w:val="auto"/>
              </w:rPr>
            </w:pPr>
            <w:r>
              <w:rPr>
                <w:rFonts w:ascii="Arial" w:cs="Arial" w:eastAsia="Arial" w:hAnsi="Arial"/>
                <w:sz w:val="18"/>
                <w:szCs w:val="18"/>
                <w:color w:val="auto"/>
                <w:w w:val="99"/>
              </w:rPr>
              <w:t>Antigua and Barbuda</w:t>
            </w:r>
          </w:p>
        </w:tc>
      </w:tr>
      <w:tr>
        <w:trPr>
          <w:trHeight w:val="230"/>
        </w:trPr>
        <w:tc>
          <w:tcPr>
            <w:tcW w:w="5620" w:type="dxa"/>
            <w:vAlign w:val="bottom"/>
          </w:tcPr>
          <w:p>
            <w:pPr>
              <w:ind w:left="1300"/>
              <w:spacing w:after="0"/>
              <w:rPr>
                <w:sz w:val="20"/>
                <w:szCs w:val="20"/>
                <w:color w:val="auto"/>
              </w:rPr>
            </w:pPr>
            <w:r>
              <w:rPr>
                <w:rFonts w:ascii="Arial" w:cs="Arial" w:eastAsia="Arial" w:hAnsi="Arial"/>
                <w:sz w:val="18"/>
                <w:szCs w:val="18"/>
                <w:color w:val="auto"/>
              </w:rPr>
              <w:t>Reef Nauru Limited</w:t>
            </w:r>
          </w:p>
        </w:tc>
        <w:tc>
          <w:tcPr>
            <w:tcW w:w="3440" w:type="dxa"/>
            <w:vAlign w:val="bottom"/>
          </w:tcPr>
          <w:p>
            <w:pPr>
              <w:ind w:left="1740"/>
              <w:spacing w:after="0"/>
              <w:rPr>
                <w:sz w:val="20"/>
                <w:szCs w:val="20"/>
                <w:color w:val="auto"/>
              </w:rPr>
            </w:pPr>
            <w:r>
              <w:rPr>
                <w:rFonts w:ascii="Arial" w:cs="Arial" w:eastAsia="Arial" w:hAnsi="Arial"/>
                <w:sz w:val="18"/>
                <w:szCs w:val="18"/>
                <w:color w:val="auto"/>
              </w:rPr>
              <w:t>New Zealand</w:t>
            </w:r>
          </w:p>
        </w:tc>
      </w:tr>
      <w:tr>
        <w:trPr>
          <w:trHeight w:val="371"/>
        </w:trPr>
        <w:tc>
          <w:tcPr>
            <w:tcW w:w="56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1" w:right="14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ind w:right="80"/>
        <w:spacing w:after="0" w:line="211" w:lineRule="auto"/>
        <w:rPr>
          <w:sz w:val="20"/>
          <w:szCs w:val="20"/>
          <w:color w:val="auto"/>
        </w:rPr>
      </w:pPr>
      <w:r>
        <w:rPr>
          <w:rFonts w:ascii="Arial" w:cs="Arial" w:eastAsia="Arial" w:hAnsi="Arial"/>
          <w:sz w:val="18"/>
          <w:szCs w:val="18"/>
          <w:color w:val="auto"/>
        </w:rPr>
        <w:t>We consent to the incorporation by reference in Registration Statement Nos. 333-212194; 333-184623; 333-121194, as amended by Post-Effective Amendment No.1 filed on April 26, 2007 and as further amended by Post-Effective Amendment No. 2 filed on June 7, 2012; 333-166539, as amended by Post-Effective Amendment No. 1 filed on June 7, 2012; 333-142384, as amended by Post-Effective Amendment No. 1 filed on June 7, 2012; and 333-69197, as amended by Post-Effective Amendment No. 1 filed on June 7, 2012 on Form S-8 of our report relating to the consolidated financial statements of Matson, Inc. and subsidiaries and the effectiveness of Matson, Inc. and subsidiaries’ internal control over financial reporting dated March 4, 2019, appearing in this Annual Report on Form 10-K of Matson, Inc. for the year ended December 31, 2018.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28816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4">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Honolulu, Hawaii</w:t>
      </w:r>
    </w:p>
    <w:p>
      <w:pPr>
        <w:spacing w:after="0"/>
        <w:rPr>
          <w:sz w:val="20"/>
          <w:szCs w:val="20"/>
          <w:color w:val="auto"/>
        </w:rPr>
      </w:pPr>
      <w:r>
        <w:rPr>
          <w:rFonts w:ascii="Arial" w:cs="Arial" w:eastAsia="Arial" w:hAnsi="Arial"/>
          <w:sz w:val="18"/>
          <w:szCs w:val="18"/>
          <w:color w:val="auto"/>
        </w:rPr>
        <w:t>March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Matthew J. Cox, certify that:</w:t>
      </w:r>
    </w:p>
    <w:p>
      <w:pPr>
        <w:spacing w:after="0" w:line="144" w:lineRule="exact"/>
        <w:rPr>
          <w:sz w:val="20"/>
          <w:szCs w:val="20"/>
          <w:color w:val="auto"/>
        </w:rPr>
      </w:pPr>
    </w:p>
    <w:p>
      <w:pPr>
        <w:ind w:left="640" w:hanging="637"/>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Matson, Inc.;</w:t>
      </w:r>
    </w:p>
    <w:p>
      <w:pPr>
        <w:spacing w:after="0" w:line="144" w:lineRule="exact"/>
        <w:rPr>
          <w:rFonts w:ascii="Arial" w:cs="Arial" w:eastAsia="Arial" w:hAnsi="Arial"/>
          <w:sz w:val="18"/>
          <w:szCs w:val="18"/>
          <w:color w:val="auto"/>
        </w:rPr>
      </w:pPr>
    </w:p>
    <w:p>
      <w:pPr>
        <w:ind w:right="160" w:firstLine="3"/>
        <w:spacing w:after="0" w:line="224" w:lineRule="auto"/>
        <w:tabs>
          <w:tab w:leader="none" w:pos="63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right="60" w:firstLine="3"/>
        <w:spacing w:after="0" w:line="224" w:lineRule="auto"/>
        <w:tabs>
          <w:tab w:leader="none" w:pos="63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20" w:firstLine="3"/>
        <w:spacing w:after="0" w:line="224" w:lineRule="auto"/>
        <w:tabs>
          <w:tab w:leader="none" w:pos="62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right="160" w:firstLine="651"/>
        <w:spacing w:after="0" w:line="219" w:lineRule="auto"/>
        <w:tabs>
          <w:tab w:leader="none" w:pos="116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firstLine="651"/>
        <w:spacing w:after="0" w:line="259" w:lineRule="auto"/>
        <w:tabs>
          <w:tab w:leader="none" w:pos="1173" w:val="left"/>
        </w:tabs>
        <w:numPr>
          <w:ilvl w:val="1"/>
          <w:numId w:val="10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right="80" w:firstLine="651"/>
        <w:spacing w:after="0" w:line="224" w:lineRule="auto"/>
        <w:tabs>
          <w:tab w:leader="none" w:pos="116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right="100" w:firstLine="651"/>
        <w:spacing w:after="0" w:line="259" w:lineRule="auto"/>
        <w:tabs>
          <w:tab w:leader="none" w:pos="1173" w:val="left"/>
        </w:tabs>
        <w:numPr>
          <w:ilvl w:val="1"/>
          <w:numId w:val="10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jc w:val="both"/>
        <w:ind w:right="80" w:firstLine="3"/>
        <w:spacing w:after="0" w:line="224" w:lineRule="auto"/>
        <w:tabs>
          <w:tab w:leader="none" w:pos="62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right="200" w:firstLine="651"/>
        <w:spacing w:after="0" w:line="224" w:lineRule="auto"/>
        <w:tabs>
          <w:tab w:leader="none" w:pos="115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right="320" w:firstLine="651"/>
        <w:spacing w:after="0" w:line="235" w:lineRule="auto"/>
        <w:tabs>
          <w:tab w:leader="none" w:pos="116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-635</wp:posOffset>
            </wp:positionV>
            <wp:extent cx="26841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4840"/>
        <w:spacing w:after="0" w:line="203" w:lineRule="auto"/>
        <w:rPr>
          <w:sz w:val="20"/>
          <w:szCs w:val="20"/>
          <w:color w:val="auto"/>
        </w:rPr>
      </w:pPr>
      <w:r>
        <w:rPr>
          <w:rFonts w:ascii="Arial" w:cs="Arial" w:eastAsia="Arial" w:hAnsi="Arial"/>
          <w:sz w:val="18"/>
          <w:szCs w:val="18"/>
          <w:color w:val="auto"/>
        </w:rPr>
        <w:t>Matthew J. Cox, Chairman and</w:t>
      </w:r>
    </w:p>
    <w:p>
      <w:pPr>
        <w:ind w:left="4840"/>
        <w:spacing w:after="0" w:line="204" w:lineRule="auto"/>
        <w:rPr>
          <w:sz w:val="20"/>
          <w:szCs w:val="20"/>
          <w:color w:val="auto"/>
        </w:rPr>
      </w:pPr>
      <w:r>
        <w:rPr>
          <w:rFonts w:ascii="Arial" w:cs="Arial" w:eastAsia="Arial" w:hAnsi="Arial"/>
          <w:sz w:val="18"/>
          <w:szCs w:val="18"/>
          <w:color w:val="auto"/>
        </w:rPr>
        <w:t>Chief Executive Officer</w:t>
      </w:r>
    </w:p>
    <w:p>
      <w:pPr>
        <w:spacing w:after="0"/>
        <w:rPr>
          <w:sz w:val="20"/>
          <w:szCs w:val="20"/>
          <w:color w:val="auto"/>
        </w:rPr>
      </w:pPr>
      <w:r>
        <w:rPr>
          <w:rFonts w:ascii="Arial" w:cs="Arial" w:eastAsia="Arial" w:hAnsi="Arial"/>
          <w:sz w:val="18"/>
          <w:szCs w:val="18"/>
          <w:color w:val="auto"/>
        </w:rPr>
        <w:t>Date: March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Joel M. Wine, certify that:</w:t>
      </w:r>
    </w:p>
    <w:p>
      <w:pPr>
        <w:spacing w:after="0" w:line="144" w:lineRule="exact"/>
        <w:rPr>
          <w:sz w:val="20"/>
          <w:szCs w:val="20"/>
          <w:color w:val="auto"/>
        </w:rPr>
      </w:pPr>
    </w:p>
    <w:p>
      <w:pPr>
        <w:ind w:left="640" w:hanging="637"/>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Matson, Inc.;</w:t>
      </w:r>
    </w:p>
    <w:p>
      <w:pPr>
        <w:spacing w:after="0" w:line="144" w:lineRule="exact"/>
        <w:rPr>
          <w:rFonts w:ascii="Arial" w:cs="Arial" w:eastAsia="Arial" w:hAnsi="Arial"/>
          <w:sz w:val="18"/>
          <w:szCs w:val="18"/>
          <w:color w:val="auto"/>
        </w:rPr>
      </w:pPr>
    </w:p>
    <w:p>
      <w:pPr>
        <w:ind w:right="160" w:firstLine="3"/>
        <w:spacing w:after="0" w:line="224" w:lineRule="auto"/>
        <w:tabs>
          <w:tab w:leader="none" w:pos="63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right="60" w:firstLine="3"/>
        <w:spacing w:after="0" w:line="224" w:lineRule="auto"/>
        <w:tabs>
          <w:tab w:leader="none" w:pos="63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20" w:firstLine="3"/>
        <w:spacing w:after="0" w:line="224" w:lineRule="auto"/>
        <w:tabs>
          <w:tab w:leader="none" w:pos="62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right="160" w:firstLine="651"/>
        <w:spacing w:after="0" w:line="219" w:lineRule="auto"/>
        <w:tabs>
          <w:tab w:leader="none" w:pos="120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firstLine="651"/>
        <w:spacing w:after="0" w:line="259" w:lineRule="auto"/>
        <w:tabs>
          <w:tab w:leader="none" w:pos="1218" w:val="left"/>
        </w:tabs>
        <w:numPr>
          <w:ilvl w:val="1"/>
          <w:numId w:val="10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right="40" w:firstLine="651"/>
        <w:spacing w:after="0" w:line="224" w:lineRule="auto"/>
        <w:tabs>
          <w:tab w:leader="none" w:pos="120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right="100" w:firstLine="651"/>
        <w:spacing w:after="0" w:line="259" w:lineRule="auto"/>
        <w:tabs>
          <w:tab w:leader="none" w:pos="1218" w:val="left"/>
        </w:tabs>
        <w:numPr>
          <w:ilvl w:val="1"/>
          <w:numId w:val="10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jc w:val="both"/>
        <w:ind w:right="80" w:firstLine="3"/>
        <w:spacing w:after="0" w:line="224" w:lineRule="auto"/>
        <w:tabs>
          <w:tab w:leader="none" w:pos="62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right="200" w:firstLine="651"/>
        <w:spacing w:after="0" w:line="224" w:lineRule="auto"/>
        <w:tabs>
          <w:tab w:leader="none" w:pos="119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right="260" w:firstLine="651"/>
        <w:spacing w:after="0" w:line="235" w:lineRule="auto"/>
        <w:tabs>
          <w:tab w:leader="none" w:pos="120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-635</wp:posOffset>
            </wp:positionV>
            <wp:extent cx="26327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ind w:left="4920"/>
        <w:spacing w:after="0" w:line="203" w:lineRule="auto"/>
        <w:rPr>
          <w:sz w:val="20"/>
          <w:szCs w:val="20"/>
          <w:color w:val="auto"/>
        </w:rPr>
      </w:pPr>
      <w:r>
        <w:rPr>
          <w:rFonts w:ascii="Arial" w:cs="Arial" w:eastAsia="Arial" w:hAnsi="Arial"/>
          <w:sz w:val="18"/>
          <w:szCs w:val="18"/>
          <w:color w:val="auto"/>
        </w:rPr>
        <w:t>Joel M. Wine, Senior Vice President</w:t>
      </w:r>
    </w:p>
    <w:p>
      <w:pPr>
        <w:ind w:left="4920"/>
        <w:spacing w:after="0" w:line="204" w:lineRule="auto"/>
        <w:rPr>
          <w:sz w:val="20"/>
          <w:szCs w:val="20"/>
          <w:color w:val="auto"/>
        </w:rPr>
      </w:pPr>
      <w:r>
        <w:rPr>
          <w:rFonts w:ascii="Arial" w:cs="Arial" w:eastAsia="Arial" w:hAnsi="Arial"/>
          <w:sz w:val="18"/>
          <w:szCs w:val="18"/>
          <w:color w:val="auto"/>
        </w:rPr>
        <w:t>and Chief Financial Officer</w:t>
      </w:r>
    </w:p>
    <w:p>
      <w:pPr>
        <w:spacing w:after="0"/>
        <w:rPr>
          <w:sz w:val="20"/>
          <w:szCs w:val="20"/>
          <w:color w:val="auto"/>
        </w:rPr>
      </w:pPr>
      <w:r>
        <w:rPr>
          <w:rFonts w:ascii="Arial" w:cs="Arial" w:eastAsia="Arial" w:hAnsi="Arial"/>
          <w:sz w:val="18"/>
          <w:szCs w:val="18"/>
          <w:color w:val="auto"/>
        </w:rPr>
        <w:t>Date: March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jc w:val="center"/>
        <w:spacing w:after="0" w:line="203" w:lineRule="auto"/>
        <w:rPr>
          <w:sz w:val="20"/>
          <w:szCs w:val="20"/>
          <w:color w:val="auto"/>
        </w:rPr>
      </w:pPr>
      <w:r>
        <w:rPr>
          <w:rFonts w:ascii="Arial" w:cs="Arial" w:eastAsia="Arial" w:hAnsi="Arial"/>
          <w:sz w:val="18"/>
          <w:szCs w:val="18"/>
          <w:b w:val="1"/>
          <w:bCs w:val="1"/>
          <w:color w:val="auto"/>
        </w:rPr>
        <w:t>Chief Financial Officer Pursuant to</w:t>
      </w:r>
    </w:p>
    <w:p>
      <w:pPr>
        <w:jc w:val="center"/>
        <w:spacing w:after="0" w:line="204" w:lineRule="auto"/>
        <w:rPr>
          <w:sz w:val="20"/>
          <w:szCs w:val="20"/>
          <w:color w:val="auto"/>
        </w:rPr>
      </w:pPr>
      <w:r>
        <w:rPr>
          <w:rFonts w:ascii="Arial" w:cs="Arial" w:eastAsia="Arial" w:hAnsi="Arial"/>
          <w:sz w:val="18"/>
          <w:szCs w:val="18"/>
          <w:b w:val="1"/>
          <w:bCs w:val="1"/>
          <w:color w:val="auto"/>
        </w:rPr>
        <w:t>18 U.S.C. Section 1350, 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8" w:lineRule="exact"/>
        <w:rPr>
          <w:sz w:val="20"/>
          <w:szCs w:val="20"/>
          <w:color w:val="auto"/>
        </w:rPr>
      </w:pPr>
    </w:p>
    <w:p>
      <w:pPr>
        <w:ind w:right="120"/>
        <w:spacing w:after="0" w:line="216" w:lineRule="auto"/>
        <w:rPr>
          <w:sz w:val="20"/>
          <w:szCs w:val="20"/>
          <w:color w:val="auto"/>
        </w:rPr>
      </w:pPr>
      <w:r>
        <w:rPr>
          <w:rFonts w:ascii="Arial" w:cs="Arial" w:eastAsia="Arial" w:hAnsi="Arial"/>
          <w:sz w:val="18"/>
          <w:szCs w:val="18"/>
          <w:color w:val="auto"/>
        </w:rPr>
        <w:t>In connection with the Annual Report of Matson, Inc. (the “Company”) on Form 10-K for the fiscal year ended December 31, 2018 as filed with the Securities and Exchange Commission on the date hereof (the “Report”), Matthew J. Cox, as Chairman and Chief Executive Officer of the Company, and Joel M. Wine, as Senior Vice President and Chief Financial Officer of the Company, hereby certify, pursuant to 18 U.S.C. Section 1350, as adopted pursuant to Section 906 of the Sarbanes-Oxley Act of 2002, that to their knowledge:</w:t>
      </w:r>
    </w:p>
    <w:p>
      <w:pPr>
        <w:spacing w:after="0" w:line="122" w:lineRule="exact"/>
        <w:rPr>
          <w:sz w:val="20"/>
          <w:szCs w:val="20"/>
          <w:color w:val="auto"/>
        </w:rPr>
      </w:pPr>
    </w:p>
    <w:p>
      <w:pPr>
        <w:ind w:left="1320" w:hanging="669"/>
        <w:spacing w:after="0"/>
        <w:tabs>
          <w:tab w:leader="none" w:pos="13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1934; and</w:t>
      </w:r>
    </w:p>
    <w:p>
      <w:pPr>
        <w:spacing w:after="0" w:line="128" w:lineRule="exact"/>
        <w:rPr>
          <w:rFonts w:ascii="Arial" w:cs="Arial" w:eastAsia="Arial" w:hAnsi="Arial"/>
          <w:sz w:val="16"/>
          <w:szCs w:val="16"/>
          <w:color w:val="auto"/>
        </w:rPr>
      </w:pPr>
    </w:p>
    <w:p>
      <w:pPr>
        <w:ind w:right="40" w:firstLine="651"/>
        <w:spacing w:after="0" w:line="235" w:lineRule="auto"/>
        <w:tabs>
          <w:tab w:leader="none" w:pos="130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0">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Matthew J. Cox</w:t>
      </w:r>
    </w:p>
    <w:p>
      <w:pPr>
        <w:spacing w:after="0" w:line="229" w:lineRule="auto"/>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Chief Executive Officer</w:t>
      </w: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4,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1">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Joel M. Wine</w:t>
      </w:r>
    </w:p>
    <w:p>
      <w:pPr>
        <w:spacing w:after="0" w:line="229" w:lineRule="auto"/>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Chief Financial Officer</w:t>
      </w: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1."/>
      <w:numFmt w:val="upperLetter"/>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1."/>
      <w:numFmt w:val="upperLetter"/>
      <w:start w:val="2"/>
    </w:lvl>
  </w:abstractNum>
  <w:abstractNum w:abstractNumId="5">
    <w:nsid w:val="4F4EF005"/>
    <w:multiLevelType w:val="hybridMultilevel"/>
    <w:lvl w:ilvl="0">
      <w:lvlJc w:val="left"/>
      <w:lvlText w:val="(%1)"/>
      <w:numFmt w:val="decimal"/>
      <w:start w:val="1"/>
    </w:lvl>
  </w:abstractNum>
  <w:abstractNum w:abstractNumId="6">
    <w:nsid w:val="23F9C13C"/>
    <w:multiLevelType w:val="hybridMultilevel"/>
    <w:lvl w:ilvl="0">
      <w:lvlJc w:val="left"/>
      <w:lvlText w:val="(%1)"/>
      <w:numFmt w:val="decimal"/>
      <w:start w:val="1"/>
    </w:lvl>
  </w:abstractNum>
  <w:abstractNum w:abstractNumId="7">
    <w:nsid w:val="649BB77C"/>
    <w:multiLevelType w:val="hybridMultilevel"/>
    <w:lvl w:ilvl="0">
      <w:lvlJc w:val="left"/>
      <w:lvlText w:val="(%1)"/>
      <w:numFmt w:val="decimal"/>
      <w:start w:val="1"/>
    </w:lvl>
  </w:abstractNum>
  <w:abstractNum w:abstractNumId="8">
    <w:nsid w:val="275AC794"/>
    <w:multiLevelType w:val="hybridMultilevel"/>
    <w:lvl w:ilvl="0">
      <w:lvlJc w:val="left"/>
      <w:lvlText w:val="(%1)"/>
      <w:numFmt w:val="decimal"/>
      <w:start w:val="1"/>
    </w:lvl>
  </w:abstractNum>
  <w:abstractNum w:abstractNumId="9">
    <w:nsid w:val="39386575"/>
    <w:multiLevelType w:val="hybridMultilevel"/>
    <w:lvl w:ilvl="0">
      <w:lvlJc w:val="left"/>
      <w:lvlText w:val="(%1)"/>
      <w:numFmt w:val="decimal"/>
      <w:start w:val="2"/>
    </w:lvl>
  </w:abstractNum>
  <w:abstractNum w:abstractNumId="10">
    <w:nsid w:val="1CF10FD8"/>
    <w:multiLevelType w:val="hybridMultilevel"/>
    <w:lvl w:ilvl="0">
      <w:lvlJc w:val="left"/>
      <w:lvlText w:val="%1."/>
      <w:numFmt w:val="upperLetter"/>
      <w:start w:val="3"/>
    </w:lvl>
  </w:abstractNum>
  <w:abstractNum w:abstractNumId="11">
    <w:nsid w:val="180115BE"/>
    <w:multiLevelType w:val="hybridMultilevel"/>
    <w:lvl w:ilvl="0">
      <w:lvlJc w:val="left"/>
      <w:lvlText w:val="%1."/>
      <w:numFmt w:val="upperLetter"/>
      <w:start w:val="4"/>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1)"/>
      <w:numFmt w:val="decimal"/>
      <w:start w:val="1"/>
    </w:lvl>
  </w:abstractNum>
  <w:abstractNum w:abstractNumId="16">
    <w:nsid w:val="741226BB"/>
    <w:multiLevelType w:val="hybridMultilevel"/>
    <w:lvl w:ilvl="0">
      <w:lvlJc w:val="left"/>
      <w:lvlText w:val="(%1)"/>
      <w:numFmt w:val="decimal"/>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1)"/>
      <w:numFmt w:val="decimal"/>
      <w:start w:val="1"/>
    </w:lvl>
  </w:abstractNum>
  <w:abstractNum w:abstractNumId="19">
    <w:nsid w:val="3F6AB60F"/>
    <w:multiLevelType w:val="hybridMultilevel"/>
    <w:lvl w:ilvl="0">
      <w:lvlJc w:val="left"/>
      <w:lvlText w:val="(%1)"/>
      <w:numFmt w:val="decimal"/>
      <w:start w:val="1"/>
    </w:lvl>
  </w:abstractNum>
  <w:abstractNum w:abstractNumId="20">
    <w:nsid w:val="61574095"/>
    <w:multiLevelType w:val="hybridMultilevel"/>
    <w:lvl w:ilvl="0">
      <w:lvlJc w:val="left"/>
      <w:lvlText w:val="(%1)"/>
      <w:numFmt w:val="decimal"/>
      <w:start w:val="1"/>
    </w:lvl>
  </w:abstractNum>
  <w:abstractNum w:abstractNumId="21">
    <w:nsid w:val="7E0C57B1"/>
    <w:multiLevelType w:val="hybridMultilevel"/>
    <w:lvl w:ilvl="0">
      <w:lvlJc w:val="left"/>
      <w:lvlText w:val="(%1)"/>
      <w:numFmt w:val="decimal"/>
      <w:start w:val="1"/>
    </w:lvl>
  </w:abstractNum>
  <w:abstractNum w:abstractNumId="22">
    <w:nsid w:val="77AE35EB"/>
    <w:multiLevelType w:val="hybridMultilevel"/>
    <w:lvl w:ilvl="0">
      <w:lvlJc w:val="left"/>
      <w:lvlText w:val="(%1)"/>
      <w:numFmt w:val="decimal"/>
      <w:start w:val="1"/>
    </w:lvl>
  </w:abstractNum>
  <w:abstractNum w:abstractNumId="23">
    <w:nsid w:val="579BE4F1"/>
    <w:multiLevelType w:val="hybridMultilevel"/>
    <w:lvl w:ilvl="0">
      <w:lvlJc w:val="left"/>
      <w:lvlText w:val="(%1)"/>
      <w:numFmt w:val="decimal"/>
      <w:start w:val="2"/>
    </w:lvl>
  </w:abstractNum>
  <w:abstractNum w:abstractNumId="24">
    <w:nsid w:val="310C50B3"/>
    <w:multiLevelType w:val="hybridMultilevel"/>
    <w:lvl w:ilvl="0">
      <w:lvlJc w:val="left"/>
      <w:lvlText w:val="(%1)"/>
      <w:numFmt w:val="decimal"/>
      <w:start w:val="3"/>
    </w:lvl>
  </w:abstractNum>
  <w:abstractNum w:abstractNumId="25">
    <w:nsid w:val="5FF87E05"/>
    <w:multiLevelType w:val="hybridMultilevel"/>
    <w:lvl w:ilvl="0">
      <w:lvlJc w:val="left"/>
      <w:lvlText w:val="(%1)"/>
      <w:numFmt w:val="decimal"/>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1."/>
      <w:numFmt w:val="decimal"/>
      <w:start w:val="1"/>
    </w:lvl>
  </w:abstractNum>
  <w:abstractNum w:abstractNumId="28">
    <w:nsid w:val="1DBABF00"/>
    <w:multiLevelType w:val="hybridMultilevel"/>
    <w:lvl w:ilvl="0">
      <w:lvlJc w:val="left"/>
      <w:lvlText w:val="%1."/>
      <w:numFmt w:val="decimal"/>
      <w:start w:val="2"/>
    </w:lvl>
  </w:abstractNum>
  <w:abstractNum w:abstractNumId="29">
    <w:nsid w:val="4AD084E9"/>
    <w:multiLevelType w:val="hybridMultilevel"/>
    <w:lvl w:ilvl="0">
      <w:lvlJc w:val="left"/>
      <w:lvlText w:val="(%1)"/>
      <w:numFmt w:val="decimal"/>
      <w:start w:val="1"/>
    </w:lvl>
  </w:abstractNum>
  <w:abstractNum w:abstractNumId="30">
    <w:nsid w:val="1F48EAA1"/>
    <w:multiLevelType w:val="hybridMultilevel"/>
    <w:lvl w:ilvl="0">
      <w:lvlJc w:val="left"/>
      <w:lvlText w:val="(%1)"/>
      <w:numFmt w:val="decimal"/>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1)"/>
      <w:numFmt w:val="decimal"/>
      <w:start w:val="1"/>
    </w:lvl>
  </w:abstractNum>
  <w:abstractNum w:abstractNumId="33">
    <w:nsid w:val="100F8FCA"/>
    <w:multiLevelType w:val="hybridMultilevel"/>
    <w:lvl w:ilvl="0">
      <w:lvlJc w:val="left"/>
      <w:lvlText w:val="§"/>
      <w:numFmt w:val="bullet"/>
      <w:start w:val="1"/>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1."/>
      <w:numFmt w:val="decimal"/>
      <w:start w:val="3"/>
    </w:lvl>
  </w:abstractNum>
  <w:abstractNum w:abstractNumId="36">
    <w:nsid w:val="5F5E7FD0"/>
    <w:multiLevelType w:val="hybridMultilevel"/>
    <w:lvl w:ilvl="0">
      <w:lvlJc w:val="left"/>
      <w:lvlText w:val="%1."/>
      <w:numFmt w:val="decimal"/>
      <w:start w:val="1"/>
    </w:lvl>
  </w:abstractNum>
  <w:abstractNum w:abstractNumId="37">
    <w:nsid w:val="98A3148"/>
    <w:multiLevelType w:val="hybridMultilevel"/>
    <w:lvl w:ilvl="0">
      <w:lvlJc w:val="left"/>
      <w:lvlText w:val="(%1)"/>
      <w:numFmt w:val="decimal"/>
      <w:start w:val="1"/>
    </w:lvl>
  </w:abstractNum>
  <w:abstractNum w:abstractNumId="38">
    <w:nsid w:val="799D0247"/>
    <w:multiLevelType w:val="hybridMultilevel"/>
    <w:lvl w:ilvl="0">
      <w:lvlJc w:val="left"/>
      <w:lvlText w:val="(%1)"/>
      <w:numFmt w:val="decimal"/>
      <w:start w:val="1"/>
    </w:lvl>
  </w:abstractNum>
  <w:abstractNum w:abstractNumId="39">
    <w:nsid w:val="6B94764"/>
    <w:multiLevelType w:val="hybridMultilevel"/>
    <w:lvl w:ilvl="0">
      <w:lvlJc w:val="left"/>
      <w:lvlText w:val="%1."/>
      <w:numFmt w:val="decimal"/>
      <w:start w:val="4"/>
    </w:lvl>
  </w:abstractNum>
  <w:abstractNum w:abstractNumId="40">
    <w:nsid w:val="42C296BD"/>
    <w:multiLevelType w:val="hybridMultilevel"/>
    <w:lvl w:ilvl="0">
      <w:lvlJc w:val="left"/>
      <w:lvlText w:val="(%1)"/>
      <w:numFmt w:val="decimal"/>
      <w:start w:val="1"/>
    </w:lvl>
  </w:abstractNum>
  <w:abstractNum w:abstractNumId="41">
    <w:nsid w:val="168E121F"/>
    <w:multiLevelType w:val="hybridMultilevel"/>
    <w:lvl w:ilvl="0">
      <w:lvlJc w:val="left"/>
      <w:lvlText w:val="%1."/>
      <w:numFmt w:val="decimal"/>
      <w:start w:val="5"/>
    </w:lvl>
  </w:abstractNum>
  <w:abstractNum w:abstractNumId="42">
    <w:nsid w:val="1EBA5D23"/>
    <w:multiLevelType w:val="hybridMultilevel"/>
    <w:lvl w:ilvl="0">
      <w:lvlJc w:val="left"/>
      <w:lvlText w:val="%1."/>
      <w:numFmt w:val="decimal"/>
      <w:start w:val="7"/>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1."/>
      <w:numFmt w:val="decimal"/>
      <w:start w:val="9"/>
    </w:lvl>
  </w:abstractNum>
  <w:abstractNum w:abstractNumId="45">
    <w:nsid w:val="540A471C"/>
    <w:multiLevelType w:val="hybridMultilevel"/>
    <w:lvl w:ilvl="0">
      <w:lvlJc w:val="left"/>
      <w:lvlText w:val="%1."/>
      <w:numFmt w:val="decimal"/>
      <w:start w:val="10"/>
    </w:lvl>
  </w:abstractNum>
  <w:abstractNum w:abstractNumId="46">
    <w:nsid w:val="7BD3EE7B"/>
    <w:multiLevelType w:val="hybridMultilevel"/>
    <w:lvl w:ilvl="0">
      <w:lvlJc w:val="left"/>
      <w:lvlText w:val="(%1)"/>
      <w:numFmt w:val="decimal"/>
      <w:start w:val="1"/>
    </w:lvl>
  </w:abstractNum>
  <w:abstractNum w:abstractNumId="47">
    <w:nsid w:val="51D9C564"/>
    <w:multiLevelType w:val="hybridMultilevel"/>
    <w:lvl w:ilvl="0">
      <w:lvlJc w:val="left"/>
      <w:lvlText w:val="(%1)"/>
      <w:numFmt w:val="decimal"/>
      <w:start w:val="1"/>
    </w:lvl>
  </w:abstractNum>
  <w:abstractNum w:abstractNumId="48">
    <w:nsid w:val="613EFDC5"/>
    <w:multiLevelType w:val="hybridMultilevel"/>
    <w:lvl w:ilvl="0">
      <w:lvlJc w:val="left"/>
      <w:lvlText w:val="(%1)"/>
      <w:numFmt w:val="decimal"/>
      <w:start w:val="1"/>
    </w:lvl>
  </w:abstractNum>
  <w:abstractNum w:abstractNumId="49">
    <w:nsid w:val="BF72B14"/>
    <w:multiLevelType w:val="hybridMultilevel"/>
    <w:lvl w:ilvl="0">
      <w:lvlJc w:val="left"/>
      <w:lvlText w:val="%1."/>
      <w:numFmt w:val="decimal"/>
      <w:start w:val="11"/>
    </w:lvl>
  </w:abstractNum>
  <w:abstractNum w:abstractNumId="50">
    <w:nsid w:val="11447B73"/>
    <w:multiLevelType w:val="hybridMultilevel"/>
    <w:lvl w:ilvl="0">
      <w:lvlJc w:val="left"/>
      <w:lvlText w:val="(%1)"/>
      <w:numFmt w:val="decimal"/>
      <w:start w:val="1"/>
    </w:lvl>
  </w:abstractNum>
  <w:abstractNum w:abstractNumId="51">
    <w:nsid w:val="42963E5A"/>
    <w:multiLevelType w:val="hybridMultilevel"/>
    <w:lvl w:ilvl="0">
      <w:lvlJc w:val="left"/>
      <w:lvlText w:val="(%1)"/>
      <w:numFmt w:val="decimal"/>
      <w:start w:val="1"/>
    </w:lvl>
  </w:abstractNum>
  <w:abstractNum w:abstractNumId="52">
    <w:nsid w:val="A0382C5"/>
    <w:multiLevelType w:val="hybridMultilevel"/>
    <w:lvl w:ilvl="0">
      <w:lvlJc w:val="left"/>
      <w:lvlText w:val="(%1)"/>
      <w:numFmt w:val="decimal"/>
      <w:start w:val="1"/>
    </w:lvl>
  </w:abstractNum>
  <w:abstractNum w:abstractNumId="53">
    <w:nsid w:val="8F2B15E"/>
    <w:multiLevelType w:val="hybridMultilevel"/>
    <w:lvl w:ilvl="0">
      <w:lvlJc w:val="left"/>
      <w:lvlText w:val="(%1)"/>
      <w:numFmt w:val="decimal"/>
      <w:start w:val="2"/>
    </w:lvl>
  </w:abstractNum>
  <w:abstractNum w:abstractNumId="54">
    <w:nsid w:val="1A32234B"/>
    <w:multiLevelType w:val="hybridMultilevel"/>
    <w:lvl w:ilvl="0">
      <w:lvlJc w:val="left"/>
      <w:lvlText w:val="%1."/>
      <w:numFmt w:val="decimal"/>
      <w:start w:val="12"/>
    </w:lvl>
  </w:abstractNum>
  <w:abstractNum w:abstractNumId="55">
    <w:nsid w:val="3B0FD379"/>
    <w:multiLevelType w:val="hybridMultilevel"/>
    <w:lvl w:ilvl="0">
      <w:lvlJc w:val="left"/>
      <w:lvlText w:val="%1."/>
      <w:numFmt w:val="decimal"/>
      <w:start w:val="13"/>
    </w:lvl>
  </w:abstractNum>
  <w:abstractNum w:abstractNumId="56">
    <w:nsid w:val="68EB2F63"/>
    <w:multiLevelType w:val="hybridMultilevel"/>
    <w:lvl w:ilvl="0">
      <w:lvlJc w:val="left"/>
      <w:lvlText w:val="(%1)"/>
      <w:numFmt w:val="decimal"/>
      <w:start w:val="1"/>
    </w:lvl>
  </w:abstractNum>
  <w:abstractNum w:abstractNumId="57">
    <w:nsid w:val="4962813B"/>
    <w:multiLevelType w:val="hybridMultilevel"/>
    <w:lvl w:ilvl="0">
      <w:lvlJc w:val="left"/>
      <w:lvlText w:val="%1."/>
      <w:numFmt w:val="decimal"/>
      <w:start w:val="14"/>
    </w:lvl>
  </w:abstractNum>
  <w:abstractNum w:abstractNumId="58">
    <w:nsid w:val="60B6DF70"/>
    <w:multiLevelType w:val="hybridMultilevel"/>
    <w:lvl w:ilvl="0">
      <w:lvlJc w:val="left"/>
      <w:lvlText w:val="%1."/>
      <w:numFmt w:val="decimal"/>
      <w:start w:val="15"/>
    </w:lvl>
  </w:abstractNum>
  <w:abstractNum w:abstractNumId="59">
    <w:nsid w:val="6A5EE64"/>
    <w:multiLevelType w:val="hybridMultilevel"/>
    <w:lvl w:ilvl="0">
      <w:lvlJc w:val="left"/>
      <w:lvlText w:val="(%1)"/>
      <w:numFmt w:val="decimal"/>
      <w:start w:val="1"/>
    </w:lvl>
  </w:abstractNum>
  <w:abstractNum w:abstractNumId="60">
    <w:nsid w:val="14330624"/>
    <w:multiLevelType w:val="hybridMultilevel"/>
    <w:lvl w:ilvl="0">
      <w:lvlJc w:val="left"/>
      <w:lvlText w:val="%1."/>
      <w:numFmt w:val="decimal"/>
      <w:start w:val="16"/>
    </w:lvl>
  </w:abstractNum>
  <w:abstractNum w:abstractNumId="61">
    <w:nsid w:val="7FFFCA11"/>
    <w:multiLevelType w:val="hybridMultilevel"/>
    <w:lvl w:ilvl="0">
      <w:lvlJc w:val="left"/>
      <w:lvlText w:val="%1."/>
      <w:numFmt w:val="decimal"/>
      <w:start w:val="17"/>
    </w:lvl>
  </w:abstractNum>
  <w:abstractNum w:abstractNumId="62">
    <w:nsid w:val="1A27709E"/>
    <w:multiLevelType w:val="hybridMultilevel"/>
    <w:lvl w:ilvl="0">
      <w:lvlJc w:val="left"/>
      <w:lvlText w:val="(%1)"/>
      <w:numFmt w:val="decimal"/>
      <w:start w:val="1"/>
    </w:lvl>
  </w:abstractNum>
  <w:abstractNum w:abstractNumId="63">
    <w:nsid w:val="71EA1109"/>
    <w:multiLevelType w:val="hybridMultilevel"/>
    <w:lvl w:ilvl="0">
      <w:lvlJc w:val="left"/>
      <w:lvlText w:val="%1."/>
      <w:numFmt w:val="decimal"/>
      <w:start w:val="18"/>
    </w:lvl>
  </w:abstractNum>
  <w:abstractNum w:abstractNumId="64">
    <w:nsid w:val="100F59DC"/>
    <w:multiLevelType w:val="hybridMultilevel"/>
    <w:lvl w:ilvl="0">
      <w:lvlJc w:val="left"/>
      <w:lvlText w:val="(%1)"/>
      <w:numFmt w:val="decimal"/>
      <w:start w:val="1"/>
    </w:lvl>
  </w:abstractNum>
  <w:abstractNum w:abstractNumId="65">
    <w:nsid w:val="7FB7E0AA"/>
    <w:multiLevelType w:val="hybridMultilevel"/>
    <w:lvl w:ilvl="0">
      <w:lvlJc w:val="left"/>
      <w:lvlText w:val="(%1)"/>
      <w:numFmt w:val="decimal"/>
      <w:start w:val="1"/>
    </w:lvl>
  </w:abstractNum>
  <w:abstractNum w:abstractNumId="66">
    <w:nsid w:val="6EB5BD4"/>
    <w:multiLevelType w:val="hybridMultilevel"/>
    <w:lvl w:ilvl="0">
      <w:lvlJc w:val="left"/>
      <w:lvlText w:val="(%1)"/>
      <w:numFmt w:val="decimal"/>
      <w:start w:val="2"/>
    </w:lvl>
  </w:abstractNum>
  <w:abstractNum w:abstractNumId="67">
    <w:nsid w:val="6F6DD9AC"/>
    <w:multiLevelType w:val="hybridMultilevel"/>
    <w:lvl w:ilvl="0">
      <w:lvlJc w:val="left"/>
      <w:lvlText w:val="%1."/>
      <w:numFmt w:val="upperLetter"/>
      <w:start w:val="1"/>
    </w:lvl>
  </w:abstractNum>
  <w:abstractNum w:abstractNumId="68">
    <w:nsid w:val="94211F2"/>
    <w:multiLevelType w:val="hybridMultilevel"/>
    <w:lvl w:ilvl="0">
      <w:lvlJc w:val="left"/>
      <w:lvlText w:val="%1."/>
      <w:numFmt w:val="upperLetter"/>
      <w:start w:val="2"/>
    </w:lvl>
  </w:abstractNum>
  <w:abstractNum w:abstractNumId="69">
    <w:nsid w:val="885E1B"/>
    <w:multiLevelType w:val="hybridMultilevel"/>
    <w:lvl w:ilvl="0">
      <w:lvlJc w:val="left"/>
      <w:lvlText w:val="%1."/>
      <w:numFmt w:val="upperLetter"/>
      <w:start w:val="3"/>
    </w:lvl>
  </w:abstractNum>
  <w:abstractNum w:abstractNumId="70">
    <w:nsid w:val="76272110"/>
    <w:multiLevelType w:val="hybridMultilevel"/>
    <w:lvl w:ilvl="0">
      <w:lvlJc w:val="left"/>
      <w:lvlText w:val="%1."/>
      <w:numFmt w:val="upperLetter"/>
      <w:start w:val="4"/>
    </w:lvl>
  </w:abstractNum>
  <w:abstractNum w:abstractNumId="71">
    <w:nsid w:val="4C04A8AF"/>
    <w:multiLevelType w:val="hybridMultilevel"/>
    <w:lvl w:ilvl="0">
      <w:lvlJc w:val="left"/>
      <w:lvlText w:val="%1."/>
      <w:numFmt w:val="upperLetter"/>
      <w:start w:val="1"/>
    </w:lvl>
  </w:abstractNum>
  <w:abstractNum w:abstractNumId="72">
    <w:nsid w:val="1716703B"/>
    <w:multiLevelType w:val="hybridMultilevel"/>
    <w:lvl w:ilvl="0">
      <w:lvlJc w:val="left"/>
      <w:lvlText w:val="%1."/>
      <w:numFmt w:val="upperLetter"/>
      <w:start w:val="2"/>
    </w:lvl>
  </w:abstractNum>
  <w:abstractNum w:abstractNumId="73">
    <w:nsid w:val="14E17E33"/>
    <w:multiLevelType w:val="hybridMultilevel"/>
    <w:lvl w:ilvl="0">
      <w:lvlJc w:val="left"/>
      <w:lvlText w:val="%1."/>
      <w:numFmt w:val="upperLetter"/>
      <w:start w:val="3"/>
    </w:lvl>
  </w:abstractNum>
  <w:abstractNum w:abstractNumId="74">
    <w:nsid w:val="3222E7CD"/>
    <w:multiLevelType w:val="hybridMultilevel"/>
    <w:lvl w:ilvl="0">
      <w:lvlJc w:val="left"/>
      <w:lvlText w:val="2"/>
      <w:numFmt w:val="bullet"/>
      <w:start w:val="1"/>
    </w:lvl>
  </w:abstractNum>
  <w:abstractNum w:abstractNumId="75">
    <w:nsid w:val="74DE0EE3"/>
    <w:multiLevelType w:val="hybridMultilevel"/>
    <w:lvl w:ilvl="0">
      <w:lvlJc w:val="left"/>
      <w:lvlText w:val="3"/>
      <w:numFmt w:val="bullet"/>
      <w:start w:val="1"/>
    </w:lvl>
  </w:abstractNum>
  <w:abstractNum w:abstractNumId="76">
    <w:nsid w:val="68EBC550"/>
    <w:multiLevelType w:val="hybridMultilevel"/>
    <w:lvl w:ilvl="0">
      <w:lvlJc w:val="left"/>
      <w:lvlText w:val="*"/>
      <w:numFmt w:val="bullet"/>
      <w:start w:val="1"/>
    </w:lvl>
  </w:abstractNum>
  <w:abstractNum w:abstractNumId="77">
    <w:nsid w:val="2DF6D648"/>
    <w:multiLevelType w:val="hybridMultilevel"/>
    <w:lvl w:ilvl="0">
      <w:lvlJc w:val="left"/>
      <w:lvlText w:val="(%1)"/>
      <w:numFmt w:val="lowerLetter"/>
      <w:start w:val="1"/>
    </w:lvl>
  </w:abstractNum>
  <w:abstractNum w:abstractNumId="78">
    <w:nsid w:val="46B7D447"/>
    <w:multiLevelType w:val="hybridMultilevel"/>
    <w:lvl w:ilvl="0">
      <w:lvlJc w:val="left"/>
      <w:lvlText w:val="(%1)"/>
      <w:numFmt w:val="lowerLetter"/>
      <w:start w:val="3"/>
    </w:lvl>
  </w:abstractNum>
  <w:abstractNum w:abstractNumId="79">
    <w:nsid w:val="4A2AC315"/>
    <w:multiLevelType w:val="hybridMultilevel"/>
    <w:lvl w:ilvl="0">
      <w:lvlJc w:val="left"/>
      <w:lvlText w:val="(%1)"/>
      <w:numFmt w:val="lowerLetter"/>
      <w:start w:val="1"/>
    </w:lvl>
    <w:lvl w:ilvl="1">
      <w:lvlJc w:val="left"/>
      <w:lvlText w:val="§"/>
      <w:numFmt w:val="bullet"/>
      <w:start w:val="1"/>
    </w:lvl>
  </w:abstractNum>
  <w:abstractNum w:abstractNumId="80">
    <w:nsid w:val="39EE015C"/>
    <w:multiLevelType w:val="hybridMultilevel"/>
    <w:lvl w:ilvl="0">
      <w:lvlJc w:val="left"/>
      <w:lvlText w:val="(%1)"/>
      <w:numFmt w:val="lowerLetter"/>
      <w:start w:val="1"/>
    </w:lvl>
  </w:abstractNum>
  <w:abstractNum w:abstractNumId="81">
    <w:nsid w:val="57FC4FBB"/>
    <w:multiLevelType w:val="hybridMultilevel"/>
    <w:lvl w:ilvl="0">
      <w:lvlJc w:val="left"/>
      <w:lvlText w:val="(%1)"/>
      <w:numFmt w:val="lowerLetter"/>
      <w:start w:val="1"/>
    </w:lvl>
  </w:abstractNum>
  <w:abstractNum w:abstractNumId="82">
    <w:nsid w:val="CC1016F"/>
    <w:multiLevelType w:val="hybridMultilevel"/>
    <w:lvl w:ilvl="0">
      <w:lvlJc w:val="left"/>
      <w:lvlText w:val="(%1)"/>
      <w:numFmt w:val="lowerLetter"/>
      <w:start w:val="1"/>
    </w:lvl>
    <w:lvl w:ilvl="1">
      <w:lvlJc w:val="left"/>
      <w:lvlText w:val="(%2)"/>
      <w:numFmt w:val="lowerLetter"/>
      <w:start w:val="2"/>
    </w:lvl>
  </w:abstractNum>
  <w:abstractNum w:abstractNumId="83">
    <w:nsid w:val="43F18422"/>
    <w:multiLevelType w:val="hybridMultilevel"/>
    <w:lvl w:ilvl="0">
      <w:lvlJc w:val="left"/>
      <w:lvlText w:val="(%1)"/>
      <w:numFmt w:val="lowerLetter"/>
      <w:start w:val="1"/>
    </w:lvl>
    <w:lvl w:ilvl="1">
      <w:lvlJc w:val="left"/>
      <w:lvlText w:val="(%2)"/>
      <w:numFmt w:val="decimal"/>
      <w:start w:val="1"/>
    </w:lvl>
  </w:abstractNum>
  <w:abstractNum w:abstractNumId="84">
    <w:nsid w:val="60EF0119"/>
    <w:multiLevelType w:val="hybridMultilevel"/>
    <w:lvl w:ilvl="0">
      <w:lvlJc w:val="left"/>
      <w:lvlText w:val="%1"/>
      <w:numFmt w:val="lowerLetter"/>
      <w:start w:val="1"/>
    </w:lvl>
    <w:lvl w:ilvl="1">
      <w:lvlJc w:val="left"/>
      <w:lvlText w:val="(%2)"/>
      <w:numFmt w:val="decimal"/>
      <w:start w:val="2"/>
    </w:lvl>
  </w:abstractNum>
  <w:abstractNum w:abstractNumId="85">
    <w:nsid w:val="26F324BA"/>
    <w:multiLevelType w:val="hybridMultilevel"/>
    <w:lvl w:ilvl="0">
      <w:lvlJc w:val="left"/>
      <w:lvlText w:val="(%1)"/>
      <w:numFmt w:val="lowerLetter"/>
      <w:start w:val="2"/>
    </w:lvl>
    <w:lvl w:ilvl="1">
      <w:lvlJc w:val="left"/>
      <w:lvlText w:val="(%2)"/>
      <w:numFmt w:val="decimal"/>
      <w:start w:val="1"/>
    </w:lvl>
  </w:abstractNum>
  <w:abstractNum w:abstractNumId="86">
    <w:nsid w:val="7F01579B"/>
    <w:multiLevelType w:val="hybridMultilevel"/>
    <w:lvl w:ilvl="0">
      <w:lvlJc w:val="left"/>
      <w:lvlText w:val="(%1)"/>
      <w:numFmt w:val="lowerLetter"/>
      <w:start w:val="1"/>
    </w:lvl>
    <w:lvl w:ilvl="1">
      <w:lvlJc w:val="left"/>
      <w:lvlText w:val="(%2)"/>
      <w:numFmt w:val="decimal"/>
      <w:start w:val="1"/>
    </w:lvl>
  </w:abstractNum>
  <w:abstractNum w:abstractNumId="87">
    <w:nsid w:val="49DA307D"/>
    <w:multiLevelType w:val="hybridMultilevel"/>
    <w:lvl w:ilvl="0">
      <w:lvlJc w:val="left"/>
      <w:lvlText w:val="(%1)"/>
      <w:numFmt w:val="lowerLetter"/>
      <w:start w:val="1"/>
    </w:lvl>
    <w:lvl w:ilvl="1">
      <w:lvlJc w:val="left"/>
      <w:lvlText w:val="(%2)"/>
      <w:numFmt w:val="decimal"/>
      <w:start w:val="1"/>
    </w:lvl>
  </w:abstractNum>
  <w:abstractNum w:abstractNumId="88">
    <w:nsid w:val="7055A5F5"/>
    <w:multiLevelType w:val="hybridMultilevel"/>
    <w:lvl w:ilvl="0">
      <w:lvlJc w:val="left"/>
      <w:lvlText w:val="(%1)"/>
      <w:numFmt w:val="lowerLetter"/>
      <w:start w:val="1"/>
    </w:lvl>
    <w:lvl w:ilvl="1">
      <w:lvlJc w:val="left"/>
      <w:lvlText w:val="(%2)"/>
      <w:numFmt w:val="decimal"/>
      <w:start w:val="1"/>
    </w:lvl>
  </w:abstractNum>
  <w:abstractNum w:abstractNumId="89">
    <w:nsid w:val="5FB8370B"/>
    <w:multiLevelType w:val="hybridMultilevel"/>
    <w:lvl w:ilvl="0">
      <w:lvlJc w:val="left"/>
      <w:lvlText w:val="(%1)"/>
      <w:numFmt w:val="decimal"/>
      <w:start w:val="2"/>
    </w:lvl>
  </w:abstractNum>
  <w:abstractNum w:abstractNumId="90">
    <w:nsid w:val="50801EE1"/>
    <w:multiLevelType w:val="hybridMultilevel"/>
    <w:lvl w:ilvl="0">
      <w:lvlJc w:val="left"/>
      <w:lvlText w:val="(%1)"/>
      <w:numFmt w:val="lowerLetter"/>
      <w:start w:val="2"/>
    </w:lvl>
    <w:lvl w:ilvl="1">
      <w:lvlJc w:val="left"/>
      <w:lvlText w:val="(%2)"/>
      <w:numFmt w:val="decimal"/>
      <w:start w:val="1"/>
    </w:lvl>
  </w:abstractNum>
  <w:abstractNum w:abstractNumId="91">
    <w:nsid w:val="488AC1A"/>
    <w:multiLevelType w:val="hybridMultilevel"/>
    <w:lvl w:ilvl="0">
      <w:lvlJc w:val="left"/>
      <w:lvlText w:val="(%1)"/>
      <w:numFmt w:val="decimal"/>
      <w:start w:val="2"/>
    </w:lvl>
  </w:abstractNum>
  <w:abstractNum w:abstractNumId="92">
    <w:nsid w:val="5FB8011C"/>
    <w:multiLevelType w:val="hybridMultilevel"/>
    <w:lvl w:ilvl="0">
      <w:lvlJc w:val="left"/>
      <w:lvlText w:val="(%1)"/>
      <w:numFmt w:val="lowerLetter"/>
      <w:start w:val="1"/>
    </w:lvl>
    <w:lvl w:ilvl="1">
      <w:lvlJc w:val="left"/>
      <w:lvlText w:val="(%2)"/>
      <w:numFmt w:val="decimal"/>
      <w:start w:val="1"/>
    </w:lvl>
  </w:abstractNum>
  <w:abstractNum w:abstractNumId="93">
    <w:nsid w:val="6AA78F7F"/>
    <w:multiLevelType w:val="hybridMultilevel"/>
    <w:lvl w:ilvl="0">
      <w:lvlJc w:val="left"/>
      <w:lvlText w:val="(%1)"/>
      <w:numFmt w:val="lowerLetter"/>
      <w:start w:val="1"/>
    </w:lvl>
    <w:lvl w:ilvl="1">
      <w:lvlJc w:val="left"/>
      <w:lvlText w:val="(%2)"/>
      <w:numFmt w:val="decimal"/>
      <w:start w:val="1"/>
    </w:lvl>
    <w:lvl w:ilvl="2">
      <w:lvlJc w:val="left"/>
      <w:lvlText w:val="(%3)"/>
      <w:numFmt w:val="decimal"/>
      <w:start w:val="3"/>
    </w:lvl>
  </w:abstractNum>
  <w:abstractNum w:abstractNumId="94">
    <w:nsid w:val="7672BD23"/>
    <w:multiLevelType w:val="hybridMultilevel"/>
    <w:lvl w:ilvl="0">
      <w:lvlJc w:val="left"/>
      <w:lvlText w:val="(%1)"/>
      <w:numFmt w:val="lowerRoman"/>
      <w:start w:val="1"/>
    </w:lvl>
  </w:abstractNum>
  <w:abstractNum w:abstractNumId="95">
    <w:nsid w:val="6FC75AF8"/>
    <w:multiLevelType w:val="hybridMultilevel"/>
    <w:lvl w:ilvl="0">
      <w:lvlJc w:val="left"/>
      <w:lvlText w:val="%1"/>
      <w:numFmt w:val="decimal"/>
      <w:start w:val="1"/>
    </w:lvl>
    <w:lvl w:ilvl="1">
      <w:lvlJc w:val="left"/>
      <w:lvlText w:val="(%2)"/>
      <w:numFmt w:val="lowerRoman"/>
      <w:start w:val="2"/>
    </w:lvl>
  </w:abstractNum>
  <w:abstractNum w:abstractNumId="96">
    <w:nsid w:val="6A5F7029"/>
    <w:multiLevelType w:val="hybridMultilevel"/>
    <w:lvl w:ilvl="0">
      <w:lvlJc w:val="left"/>
      <w:lvlText w:val="(%1)"/>
      <w:numFmt w:val="decimal"/>
      <w:start w:val="3"/>
    </w:lvl>
    <w:lvl w:ilvl="1">
      <w:lvlJc w:val="left"/>
      <w:lvlText w:val="%2"/>
      <w:numFmt w:val="lowerRoman"/>
      <w:start w:val="1"/>
    </w:lvl>
  </w:abstractNum>
  <w:abstractNum w:abstractNumId="97">
    <w:nsid w:val="7D5E18F8"/>
    <w:multiLevelType w:val="hybridMultilevel"/>
    <w:lvl w:ilvl="0">
      <w:lvlJc w:val="left"/>
      <w:lvlText w:val="(%1)"/>
      <w:numFmt w:val="lowerLetter"/>
      <w:start w:val="1"/>
    </w:lvl>
  </w:abstractNum>
  <w:abstractNum w:abstractNumId="98">
    <w:nsid w:val="5F3534A4"/>
    <w:multiLevelType w:val="hybridMultilevel"/>
    <w:lvl w:ilvl="0">
      <w:lvlJc w:val="left"/>
      <w:lvlText w:val="(%1)"/>
      <w:numFmt w:val="lowerLetter"/>
      <w:start w:val="2"/>
    </w:lvl>
  </w:abstractNum>
  <w:abstractNum w:abstractNumId="99">
    <w:nsid w:val="73A1821B"/>
    <w:multiLevelType w:val="hybridMultilevel"/>
    <w:lvl w:ilvl="0">
      <w:lvlJc w:val="left"/>
      <w:lvlText w:val="(%1)"/>
      <w:numFmt w:val="lowerLetter"/>
      <w:start w:val="6"/>
    </w:lvl>
    <w:lvl w:ilvl="1">
      <w:lvlJc w:val="left"/>
      <w:lvlText w:val="(%2)"/>
      <w:numFmt w:val="decimal"/>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lvl w:ilvl="1">
      <w:lvlJc w:val="left"/>
      <w:lvlText w:val="(%2)"/>
      <w:numFmt w:val="lowerLetter"/>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82" Type="http://schemas.openxmlformats.org/officeDocument/2006/relationships/image" Target="media/image100.png"/><Relationship Id="rId183" Type="http://schemas.openxmlformats.org/officeDocument/2006/relationships/image" Target="media/image101.png"/><Relationship Id="rId184" Type="http://schemas.openxmlformats.org/officeDocument/2006/relationships/image" Target="media/image102.png"/><Relationship Id="rId185" Type="http://schemas.openxmlformats.org/officeDocument/2006/relationships/image" Target="media/image103.png"/><Relationship Id="rId186" Type="http://schemas.openxmlformats.org/officeDocument/2006/relationships/image" Target="media/image104.png"/><Relationship Id="rId187" Type="http://schemas.openxmlformats.org/officeDocument/2006/relationships/image" Target="media/image105.png"/><Relationship Id="rId188" Type="http://schemas.openxmlformats.org/officeDocument/2006/relationships/image" Target="media/image106.png"/><Relationship Id="rId189" Type="http://schemas.openxmlformats.org/officeDocument/2006/relationships/image" Target="media/image107.png"/><Relationship Id="rId190" Type="http://schemas.openxmlformats.org/officeDocument/2006/relationships/image" Target="media/image108.png"/><Relationship Id="rId191" Type="http://schemas.openxmlformats.org/officeDocument/2006/relationships/image" Target="media/image109.png"/><Relationship Id="rId192" Type="http://schemas.openxmlformats.org/officeDocument/2006/relationships/image" Target="media/image110.png"/><Relationship Id="rId193" Type="http://schemas.openxmlformats.org/officeDocument/2006/relationships/image" Target="media/image111.png"/><Relationship Id="rId194" Type="http://schemas.openxmlformats.org/officeDocument/2006/relationships/image" Target="media/image112.png"/><Relationship Id="rId195" Type="http://schemas.openxmlformats.org/officeDocument/2006/relationships/image" Target="media/image113.png"/><Relationship Id="rId196" Type="http://schemas.openxmlformats.org/officeDocument/2006/relationships/image" Target="media/image114.png"/><Relationship Id="rId197" Type="http://schemas.openxmlformats.org/officeDocument/2006/relationships/image" Target="media/image115.png"/><Relationship Id="rId198" Type="http://schemas.openxmlformats.org/officeDocument/2006/relationships/image" Target="media/image116.png"/><Relationship Id="rId199" Type="http://schemas.openxmlformats.org/officeDocument/2006/relationships/image" Target="media/image117.png"/><Relationship Id="rId200" Type="http://schemas.openxmlformats.org/officeDocument/2006/relationships/image" Target="media/image118.png"/><Relationship Id="rId201" Type="http://schemas.openxmlformats.org/officeDocument/2006/relationships/image" Target="media/image119.png"/><Relationship Id="rId202" Type="http://schemas.openxmlformats.org/officeDocument/2006/relationships/image" Target="media/image120.png"/><Relationship Id="rId203" Type="http://schemas.openxmlformats.org/officeDocument/2006/relationships/image" Target="media/image121.png"/><Relationship Id="rId204" Type="http://schemas.openxmlformats.org/officeDocument/2006/relationships/image" Target="media/image122.png"/><Relationship Id="rId205" Type="http://schemas.openxmlformats.org/officeDocument/2006/relationships/image" Target="media/image123.png"/><Relationship Id="rId206" Type="http://schemas.openxmlformats.org/officeDocument/2006/relationships/image" Target="media/image124.png"/><Relationship Id="rId207" Type="http://schemas.openxmlformats.org/officeDocument/2006/relationships/image" Target="media/image125.png"/><Relationship Id="rId208" Type="http://schemas.openxmlformats.org/officeDocument/2006/relationships/image" Target="media/image126.png"/><Relationship Id="rId209" Type="http://schemas.openxmlformats.org/officeDocument/2006/relationships/image" Target="media/image127.png"/><Relationship Id="rId210" Type="http://schemas.openxmlformats.org/officeDocument/2006/relationships/image" Target="media/image128.png"/><Relationship Id="rId211" Type="http://schemas.openxmlformats.org/officeDocument/2006/relationships/image" Target="media/image129.png"/><Relationship Id="rId212" Type="http://schemas.openxmlformats.org/officeDocument/2006/relationships/image" Target="media/image130.png"/><Relationship Id="rId107" Type="http://schemas.openxmlformats.org/officeDocument/2006/relationships/hyperlink" Target="http://www.sec.gov/Archives/edgar/data/3453/000110465914079225/a14-24264_1ex2d1.htm" TargetMode="External"/><Relationship Id="rId108" Type="http://schemas.openxmlformats.org/officeDocument/2006/relationships/hyperlink" Target="http://www.sec.gov/Archives/edgar/data/3453/000110465915011288/a15-4783_1ex2d1.htm" TargetMode="External"/><Relationship Id="rId109" Type="http://schemas.openxmlformats.org/officeDocument/2006/relationships/hyperlink" Target="http://www.sec.gov/Archives/edgar/data/1302707/000119312514411216/d820290dex22.htm" TargetMode="External"/><Relationship Id="rId110" Type="http://schemas.openxmlformats.org/officeDocument/2006/relationships/hyperlink" Target="http://www.sec.gov/Archives/edgar/data/3453/000110465915056414/a15-12015_1ex2d2.htm" TargetMode="External"/><Relationship Id="rId111" Type="http://schemas.openxmlformats.org/officeDocument/2006/relationships/hyperlink" Target="http://www.sec.gov/Archives/edgar/data/3453/000110465916133224/a16-15104_1ex2d1.htm" TargetMode="External"/><Relationship Id="rId112" Type="http://schemas.openxmlformats.org/officeDocument/2006/relationships/hyperlink" Target="http://www.sec.gov/Archives/edgar/data/3453/000110465912056234/a12-16487_1ex3d1.htm" TargetMode="External"/><Relationship Id="rId113" Type="http://schemas.openxmlformats.org/officeDocument/2006/relationships/hyperlink" Target="http://www.sec.gov/Archives/edgar/data/3453/000110465912071639/a12-24769_1ex4d2.htm" TargetMode="External"/><Relationship Id="rId114" Type="http://schemas.openxmlformats.org/officeDocument/2006/relationships/hyperlink" Target="http://www.sec.gov/Archives/edgar/data/3453/000110465913082371/a13-19562_1ex3d1.htm" TargetMode="External"/><Relationship Id="rId115" Type="http://schemas.openxmlformats.org/officeDocument/2006/relationships/hyperlink" Target="http://www.sec.gov/Archives/edgar/data/3453/000110465917043034/a17-15994_1ex10d1.htm" TargetMode="External"/><Relationship Id="rId116" Type="http://schemas.openxmlformats.org/officeDocument/2006/relationships/hyperlink" Target="http://www.sec.gov/Archives/edgar/data/3453/000110465917043034/a17-15994_1ex10d2.htm" TargetMode="External"/><Relationship Id="rId117" Type="http://schemas.openxmlformats.org/officeDocument/2006/relationships/hyperlink" Target="http://www.sec.gov/Archives/edgar/data/3453/000110465917043034/a17-15994_1ex10d3.htm" TargetMode="External"/><Relationship Id="rId118" Type="http://schemas.openxmlformats.org/officeDocument/2006/relationships/hyperlink" Target="http://www.sec.gov/Archives/edgar/data/3453/000110465917043034/a17-15994_1ex10d4.htm" TargetMode="External"/><Relationship Id="rId119" Type="http://schemas.openxmlformats.org/officeDocument/2006/relationships/hyperlink" Target="http://www.sec.gov/Archives/edgar/data/3453/000110465917043034/a17-15994_1ex10d5.htm" TargetMode="External"/><Relationship Id="rId120" Type="http://schemas.openxmlformats.org/officeDocument/2006/relationships/hyperlink" Target="http://www.sec.gov/Archives/edgar/data/3453/000110465916163397/a16-23408_1ex10d1.htm" TargetMode="External"/><Relationship Id="rId121" Type="http://schemas.openxmlformats.org/officeDocument/2006/relationships/hyperlink" Target="http://www.sec.gov/Archives/edgar/data/3453/000110465916144681/a16-18469_1ex10d1.htm" TargetMode="External"/><Relationship Id="rId122" Type="http://schemas.openxmlformats.org/officeDocument/2006/relationships/hyperlink" Target="http://www.sec.gov/Archives/edgar/data/3453/000091205715000235/a15-16650_1ex10d1.htm" TargetMode="External"/><Relationship Id="rId123" Type="http://schemas.openxmlformats.org/officeDocument/2006/relationships/hyperlink" Target="http://www.sec.gov/Archives/edgar/data/3453/000091205715000235/a15-16650_1ex10d3.htm" TargetMode="External"/><Relationship Id="rId124" Type="http://schemas.openxmlformats.org/officeDocument/2006/relationships/hyperlink" Target="http://www.sec.gov/Archives/edgar/data/3453/000110465915068909/a15-20634_1ex10d1.htm" TargetMode="External"/><Relationship Id="rId125" Type="http://schemas.openxmlformats.org/officeDocument/2006/relationships/hyperlink" Target="http://www.sec.gov/Archives/edgar/data/3453/000110465914004743/a14-4517_1ex10d1.htm" TargetMode="External"/><Relationship Id="rId126" Type="http://schemas.openxmlformats.org/officeDocument/2006/relationships/hyperlink" Target="http://www.sec.gov/Archives/edgar/data/3453/000110465912056234/a12-16487_1ex10d1.htm" TargetMode="External"/><Relationship Id="rId127" Type="http://schemas.openxmlformats.org/officeDocument/2006/relationships/hyperlink" Target="http://www.sec.gov/Archives/edgar/data/3453/000110465912056234/a12-16487_1ex10d2.htm" TargetMode="External"/><Relationship Id="rId128" Type="http://schemas.openxmlformats.org/officeDocument/2006/relationships/hyperlink" Target="http://www.sec.gov/Archives/edgar/data/3453/000000345304000034/title_xi.txt" TargetMode="External"/><Relationship Id="rId129" Type="http://schemas.openxmlformats.org/officeDocument/2006/relationships/hyperlink" Target="http://www.sec.gov/Archives/edgar/data/3453/000000345307000059/exh10.htm" TargetMode="External"/><Relationship Id="rId130" Type="http://schemas.openxmlformats.org/officeDocument/2006/relationships/hyperlink" Target="http://www.sec.gov/Archives/edgar/data/3453/000110465915014988/a14-26312_1ex10d13.htm" TargetMode="External"/><Relationship Id="rId131" Type="http://schemas.openxmlformats.org/officeDocument/2006/relationships/hyperlink" Target="http://www.sec.gov/Archives/edgar/data/3453/000110465913005545/a13-3892_1ex10d1.htm" TargetMode="External"/><Relationship Id="rId132" Type="http://schemas.openxmlformats.org/officeDocument/2006/relationships/hyperlink" Target="http://www.sec.gov/Archives/edgar/data/3453/000110465913005545/a13-3892_1ex10d2.htm" TargetMode="External"/><Relationship Id="rId133" Type="http://schemas.openxmlformats.org/officeDocument/2006/relationships/hyperlink" Target="http://www.sec.gov/Archives/edgar/data/3453/000110465912071639/a12-24769_1ex99d2.htm" TargetMode="External"/><Relationship Id="rId134" Type="http://schemas.openxmlformats.org/officeDocument/2006/relationships/hyperlink" Target="http://www.sec.gov/Archives/edgar/data/3453/000110465912071639/a12-24769_1ex99d3.htm" TargetMode="External"/><Relationship Id="rId135" Type="http://schemas.openxmlformats.org/officeDocument/2006/relationships/hyperlink" Target="http://www.sec.gov/Archives/edgar/data/3453/000110465912071639/a12-24769_1ex99d4.htm" TargetMode="External"/><Relationship Id="rId136" Type="http://schemas.openxmlformats.org/officeDocument/2006/relationships/hyperlink" Target="http://www.sec.gov/Archives/edgar/data/3453/000110465912071639/a12-24769_1ex99d5.htm" TargetMode="External"/><Relationship Id="rId137" Type="http://schemas.openxmlformats.org/officeDocument/2006/relationships/hyperlink" Target="http://www.sec.gov/Archives/edgar/data/3453/000110465912071639/a12-24769_1ex99d6.htm" TargetMode="External"/><Relationship Id="rId138" Type="http://schemas.openxmlformats.org/officeDocument/2006/relationships/hyperlink" Target="http://www.sec.gov/Archives/edgar/data/3453/000110465912071639/a12-24769_1ex99d7.htm" TargetMode="External"/><Relationship Id="rId139" Type="http://schemas.openxmlformats.org/officeDocument/2006/relationships/hyperlink" Target="http://www.sec.gov/Archives/edgar/data/3453/000110465914014819/a13-26914_1ex10d20.htm" TargetMode="External"/><Relationship Id="rId140" Type="http://schemas.openxmlformats.org/officeDocument/2006/relationships/hyperlink" Target="http://www.sec.gov/Archives/edgar/data/3453/000110465914014819/a13-26914_1ex10d21.htm" TargetMode="External"/><Relationship Id="rId141" Type="http://schemas.openxmlformats.org/officeDocument/2006/relationships/hyperlink" Target="http://www.sec.gov/Archives/edgar/data/3453/000110465912071639/a12-24769_1ex99d10.htm" TargetMode="External"/><Relationship Id="rId142" Type="http://schemas.openxmlformats.org/officeDocument/2006/relationships/hyperlink" Target="http://www.sec.gov/Archives/edgar/data/3453/000110465912071639/a12-24769_1ex99d11.htm" TargetMode="External"/><Relationship Id="rId143" Type="http://schemas.openxmlformats.org/officeDocument/2006/relationships/hyperlink" Target="http://www.sec.gov/Archives/edgar/data/3453/000000345312000071/exh99_4.htm" TargetMode="External"/><Relationship Id="rId144" Type="http://schemas.openxmlformats.org/officeDocument/2006/relationships/hyperlink" Target="http://www.sec.gov/Archives/edgar/data/3453/000000345312000071/exh99_6.htm" TargetMode="External"/><Relationship Id="rId145" Type="http://schemas.openxmlformats.org/officeDocument/2006/relationships/hyperlink" Target="http://www.sec.gov/Archives/edgar/data/3453/000110465913016637/a12-29099_1ex10d34.htm" TargetMode="External"/><Relationship Id="rId146" Type="http://schemas.openxmlformats.org/officeDocument/2006/relationships/hyperlink" Target="http://www.sec.gov/Archives/edgar/data/3453/000110465914063623/a14-20075_1ex10d1.htm" TargetMode="External"/><Relationship Id="rId147" Type="http://schemas.openxmlformats.org/officeDocument/2006/relationships/hyperlink" Target="http://www.sec.gov/Archives/edgar/data/3453/000000345309000012/exh-serp.htm" TargetMode="External"/><Relationship Id="rId148" Type="http://schemas.openxmlformats.org/officeDocument/2006/relationships/hyperlink" Target="http://www.sec.gov/Archives/edgar/data/3453/000000345312000026/amend1serp.htm" TargetMode="External"/><Relationship Id="rId149" Type="http://schemas.openxmlformats.org/officeDocument/2006/relationships/hyperlink" Target="http://www.sec.gov/Archives/edgar/data/3453/000000345312000026/amend2serp.htm" TargetMode="External"/><Relationship Id="rId150" Type="http://schemas.openxmlformats.org/officeDocument/2006/relationships/hyperlink" Target="http://www.sec.gov/Archives/edgar/data/3453/000110465913016637/a12-29099_1ex10d45.htm" TargetMode="External"/><Relationship Id="rId151" Type="http://schemas.openxmlformats.org/officeDocument/2006/relationships/hyperlink" Target="http://www.sec.gov/Archives/edgar/data/3453/000110465915014988/a14-26312_1ex10d42.htm" TargetMode="External"/><Relationship Id="rId152" Type="http://schemas.openxmlformats.org/officeDocument/2006/relationships/hyperlink" Target="http://www.sec.gov/Archives/edgar/data/3453/000110465914073470/a14-22649_1ex10d1.htm" TargetMode="External"/><Relationship Id="rId153" Type="http://schemas.openxmlformats.org/officeDocument/2006/relationships/hyperlink" Target="http://www.sec.gov/Archives/edgar/data/3453/000110465914073470/a14-22649_1ex10d2.htm" TargetMode="External"/><Relationship Id="rId154" Type="http://schemas.openxmlformats.org/officeDocument/2006/relationships/hyperlink" Target="http://www.sec.gov/Archives/edgar/data/3453/000110465915025936/a15-8575_1ex10d1.htm" TargetMode="External"/><Relationship Id="rId155" Type="http://schemas.openxmlformats.org/officeDocument/2006/relationships/hyperlink" Target="http://www.sec.gov/Archives/edgar/data/3453/000110465915025936/a15-8575_1ex10d2.htm" TargetMode="External"/><Relationship Id="rId156" Type="http://schemas.openxmlformats.org/officeDocument/2006/relationships/hyperlink" Target="http://www.sec.gov/Archives/edgar/data/3453/000110465918029366/a18-12075_1ex10d1.htm" TargetMode="External"/><Relationship Id="rId157" Type="http://schemas.openxmlformats.org/officeDocument/2006/relationships/hyperlink" Target="http://www.sec.gov/Archives/edgar/data/3453/000110465918029366/a18-12075_1ex10d2.htm" TargetMode="External"/><Relationship Id="rId158" Type="http://schemas.openxmlformats.org/officeDocument/2006/relationships/hyperlink" Target="http://www.sec.gov/Archives/edgar/data/3453/000110465913016637/a12-29099_1ex10d47.htm" TargetMode="External"/><Relationship Id="rId159" Type="http://schemas.openxmlformats.org/officeDocument/2006/relationships/hyperlink" Target="http://www.sec.gov/Archives/edgar/data/3453/000110465913016637/a12-29099_1ex10d49.htm" TargetMode="External"/><Relationship Id="rId160" Type="http://schemas.openxmlformats.org/officeDocument/2006/relationships/hyperlink" Target="http://www.sec.gov/Archives/edgar/data/3453/000110465913016637/a12-29099_1ex10d51.htm" TargetMode="External"/><Relationship Id="rId161" Type="http://schemas.openxmlformats.org/officeDocument/2006/relationships/hyperlink" Target="http://www.sec.gov/Archives/edgar/data/3453/000110465914014819/a13-26914_1ex10d56.htm" TargetMode="External"/><Relationship Id="rId162" Type="http://schemas.openxmlformats.org/officeDocument/2006/relationships/hyperlink" Target="http://www.sec.gov/Archives/edgar/data/3453/000110465914014819/a13-26914_1ex10d57.htm" TargetMode="External"/><Relationship Id="rId163" Type="http://schemas.openxmlformats.org/officeDocument/2006/relationships/hyperlink" Target="http://www.sec.gov/Archives/edgar/data/3453/000110465914014819/a13-26914_1ex10d58.htm" TargetMode="External"/><Relationship Id="rId164" Type="http://schemas.openxmlformats.org/officeDocument/2006/relationships/hyperlink" Target="http://www.sec.gov/Archives/edgar/data/3453/000155837016009602/matx-20160930ex10159fc02.htm" TargetMode="External"/><Relationship Id="rId165" Type="http://schemas.openxmlformats.org/officeDocument/2006/relationships/hyperlink" Target="http://www.sec.gov/Archives/edgar/data/3453/000155837016009602/matx-20160930ex1025f5188.htm" TargetMode="External"/><Relationship Id="rId166" Type="http://schemas.openxmlformats.org/officeDocument/2006/relationships/hyperlink" Target="http://www.sec.gov/Archives/edgar/data/3453/000155837016009602/matx-20160930ex10396752a.htm" TargetMode="External"/><Relationship Id="rId167" Type="http://schemas.openxmlformats.org/officeDocument/2006/relationships/hyperlink" Target="http://www.sec.gov/Archives/edgar/data/3453/000110465914014819/a13-26914_1ex10d60.htm" TargetMode="External"/><Relationship Id="rId168" Type="http://schemas.openxmlformats.org/officeDocument/2006/relationships/hyperlink" Target="http://www.sec.gov/Archives/edgar/data/3453/000110465914079225/a14-24264_1ex10d1.htm" TargetMode="External"/><Relationship Id="rId169" Type="http://schemas.openxmlformats.org/officeDocument/2006/relationships/hyperlink" Target="http://www.sec.gov/Archives/edgar/data/3453/000155837018001004/matx-20171231ex10562f7e4.htm" TargetMode="External"/><Relationship Id="rId170" Type="http://schemas.openxmlformats.org/officeDocument/2006/relationships/hyperlink" Target="http://www.sec.gov/Archives/edgar/data/3453/000155837017000947/matx-20161231ex1063a7bab.htm" TargetMode="External"/><Relationship Id="rId171" Type="http://schemas.openxmlformats.org/officeDocument/2006/relationships/hyperlink" Target="http://www.sec.gov/Archives/edgar/data/3453/000155837017000947/matx-20161231ex1064eae73.htm" TargetMode="External"/><Relationship Id="rId172" Type="http://schemas.openxmlformats.org/officeDocument/2006/relationships/hyperlink" Target="http://www.sec.gov/Archives/edgar/data/3453/000155837017000947/matx-20161231ex1065f8a3a.htm" TargetMode="External"/><Relationship Id="rId173" Type="http://schemas.openxmlformats.org/officeDocument/2006/relationships/hyperlink" Target="http://www.sec.gov/Archives/edgar/data/3453/000155837018001004/matx-20171231ex1060d61df.htm" TargetMode="External"/><Relationship Id="rId174" Type="http://schemas.openxmlformats.org/officeDocument/2006/relationships/hyperlink" Target="http://www.sec.gov/Archives/edgar/data/3453/000155837018001004/matx-20171231ex1061a3715.htm" TargetMode="External"/><Relationship Id="rId175" Type="http://schemas.openxmlformats.org/officeDocument/2006/relationships/hyperlink" Target="http://www.sec.gov/Archives/edgar/data/3453/000155837018001004/matx-20171231ex10620ee80.htm" TargetMode="External"/><Relationship Id="rId176" Type="http://schemas.openxmlformats.org/officeDocument/2006/relationships/hyperlink" Target="http://www.sec.gov/Archives/edgar/data/3453/000155837018001004/matx-20171231ex1063ec9ca.htm" TargetMode="External"/><Relationship Id="rId177" Type="http://schemas.openxmlformats.org/officeDocument/2006/relationships/hyperlink" Target="http://www.sec.gov/Archives/edgar/data/3453/000155837017000947/matx-20161231ex107075513.htm" TargetMode="External"/><Relationship Id="rId178" Type="http://schemas.openxmlformats.org/officeDocument/2006/relationships/hyperlink" Target="http://www.sec.gov/Archives/edgar/data/3453/000155837017000947/matx-20161231ex1071fa32f.htm" TargetMode="External"/><Relationship Id="rId179" Type="http://schemas.openxmlformats.org/officeDocument/2006/relationships/hyperlink" Target="http://www.sec.gov/Archives/edgar/data/3453/000155837017000947/matx-20161231ex107232dcd.htm" TargetMode="External"/><Relationship Id="rId180" Type="http://schemas.openxmlformats.org/officeDocument/2006/relationships/hyperlink" Target="http://www.sec.gov/Archives/edgar/data/3453/000155837017000947/matx-20161231ex1073bf92f.htm" TargetMode="External"/><Relationship Id="rId181" Type="http://schemas.openxmlformats.org/officeDocument/2006/relationships/hyperlink" Target="http://www.sec.gov/Archives/edgar/data/3453/000155837018001004/matx-20171231ex1068d2c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2019-12-28T15:32:56Z</dcterms:created>
  <dcterms:modified xsi:type="dcterms:W3CDTF">2019-12-28T15:32:56Z</dcterms:modified>
</cp:coreProperties>
</file>