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640" w:hanging="318"/>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6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640" w:hanging="318"/>
        <w:spacing w:after="0"/>
        <w:tabs>
          <w:tab w:leader="none" w:pos="6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340"/>
          </w:cols>
          <w:pgMar w:left="760" w:top="665" w:right="799" w:bottom="1440" w:gutter="0" w:footer="0" w:header="0"/>
        </w:sectPr>
      </w:pPr>
    </w:p>
    <w:p>
      <w:pPr>
        <w:spacing w:after="0" w:line="97"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1" w:lineRule="exact"/>
        <w:rPr>
          <w:sz w:val="24"/>
          <w:szCs w:val="24"/>
          <w:color w:val="auto"/>
        </w:rPr>
      </w:pPr>
    </w:p>
    <w:p>
      <w:pPr>
        <w:sectPr>
          <w:pgSz w:w="11900" w:h="16838" w:orient="portrait"/>
          <w:cols w:equalWidth="0" w:num="2">
            <w:col w:w="5620" w:space="580"/>
            <w:col w:w="4140"/>
          </w:cols>
          <w:pgMar w:left="760" w:top="665" w:right="79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Commission file number 001-34187</w:t>
      </w:r>
    </w:p>
    <w:p>
      <w:pPr>
        <w:sectPr>
          <w:pgSz w:w="11900" w:h="16838" w:orient="portrait"/>
          <w:cols w:equalWidth="0" w:num="1">
            <w:col w:w="10340"/>
          </w:cols>
          <w:pgMar w:left="760" w:top="665" w:right="799" w:bottom="1440" w:gutter="0" w:footer="0" w:header="0"/>
          <w:type w:val="continuous"/>
        </w:sectPr>
      </w:pP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Matson, Inc.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340"/>
          </w:cols>
          <w:pgMar w:left="760" w:top="665" w:right="799" w:bottom="1440" w:gutter="0" w:footer="0" w:header="0"/>
          <w:type w:val="continuous"/>
        </w:sectPr>
      </w:pPr>
    </w:p>
    <w:p>
      <w:pPr>
        <w:spacing w:after="0" w:line="64"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Hawaii</w:t>
      </w:r>
    </w:p>
    <w:p>
      <w:pPr>
        <w:spacing w:after="0" w:line="3" w:lineRule="exact"/>
        <w:rPr>
          <w:sz w:val="24"/>
          <w:szCs w:val="24"/>
          <w:color w:val="auto"/>
        </w:rPr>
      </w:pPr>
    </w:p>
    <w:p>
      <w:pPr>
        <w:ind w:left="1720"/>
        <w:spacing w:after="0"/>
        <w:rPr>
          <w:sz w:val="20"/>
          <w:szCs w:val="20"/>
          <w:color w:val="auto"/>
        </w:rPr>
      </w:pPr>
      <w:r>
        <w:rPr>
          <w:rFonts w:ascii="Arial" w:cs="Arial" w:eastAsia="Arial" w:hAnsi="Arial"/>
          <w:sz w:val="13"/>
          <w:szCs w:val="13"/>
          <w:color w:val="auto"/>
        </w:rPr>
        <w:t>(State or other jurisdiction of</w:t>
      </w:r>
    </w:p>
    <w:p>
      <w:pPr>
        <w:ind w:left="16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99-0032630</w:t>
      </w:r>
    </w:p>
    <w:p>
      <w:pPr>
        <w:jc w:val="center"/>
        <w:ind w:right="196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960"/>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6580" w:space="720"/>
            <w:col w:w="3040"/>
          </w:cols>
          <w:pgMar w:left="760" w:top="665" w:right="79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1411 Sand Island Parkway</w:t>
      </w:r>
    </w:p>
    <w:p>
      <w:pPr>
        <w:jc w:val="center"/>
        <w:ind w:right="-39"/>
        <w:spacing w:after="0" w:line="226" w:lineRule="auto"/>
        <w:rPr>
          <w:sz w:val="20"/>
          <w:szCs w:val="20"/>
          <w:color w:val="auto"/>
        </w:rPr>
      </w:pPr>
      <w:r>
        <w:rPr>
          <w:rFonts w:ascii="Arial" w:cs="Arial" w:eastAsia="Arial" w:hAnsi="Arial"/>
          <w:sz w:val="14"/>
          <w:szCs w:val="14"/>
          <w:b w:val="1"/>
          <w:bCs w:val="1"/>
          <w:color w:val="auto"/>
        </w:rPr>
        <w:t>Honolulu, HI 96819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of principal executive offices and zip code)</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(808) 848-1211</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2"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880" w:type="dxa"/>
            <w:vAlign w:val="bottom"/>
          </w:tcPr>
          <w:p>
            <w:pPr>
              <w:jc w:val="center"/>
              <w:ind w:right="808"/>
              <w:spacing w:after="0"/>
              <w:rPr>
                <w:sz w:val="20"/>
                <w:szCs w:val="20"/>
                <w:color w:val="auto"/>
              </w:rPr>
            </w:pPr>
            <w:r>
              <w:rPr>
                <w:rFonts w:ascii="Arial" w:cs="Arial" w:eastAsia="Arial" w:hAnsi="Arial"/>
                <w:sz w:val="14"/>
                <w:szCs w:val="14"/>
                <w:color w:val="auto"/>
                <w:w w:val="92"/>
              </w:rPr>
              <w:t>Title of each class</w:t>
            </w:r>
          </w:p>
        </w:tc>
        <w:tc>
          <w:tcPr>
            <w:tcW w:w="2760" w:type="dxa"/>
            <w:vAlign w:val="bottom"/>
          </w:tcPr>
          <w:p>
            <w:pPr>
              <w:jc w:val="center"/>
              <w:ind w:left="88"/>
              <w:spacing w:after="0"/>
              <w:rPr>
                <w:sz w:val="20"/>
                <w:szCs w:val="20"/>
                <w:color w:val="auto"/>
              </w:rPr>
            </w:pPr>
            <w:r>
              <w:rPr>
                <w:rFonts w:ascii="Arial" w:cs="Arial" w:eastAsia="Arial" w:hAnsi="Arial"/>
                <w:sz w:val="14"/>
                <w:szCs w:val="14"/>
                <w:color w:val="auto"/>
                <w:w w:val="94"/>
              </w:rPr>
              <w:t>Trading Symbol(s)</w:t>
            </w:r>
          </w:p>
        </w:tc>
        <w:tc>
          <w:tcPr>
            <w:tcW w:w="3320" w:type="dxa"/>
            <w:vAlign w:val="bottom"/>
          </w:tcPr>
          <w:p>
            <w:pPr>
              <w:jc w:val="center"/>
              <w:ind w:left="70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2880" w:type="dxa"/>
            <w:vAlign w:val="bottom"/>
          </w:tcPr>
          <w:p>
            <w:pPr>
              <w:jc w:val="center"/>
              <w:ind w:right="828"/>
              <w:spacing w:after="0"/>
              <w:rPr>
                <w:sz w:val="20"/>
                <w:szCs w:val="20"/>
                <w:color w:val="auto"/>
              </w:rPr>
            </w:pPr>
            <w:r>
              <w:rPr>
                <w:rFonts w:ascii="Arial" w:cs="Arial" w:eastAsia="Arial" w:hAnsi="Arial"/>
                <w:sz w:val="14"/>
                <w:szCs w:val="14"/>
                <w:color w:val="auto"/>
                <w:w w:val="94"/>
              </w:rPr>
              <w:t>Common Stock, without par value</w:t>
            </w:r>
          </w:p>
        </w:tc>
        <w:tc>
          <w:tcPr>
            <w:tcW w:w="2760" w:type="dxa"/>
            <w:vAlign w:val="bottom"/>
          </w:tcPr>
          <w:p>
            <w:pPr>
              <w:jc w:val="center"/>
              <w:ind w:left="88"/>
              <w:spacing w:after="0"/>
              <w:rPr>
                <w:sz w:val="20"/>
                <w:szCs w:val="20"/>
                <w:color w:val="auto"/>
              </w:rPr>
            </w:pPr>
            <w:r>
              <w:rPr>
                <w:rFonts w:ascii="Arial" w:cs="Arial" w:eastAsia="Arial" w:hAnsi="Arial"/>
                <w:sz w:val="14"/>
                <w:szCs w:val="14"/>
                <w:color w:val="auto"/>
              </w:rPr>
              <w:t>MATX</w:t>
            </w:r>
          </w:p>
        </w:tc>
        <w:tc>
          <w:tcPr>
            <w:tcW w:w="3320" w:type="dxa"/>
            <w:vAlign w:val="bottom"/>
          </w:tcPr>
          <w:p>
            <w:pPr>
              <w:jc w:val="center"/>
              <w:ind w:left="708"/>
              <w:spacing w:after="0"/>
              <w:rPr>
                <w:sz w:val="20"/>
                <w:szCs w:val="20"/>
                <w:color w:val="auto"/>
              </w:rPr>
            </w:pPr>
            <w:r>
              <w:rPr>
                <w:rFonts w:ascii="Arial" w:cs="Arial" w:eastAsia="Arial" w:hAnsi="Arial"/>
                <w:sz w:val="14"/>
                <w:szCs w:val="14"/>
                <w:color w:val="auto"/>
                <w:w w:val="92"/>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660336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214630"/>
                    </a:xfrm>
                    <a:prstGeom prst="rect">
                      <a:avLst/>
                    </a:prstGeom>
                    <a:noFill/>
                  </pic:spPr>
                </pic:pic>
              </a:graphicData>
            </a:graphic>
          </wp:anchor>
        </w:drawing>
      </w:r>
    </w:p>
    <w:p>
      <w:pPr>
        <w:spacing w:after="0" w:line="256"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b w:val="1"/>
          <w:bCs w:val="1"/>
          <w:color w:val="auto"/>
        </w:rPr>
        <w:t>None</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Number of shares of Common Stock outstanding at February 24, 2020:</w:t>
      </w:r>
    </w:p>
    <w:p>
      <w:pPr>
        <w:jc w:val="center"/>
        <w:ind w:right="-39"/>
        <w:spacing w:after="0"/>
        <w:rPr>
          <w:sz w:val="20"/>
          <w:szCs w:val="20"/>
          <w:color w:val="auto"/>
        </w:rPr>
      </w:pPr>
      <w:r>
        <w:rPr>
          <w:rFonts w:ascii="Arial" w:cs="Arial" w:eastAsia="Arial" w:hAnsi="Arial"/>
          <w:sz w:val="14"/>
          <w:szCs w:val="14"/>
          <w:b w:val="1"/>
          <w:bCs w:val="1"/>
          <w:color w:val="auto"/>
        </w:rPr>
        <w:t>43,040,657</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Aggregate market value of Common Stock held by non-affiliates at June 30, 2019:</w:t>
      </w:r>
    </w:p>
    <w:p>
      <w:pPr>
        <w:jc w:val="center"/>
        <w:ind w:right="-39"/>
        <w:spacing w:after="0"/>
        <w:rPr>
          <w:sz w:val="20"/>
          <w:szCs w:val="20"/>
          <w:color w:val="auto"/>
        </w:rPr>
      </w:pPr>
      <w:r>
        <w:rPr>
          <w:rFonts w:ascii="Arial" w:cs="Arial" w:eastAsia="Arial" w:hAnsi="Arial"/>
          <w:sz w:val="14"/>
          <w:szCs w:val="14"/>
          <w:b w:val="1"/>
          <w:bCs w:val="1"/>
          <w:color w:val="auto"/>
        </w:rPr>
        <w:t>$1,642,293,968</w:t>
      </w:r>
    </w:p>
    <w:p>
      <w:pPr>
        <w:spacing w:after="0" w:line="83" w:lineRule="exact"/>
        <w:rPr>
          <w:sz w:val="24"/>
          <w:szCs w:val="24"/>
          <w:color w:val="auto"/>
        </w:rPr>
      </w:pPr>
    </w:p>
    <w:p>
      <w:pPr>
        <w:ind w:right="256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right="10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 of “large accelerated filer,” “accelerated filer,” “smaller reporting company,” and “emerging growth company” in Rule 12b-2 of the Exchange Act.</w:t>
      </w:r>
    </w:p>
    <w:p>
      <w:pPr>
        <w:sectPr>
          <w:pgSz w:w="11900" w:h="16838" w:orient="portrait"/>
          <w:cols w:equalWidth="0" w:num="1">
            <w:col w:w="10340"/>
          </w:cols>
          <w:pgMar w:left="760" w:top="665" w:right="799" w:bottom="1440" w:gutter="0" w:footer="0" w:header="0"/>
          <w:type w:val="continuous"/>
        </w:sectPr>
      </w:pPr>
    </w:p>
    <w:p>
      <w:pPr>
        <w:spacing w:after="0" w:line="43" w:lineRule="exact"/>
        <w:rPr>
          <w:sz w:val="24"/>
          <w:szCs w:val="24"/>
          <w:color w:val="auto"/>
        </w:rPr>
      </w:pPr>
    </w:p>
    <w:p>
      <w:pPr>
        <w:ind w:left="220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sectPr>
          <w:pgSz w:w="11900" w:h="16838" w:orient="portrait"/>
          <w:cols w:equalWidth="0" w:num="2">
            <w:col w:w="6540" w:space="720"/>
            <w:col w:w="3080"/>
          </w:cols>
          <w:pgMar w:left="760" w:top="665" w:right="799" w:bottom="1440" w:gutter="0" w:footer="0" w:header="0"/>
          <w:type w:val="continuous"/>
        </w:sectPr>
      </w:pPr>
    </w:p>
    <w:p>
      <w:pPr>
        <w:spacing w:after="0" w:line="9" w:lineRule="exact"/>
        <w:rPr>
          <w:sz w:val="24"/>
          <w:szCs w:val="24"/>
          <w:color w:val="auto"/>
        </w:rPr>
      </w:pPr>
    </w:p>
    <w:p>
      <w:pPr>
        <w:ind w:left="224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sectPr>
          <w:pgSz w:w="11900" w:h="16838" w:orient="portrait"/>
          <w:cols w:equalWidth="0" w:num="2">
            <w:col w:w="6220" w:space="720"/>
            <w:col w:w="3400"/>
          </w:cols>
          <w:pgMar w:left="760" w:top="665" w:right="799" w:bottom="1440" w:gutter="0" w:footer="0" w:header="0"/>
          <w:type w:val="continuous"/>
        </w:sectPr>
      </w:pPr>
    </w:p>
    <w:p>
      <w:pPr>
        <w:ind w:right="34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ind w:right="2940"/>
        <w:spacing w:after="0" w:line="22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Documents Incorporated By Reference</w:t>
      </w:r>
    </w:p>
    <w:p>
      <w:pPr>
        <w:spacing w:after="0" w:line="44" w:lineRule="exact"/>
        <w:rPr>
          <w:sz w:val="24"/>
          <w:szCs w:val="24"/>
          <w:color w:val="auto"/>
        </w:rPr>
      </w:pPr>
    </w:p>
    <w:p>
      <w:pPr>
        <w:ind w:right="280"/>
        <w:spacing w:after="0" w:line="259" w:lineRule="auto"/>
        <w:rPr>
          <w:sz w:val="20"/>
          <w:szCs w:val="20"/>
          <w:color w:val="auto"/>
        </w:rPr>
      </w:pPr>
      <w:r>
        <w:rPr>
          <w:rFonts w:ascii="Arial" w:cs="Arial" w:eastAsia="Arial" w:hAnsi="Arial"/>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591185</wp:posOffset>
            </wp:positionV>
            <wp:extent cx="6595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33655</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76835</wp:posOffset>
            </wp:positionV>
            <wp:extent cx="659511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40"/>
          </w:cols>
          <w:pgMar w:left="760" w:top="665"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47"/>
          </w:tcPr>
          <w:p>
            <w:pPr>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14"/>
          </w:tcPr>
          <w:p>
            <w:pPr>
              <w:jc w:val="center"/>
              <w:ind w:right="330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 Company Overview</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 Business Description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jc w:val="right"/>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(1)</w:t>
              </w:r>
            </w:hyperlink>
          </w:p>
        </w:tc>
        <w:tc>
          <w:tcPr>
            <w:tcW w:w="120" w:type="dxa"/>
            <w:vAlign w:val="bottom"/>
          </w:tcPr>
          <w:p>
            <w:pPr>
              <w:spacing w:after="0"/>
              <w:rPr>
                <w:sz w:val="17"/>
                <w:szCs w:val="17"/>
                <w:color w:val="auto"/>
              </w:rPr>
            </w:pPr>
          </w:p>
        </w:tc>
        <w:tc>
          <w:tcPr>
            <w:tcW w:w="6520" w:type="dxa"/>
            <w:vAlign w:val="bottom"/>
            <w:gridSpan w:val="3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Ocean Transportation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220" w:type="dxa"/>
            <w:vAlign w:val="bottom"/>
            <w:tcBorders>
              <w:top w:val="single" w:sz="8" w:color="0000EE"/>
            </w:tcBorders>
          </w:tcPr>
          <w:p>
            <w:pPr>
              <w:jc w:val="right"/>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(2)</w:t>
              </w:r>
            </w:hyperlink>
          </w:p>
        </w:tc>
        <w:tc>
          <w:tcPr>
            <w:tcW w:w="120" w:type="dxa"/>
            <w:vAlign w:val="bottom"/>
          </w:tcPr>
          <w:p>
            <w:pPr>
              <w:spacing w:after="0"/>
              <w:rPr>
                <w:sz w:val="17"/>
                <w:szCs w:val="17"/>
                <w:color w:val="auto"/>
              </w:rPr>
            </w:pPr>
          </w:p>
        </w:tc>
        <w:tc>
          <w:tcPr>
            <w:tcW w:w="2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Logistics Segment</w:t>
              </w:r>
            </w:hyperlink>
          </w:p>
        </w:tc>
        <w:tc>
          <w:tcPr>
            <w:tcW w:w="430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 Employees and Labor Relations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 Available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Item 1A.</w:t>
              </w:r>
            </w:hyperlink>
          </w:p>
        </w:tc>
        <w:tc>
          <w:tcPr>
            <w:tcW w:w="14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580" w:type="dxa"/>
            <w:vAlign w:val="bottom"/>
            <w:gridSpan w:val="2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1B.</w:t>
              </w:r>
            </w:hyperlink>
          </w:p>
        </w:tc>
        <w:tc>
          <w:tcPr>
            <w:tcW w:w="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Properties</w:t>
              </w:r>
            </w:hyperlink>
          </w:p>
        </w:tc>
        <w:tc>
          <w:tcPr>
            <w:tcW w:w="1300" w:type="dxa"/>
            <w:vAlign w:val="bottom"/>
            <w:tcBorders>
              <w:top w:val="single" w:sz="8" w:color="0000EE"/>
            </w:tcBorders>
            <w:gridSpan w:val="13"/>
          </w:tcPr>
          <w:p>
            <w:pPr>
              <w:spacing w:after="0"/>
              <w:rPr>
                <w:sz w:val="17"/>
                <w:szCs w:val="17"/>
                <w:color w:val="auto"/>
              </w:rPr>
            </w:pPr>
          </w:p>
        </w:tc>
        <w:tc>
          <w:tcPr>
            <w:tcW w:w="5140" w:type="dxa"/>
            <w:vAlign w:val="bottom"/>
            <w:gridSpan w:val="2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2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5840" w:type="dxa"/>
            <w:vAlign w:val="bottom"/>
            <w:gridSpan w:val="3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326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2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80" w:type="dxa"/>
            <w:vAlign w:val="bottom"/>
            <w:gridSpan w:val="40"/>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Market for Registrant’s Common Equity, Related Stockholder Matters and Issuer Purchases</w:t>
              </w:r>
            </w:hyperlink>
          </w:p>
        </w:tc>
        <w:tc>
          <w:tcPr>
            <w:tcW w:w="840" w:type="dxa"/>
            <w:vAlign w:val="bottom"/>
          </w:tcPr>
          <w:p>
            <w:pPr>
              <w:spacing w:after="0"/>
              <w:rPr>
                <w:sz w:val="24"/>
                <w:szCs w:val="24"/>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of Equity Securities</w:t>
              </w:r>
            </w:hyperlink>
          </w:p>
        </w:tc>
        <w:tc>
          <w:tcPr>
            <w:tcW w:w="5140" w:type="dxa"/>
            <w:vAlign w:val="bottom"/>
            <w:tcBorders>
              <w:top w:val="single" w:sz="8" w:color="0000EE"/>
            </w:tcBorders>
            <w:gridSpan w:val="29"/>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2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7.</w:t>
              </w:r>
            </w:hyperlink>
          </w:p>
        </w:tc>
        <w:tc>
          <w:tcPr>
            <w:tcW w:w="2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72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7A.</w:t>
              </w:r>
            </w:hyperlink>
          </w:p>
        </w:tc>
        <w:tc>
          <w:tcPr>
            <w:tcW w:w="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82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8.</w:t>
              </w:r>
            </w:hyperlink>
          </w:p>
        </w:tc>
        <w:tc>
          <w:tcPr>
            <w:tcW w:w="2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9.</w:t>
              </w:r>
            </w:hyperlink>
          </w:p>
        </w:tc>
        <w:tc>
          <w:tcPr>
            <w:tcW w:w="2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8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Changes in and Disagreements with Accountants on Accounting and Financial Disclosure</w:t>
              </w:r>
            </w:hyperlink>
          </w:p>
        </w:tc>
        <w:tc>
          <w:tcPr>
            <w:tcW w:w="70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Item 9A.</w:t>
              </w:r>
            </w:hyperlink>
          </w:p>
        </w:tc>
        <w:tc>
          <w:tcPr>
            <w:tcW w:w="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Conclusion Regarding Effectiveness of Disclosure Controls and Procedures</w:t>
              </w:r>
            </w:hyperlink>
          </w:p>
        </w:tc>
        <w:tc>
          <w:tcPr>
            <w:tcW w:w="172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Internal Control over Financial Reporting</w:t>
              </w:r>
            </w:hyperlink>
          </w:p>
        </w:tc>
        <w:tc>
          <w:tcPr>
            <w:tcW w:w="418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9B.</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III</w:t>
              </w:r>
            </w:hyperlink>
          </w:p>
        </w:tc>
        <w:tc>
          <w:tcPr>
            <w:tcW w:w="322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800" w:type="dxa"/>
            <w:vAlign w:val="bottom"/>
            <w:gridSpan w:val="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10.</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80" w:type="dxa"/>
            <w:vAlign w:val="bottom"/>
            <w:gridSpan w:val="4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 Directors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B. Executive Officers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 Corporate Governance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 Code of Ethics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Item 11.</w:t>
              </w:r>
            </w:hyperlink>
          </w:p>
        </w:tc>
        <w:tc>
          <w:tcPr>
            <w:tcW w:w="2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12.</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w:t>
              </w:r>
            </w:hyperlink>
          </w:p>
        </w:tc>
        <w:tc>
          <w:tcPr>
            <w:tcW w:w="8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140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13.</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700" w:type="dxa"/>
            <w:vAlign w:val="bottom"/>
            <w:tcBorders>
              <w:left w:val="single" w:sz="8" w:color="0000EE"/>
            </w:tcBorders>
            <w:gridSpan w:val="7"/>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4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5"/>
          </w:tcPr>
          <w:p>
            <w:pPr>
              <w:jc w:val="center"/>
              <w:ind w:right="3240"/>
              <w:spacing w:after="0"/>
              <w:rPr>
                <w:rFonts w:ascii="Arial" w:cs="Arial" w:eastAsia="Arial" w:hAnsi="Arial"/>
                <w:sz w:val="18"/>
                <w:szCs w:val="18"/>
                <w:b w:val="1"/>
                <w:bCs w:val="1"/>
                <w:color w:val="0000EE"/>
                <w:w w:val="95"/>
              </w:rPr>
            </w:pPr>
            <w:hyperlink w:anchor="page77">
              <w:r>
                <w:rPr>
                  <w:rFonts w:ascii="Arial" w:cs="Arial" w:eastAsia="Arial" w:hAnsi="Arial"/>
                  <w:sz w:val="18"/>
                  <w:szCs w:val="18"/>
                  <w:b w:val="1"/>
                  <w:bCs w:val="1"/>
                  <w:color w:val="0000EE"/>
                  <w:w w:val="95"/>
                </w:rPr>
                <w:t>PART IV</w:t>
              </w:r>
            </w:hyperlink>
          </w:p>
        </w:tc>
        <w:tc>
          <w:tcPr>
            <w:tcW w:w="840" w:type="dxa"/>
            <w:vAlign w:val="bottom"/>
          </w:tcPr>
          <w:p>
            <w:pPr>
              <w:spacing w:after="0"/>
              <w:rPr>
                <w:sz w:val="24"/>
                <w:szCs w:val="24"/>
                <w:color w:val="auto"/>
              </w:rPr>
            </w:pPr>
          </w:p>
        </w:tc>
      </w:tr>
      <w:tr>
        <w:trPr>
          <w:trHeight w:val="412"/>
        </w:trPr>
        <w:tc>
          <w:tcPr>
            <w:tcW w:w="800" w:type="dxa"/>
            <w:vAlign w:val="bottom"/>
            <w:gridSpan w:val="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15.</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25"/>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Exhibits and Financial Statement Schedules</w:t>
              </w:r>
            </w:hyperlink>
          </w:p>
        </w:tc>
        <w:tc>
          <w:tcPr>
            <w:tcW w:w="680" w:type="dxa"/>
            <w:vAlign w:val="bottom"/>
            <w:tcBorders>
              <w:top w:val="single" w:sz="8" w:color="0000EE"/>
            </w:tcBorders>
            <w:gridSpan w:val="6"/>
          </w:tcPr>
          <w:p>
            <w:pPr>
              <w:spacing w:after="0"/>
              <w:rPr>
                <w:sz w:val="24"/>
                <w:szCs w:val="24"/>
                <w:color w:val="auto"/>
              </w:rPr>
            </w:pPr>
          </w:p>
        </w:tc>
        <w:tc>
          <w:tcPr>
            <w:tcW w:w="324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700" w:type="dxa"/>
            <w:vAlign w:val="bottom"/>
            <w:tcBorders>
              <w:left w:val="single" w:sz="8" w:color="0000EE"/>
            </w:tcBorders>
            <w:gridSpan w:val="7"/>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A. Financial Statements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00" w:type="dxa"/>
            <w:vAlign w:val="bottom"/>
            <w:gridSpan w:val="11"/>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B. Financial Statement Schedules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18"/>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gridSpan w:val="4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 Exhibits Required by Item 601 of Regulation 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412"/>
        </w:trPr>
        <w:tc>
          <w:tcPr>
            <w:tcW w:w="800" w:type="dxa"/>
            <w:vAlign w:val="bottom"/>
            <w:gridSpan w:val="5"/>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Signatures</w:t>
              </w:r>
            </w:hyperlink>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Ended December 31, 2019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60" w:hanging="651"/>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2019, see Note 3 to the Consolidated Financial Statements in Item 8 of Part II below.</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Matson has a 35 percent ownership interest in SSA Terminals, LLC, a joint venture between Matson Ventures, Inc., a wholly-owned subsidiary of MatNav, and SSA Ventures, Inc., a subsidiary of Carrix, Inc. (“SSAT”). SSAT provides terminal and stevedoring services to various carriers at eight terminal facilities on the U.S. West Coast, including four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and 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move freight better than anyone. Our vision is to create value for our shareholders by: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Being our customers’ first choice,</w:t>
      </w:r>
    </w:p>
    <w:p>
      <w:pPr>
        <w:spacing w:after="0" w:line="57" w:lineRule="exact"/>
        <w:rPr>
          <w:sz w:val="20"/>
          <w:szCs w:val="20"/>
          <w:color w:val="auto"/>
        </w:rPr>
      </w:pPr>
    </w:p>
    <w:p>
      <w:pPr>
        <w:ind w:left="340" w:right="3540"/>
        <w:spacing w:after="0" w:line="265" w:lineRule="auto"/>
        <w:rPr>
          <w:sz w:val="20"/>
          <w:szCs w:val="20"/>
          <w:color w:val="auto"/>
        </w:rPr>
      </w:pPr>
      <w:r>
        <w:rPr>
          <w:rFonts w:ascii="Arial" w:cs="Arial" w:eastAsia="Arial" w:hAnsi="Arial"/>
          <w:sz w:val="17"/>
          <w:szCs w:val="17"/>
          <w:color w:val="auto"/>
        </w:rPr>
        <w:t>Leveraging our core strengths to drive growth and increase profitability, Improving the communities in which we work and live,</w:t>
      </w:r>
    </w:p>
    <w:p>
      <w:pPr>
        <w:ind w:left="340" w:right="5060"/>
        <w:spacing w:after="0" w:line="259" w:lineRule="auto"/>
        <w:rPr>
          <w:sz w:val="20"/>
          <w:szCs w:val="20"/>
          <w:color w:val="auto"/>
        </w:rPr>
      </w:pPr>
      <w:r>
        <w:rPr>
          <w:rFonts w:ascii="Arial" w:cs="Arial" w:eastAsia="Arial" w:hAnsi="Arial"/>
          <w:sz w:val="18"/>
          <w:szCs w:val="18"/>
          <w:color w:val="auto"/>
        </w:rPr>
        <w:t>Being an environmental leader in our industry, and Being a great place to work.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1"/>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rFonts w:ascii="Arial" w:cs="Arial" w:eastAsia="Arial" w:hAnsi="Arial"/>
          <w:sz w:val="18"/>
          <w:szCs w:val="18"/>
          <w:b w:val="1"/>
          <w:bCs w:val="1"/>
          <w:color w:val="auto"/>
        </w:rPr>
      </w:pPr>
    </w:p>
    <w:p>
      <w:pPr>
        <w:ind w:left="1300" w:hanging="643"/>
        <w:spacing w:after="0"/>
        <w:tabs>
          <w:tab w:leader="none" w:pos="13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Ocean Transportation segment provides the following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carriage (lift-on/lift-off, roll-on/roll-off and conventional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ports of Long Beach and Oakland, California; Seattle, Washington; and Honolulu, Hawaii. Matson also operates a network of inter-island barges that provide connecting services from its hub at Honolulu, Oahu to other major Hawaii ports on the islands of Hawaii, Maui and Kauai. Matson is the largest carrier of ocean cargo between the U.S. West Coast and Hawaii.</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Westbound cargo carried by Matson to Hawaii includes dry containers of mixed commodities, refrigerated commodities, packaged foods and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 and automobiles.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Matson’s expedited China-Long Beach Express (“CLX”) is part of an integrated service that carries cargo</w:t>
      </w:r>
      <w:r>
        <w:rPr>
          <w:rFonts w:ascii="Arial" w:cs="Arial" w:eastAsia="Arial" w:hAnsi="Arial"/>
          <w:sz w:val="18"/>
          <w:szCs w:val="18"/>
          <w:i w:val="1"/>
          <w:iCs w:val="1"/>
          <w:color w:val="auto"/>
        </w:rPr>
        <w:t xml:space="preserve"> </w:t>
      </w:r>
      <w:r>
        <w:rPr>
          <w:rFonts w:ascii="Arial" w:cs="Arial" w:eastAsia="Arial" w:hAnsi="Arial"/>
          <w:sz w:val="18"/>
          <w:szCs w:val="18"/>
          <w:color w:val="auto"/>
        </w:rPr>
        <w:t>from Long Beach, California to Honolulu, Hawaii, to Guam, and then to Okinawa, Japan. The vessels continue to Ningbo and Shanghai, China, where they are loaded with cargo to be discharged primarily in Long Beach, California. These vessels also carry cargo destined for Hawaii which originated in Guam, Micronesia, Japan and China. Matson provides container transshipment services from many locations in Asia including Hong Kong and Xiamen, China to the ports of Ningbo and Shanghai, China.</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Eastbound cargo from China to Long Beach, California consists mainly of garments, footwear, e-commerce and other retail merchandise. Westbound cargo to China and other destinations in Asia consists mainly of recycling materials.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Guam Service: </w:t>
      </w:r>
      <w:r>
        <w:rPr>
          <w:rFonts w:ascii="Arial" w:cs="Arial" w:eastAsia="Arial" w:hAnsi="Arial"/>
          <w:sz w:val="16"/>
          <w:szCs w:val="16"/>
          <w:color w:val="auto"/>
        </w:rPr>
        <w:t>Matson’s Guam service provides weekly carriage between the U.S West Coast and Guam,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expedited CLX service. Matson also provides weekly connecting service from Guam to the Commonwealth of the Northern Mariana Islands. Cargo destined to these markets is similar to that described in the “Hawaii Service” section above.</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Japan Service: </w:t>
      </w:r>
      <w:r>
        <w:rPr>
          <w:rFonts w:ascii="Arial" w:cs="Arial" w:eastAsia="Arial" w:hAnsi="Arial"/>
          <w:sz w:val="17"/>
          <w:szCs w:val="17"/>
          <w:color w:val="auto"/>
        </w:rPr>
        <w:t>Matson’s Japan service provides carriage to the port of Naha in Okinawa, Japan, as part of its expedited CLX</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This service carries mainly general sustenance cargo and household goods supporting the U.S. military.</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Micronesia Service: </w:t>
      </w:r>
      <w:r>
        <w:rPr>
          <w:rFonts w:ascii="Arial" w:cs="Arial" w:eastAsia="Arial" w:hAnsi="Arial"/>
          <w:sz w:val="18"/>
          <w:szCs w:val="18"/>
          <w:color w:val="auto"/>
        </w:rPr>
        <w:t>Matson’s Micronesia service provides carriage between the U.S. West Coast and the islands of</w:t>
      </w:r>
      <w:r>
        <w:rPr>
          <w:rFonts w:ascii="Arial" w:cs="Arial" w:eastAsia="Arial" w:hAnsi="Arial"/>
          <w:sz w:val="18"/>
          <w:szCs w:val="18"/>
          <w:i w:val="1"/>
          <w:iCs w:val="1"/>
          <w:color w:val="auto"/>
        </w:rPr>
        <w:t xml:space="preserve"> </w:t>
      </w:r>
      <w:r>
        <w:rPr>
          <w:rFonts w:ascii="Arial" w:cs="Arial" w:eastAsia="Arial" w:hAnsi="Arial"/>
          <w:sz w:val="18"/>
          <w:szCs w:val="18"/>
          <w:color w:val="auto"/>
        </w:rPr>
        <w:t>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Alaska Service: </w:t>
      </w:r>
      <w:r>
        <w:rPr>
          <w:rFonts w:ascii="Arial" w:cs="Arial" w:eastAsia="Arial" w:hAnsi="Arial"/>
          <w:sz w:val="18"/>
          <w:szCs w:val="18"/>
          <w:color w:val="auto"/>
        </w:rPr>
        <w:t>Matson’s Alaska service provides ocean carriage (lift-on/lift-off and conventional services) between the port</w:t>
      </w:r>
      <w:r>
        <w:rPr>
          <w:rFonts w:ascii="Arial" w:cs="Arial" w:eastAsia="Arial" w:hAnsi="Arial"/>
          <w:sz w:val="18"/>
          <w:szCs w:val="18"/>
          <w:i w:val="1"/>
          <w:iCs w:val="1"/>
          <w:color w:val="auto"/>
        </w:rPr>
        <w:t xml:space="preserve"> </w:t>
      </w:r>
      <w:r>
        <w:rPr>
          <w:rFonts w:ascii="Arial" w:cs="Arial" w:eastAsia="Arial" w:hAnsi="Arial"/>
          <w:sz w:val="18"/>
          <w:szCs w:val="18"/>
          <w:color w:val="auto"/>
        </w:rPr>
        <w:t>of Tacoma, Washington, and the ports of Anchorage, Kodiak and Dutch Harbor, Alaska. Matson also provides a barge service between Dutch Harbor and Akutan in Alaska, and transportation services to other locations in Alaska including the Kenai Peninsula, Fairbanks and the North Slope.</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Northbound cargo to Alaska includes dry containers of mixed commodities, refrigerated commodities, packaged foods and beverages, retail merchandise, household goods and automobiles. Southbound cargo from Alaska primarily consists of seafood, household goods and automobiles.</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i w:val="1"/>
          <w:iCs w:val="1"/>
          <w:color w:val="auto"/>
        </w:rPr>
        <w:t xml:space="preserve">South Pacific Service: </w:t>
      </w:r>
      <w:r>
        <w:rPr>
          <w:rFonts w:ascii="Arial" w:cs="Arial" w:eastAsia="Arial" w:hAnsi="Arial"/>
          <w:sz w:val="16"/>
          <w:szCs w:val="16"/>
          <w:color w:val="auto"/>
        </w:rPr>
        <w:t>Matson’s New Zealand Express (“NZX”) service provides carriage of general sustenance cargo</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Auckland, New Zealand and select islands in the South Pacific, including Fiji (Suva and Lautoka), Samoa (Apia), American Samoa (Pago Pago), the Cook Islands (Rarotonga and Aitutaki), Tonga (Nukualofa and Vava’u), and Niue. Matson’s NZX service also provides transshipment services to the islands of Nauru and the Solomon Islands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(Honiara). Additionally, Matson provides slot charter arrangements for the transportation of cargo from major ports on the east coast of Australia to ports in the South Pacific islands. The NZX service also distributes and sells domestic bulk fuel to a variety of these islands.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Matson’s South Pacific Express (“SPX”) service provides carriage of general sustenance cargo from the U.S. West Coast to ports in the South Pacific islands using vessel sharing agreements with other carriers. The SPX service provides direct calls to Tahiti (Papeete), American Samoa (Pago Pago) and Samoa (Apia) in the South Pacific. Cargo destined for other ports including Tonga (Nukualofa) and the Cook Islands (Rarotonga and Aitutaki) is then transshipped in Apia, Samoa to the NZX service for delivery to its final destination. Northbound SPX cargo originating in the South Pacific is transshipped from the NZX with other carriers to the U.S. West Coast. Cargo destined for Hawaii or Seattle is further transshipped in Oakland, California for delivery to its final destination.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 and Other Related Services: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Matson provides container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SSAT provides terminal and stevedoring services to various carriers at eight terminal facilities on the U.S. West Coast, including four facilities dedicated for MatNav’s use, in Long Beach and Oakland, California; and in Seattle and Tacoma, Washington.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Matson utilizes the services of other third-party terminal operators at all of the other ports served by its vessels.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Management Services: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Matson contracts with the U.S. Department of Transportation to provide vessel management services to manage and maintain three Ready Reserve Force vessels on behalf of the U.S. Department of Transportation Maritime Administration.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Matson’s fleet includes both owned and chartered vessels. Matson’s owned vessels represent an investment of approximately $1.7 billion. The majority of Matson’s owned vessels are U.S. flagged and Jones Act qualified vessels, and operate in the Hawaii, China, Guam, Japan, Micronesia and Alaska services. Details of Matson’s active and reserve vessels, and vessel under construction as of December 31, 2019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Usable Cargo Capacity</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Vehicles</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Vessels (1)</w:t>
            </w: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Owned/</w:t>
            </w: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Official</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TEUs (2)</w:t>
            </w:r>
          </w:p>
        </w:tc>
        <w:tc>
          <w:tcPr>
            <w:tcW w:w="560" w:type="dxa"/>
            <w:vAlign w:val="bottom"/>
            <w:gridSpan w:val="2"/>
          </w:tcPr>
          <w:p>
            <w:pPr>
              <w:jc w:val="center"/>
              <w:ind w:left="60"/>
              <w:spacing w:after="0" w:line="119" w:lineRule="exact"/>
              <w:rPr>
                <w:sz w:val="20"/>
                <w:szCs w:val="20"/>
                <w:color w:val="auto"/>
              </w:rPr>
            </w:pPr>
            <w:r>
              <w:rPr>
                <w:rFonts w:ascii="Arial" w:cs="Arial" w:eastAsia="Arial" w:hAnsi="Arial"/>
                <w:sz w:val="13"/>
                <w:szCs w:val="13"/>
                <w:b w:val="1"/>
                <w:bCs w:val="1"/>
                <w:color w:val="auto"/>
              </w:rPr>
              <w:t>Reefer</w:t>
            </w: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Autos</w:t>
            </w:r>
          </w:p>
        </w:tc>
        <w:tc>
          <w:tcPr>
            <w:tcW w:w="140" w:type="dxa"/>
            <w:vAlign w:val="bottom"/>
          </w:tcPr>
          <w:p>
            <w:pPr>
              <w:spacing w:after="0"/>
              <w:rPr>
                <w:sz w:val="10"/>
                <w:szCs w:val="10"/>
                <w:color w:val="auto"/>
              </w:rPr>
            </w:pPr>
          </w:p>
        </w:tc>
        <w:tc>
          <w:tcPr>
            <w:tcW w:w="3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Length</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2"/>
              </w:rPr>
              <w:t>Speed</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Deadweight</w:t>
            </w:r>
          </w:p>
        </w:tc>
        <w:tc>
          <w:tcPr>
            <w:tcW w:w="0" w:type="dxa"/>
            <w:vAlign w:val="bottom"/>
          </w:tcPr>
          <w:p>
            <w:pPr>
              <w:spacing w:after="0"/>
              <w:rPr>
                <w:sz w:val="1"/>
                <w:szCs w:val="1"/>
                <w:color w:val="auto"/>
              </w:rPr>
            </w:pPr>
          </w:p>
        </w:tc>
      </w:tr>
      <w:tr>
        <w:trPr>
          <w:trHeight w:val="171"/>
        </w:trPr>
        <w:tc>
          <w:tcPr>
            <w:tcW w:w="2820" w:type="dxa"/>
            <w:vAlign w:val="bottom"/>
            <w:gridSpan w:val="4"/>
            <w:vMerge w:val="continue"/>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Chartered</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Slots</w:t>
            </w: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Built</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(Knots)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1"/>
              </w:rPr>
              <w:t>(Long Tons)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Diesel-Powered</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DANIEL K. INOUYE (3)</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1274136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3,220</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408</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2018</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854’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KAIMANA HILA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1274135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408</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2019</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854’ 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LURLINE (3)(8)</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1274143</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2,750</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432</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2019</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869’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MANOA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651627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408</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1982</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860’ 2”</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MAHIMAHI (3)</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653424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2,824</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408</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1982</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860’ 2”</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MANULANI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1168529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284</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2005</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712’ 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MAUNAWILI (3)</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1153166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2,378</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326</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2004</w:t>
            </w:r>
          </w:p>
        </w:tc>
        <w:tc>
          <w:tcPr>
            <w:tcW w:w="14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auto"/>
              </w:rPr>
              <w:t>711’ 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MANUKAI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1141163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326</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2003</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711’ 9”</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R.J. PFEIFFER (3)</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979814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2,245</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300</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1992</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713’ 6”</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MOKIHANA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655397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354</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1983</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860’ 2”</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MAUNALEI (3)</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Chartered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1181627</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1,992</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328</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2006</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681’ 1”</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MATSON KODIAK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910308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280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1987</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710’ 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MATSON ANCHORAGE (3)</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910306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1,668</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280</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1987</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710’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MATSON TACOMA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910307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280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1987</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710’ 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KAMOKUIKI (4)</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9232979</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707</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w w:val="97"/>
              </w:rPr>
              <w:t>100</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2000</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433’ 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17.5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OLOMANA (5)</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Chartered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9184225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120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2004</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388’ 7”</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IMUA II (5)(10)</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Chartered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9184237</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630</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2005</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388’ 6”</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15.0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LILOA II (5)</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Chartered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9184249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2004</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388’ 6”</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PAPA MAU (5)</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1559</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521</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1999</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381’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14.0</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Barges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MAUNA LOA (3)</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Chartered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1247426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78</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2013</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362’ 6”</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HALEAKALA (3)(6)</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676972</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1984</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350’ 0”</w:t>
            </w: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ILIULIUK BAY (3)(6)</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Chartered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1249384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2013</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250’ 0”</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ind w:left="200"/>
              <w:spacing w:after="0"/>
              <w:rPr>
                <w:sz w:val="20"/>
                <w:szCs w:val="20"/>
                <w:color w:val="auto"/>
              </w:rPr>
            </w:pPr>
            <w:r>
              <w:rPr>
                <w:rFonts w:ascii="Arial" w:cs="Arial" w:eastAsia="Arial" w:hAnsi="Arial"/>
                <w:sz w:val="16"/>
                <w:szCs w:val="16"/>
                <w:color w:val="auto"/>
              </w:rPr>
              <w:t>WAIALEALE (3)(7)</w:t>
            </w: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978516</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center"/>
              <w:ind w:left="6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230</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w w:val="89"/>
              </w:rPr>
              <w:t>1991</w:t>
            </w:r>
          </w:p>
        </w:tc>
        <w:tc>
          <w:tcPr>
            <w:tcW w:w="800" w:type="dxa"/>
            <w:vAlign w:val="bottom"/>
            <w:gridSpan w:val="3"/>
          </w:tcPr>
          <w:p>
            <w:pPr>
              <w:ind w:left="140"/>
              <w:spacing w:after="0"/>
              <w:rPr>
                <w:sz w:val="20"/>
                <w:szCs w:val="20"/>
                <w:color w:val="auto"/>
              </w:rPr>
            </w:pPr>
            <w:r>
              <w:rPr>
                <w:rFonts w:ascii="Arial" w:cs="Arial" w:eastAsia="Arial" w:hAnsi="Arial"/>
                <w:sz w:val="16"/>
                <w:szCs w:val="16"/>
                <w:color w:val="auto"/>
              </w:rPr>
              <w:t>345’ 0”</w:t>
            </w: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Vessel under Construction</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MATSONIA (3)(9)</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Owned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1274123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56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7"/>
              </w:rPr>
              <w:t>432</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2020</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869’ 5”</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50,562</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inactive vessels (</w:t>
      </w:r>
      <w:r>
        <w:rPr>
          <w:rFonts w:ascii="Arial" w:cs="Arial" w:eastAsia="Arial" w:hAnsi="Arial"/>
          <w:sz w:val="14"/>
          <w:szCs w:val="14"/>
          <w:i w:val="1"/>
          <w:iCs w:val="1"/>
          <w:color w:val="auto"/>
        </w:rPr>
        <w:t>SS Lihue</w:t>
      </w:r>
      <w:r>
        <w:rPr>
          <w:rFonts w:ascii="Arial" w:cs="Arial" w:eastAsia="Arial" w:hAnsi="Arial"/>
          <w:sz w:val="14"/>
          <w:szCs w:val="14"/>
          <w:color w:val="auto"/>
        </w:rPr>
        <w:t xml:space="preserve">, </w:t>
      </w:r>
      <w:r>
        <w:rPr>
          <w:rFonts w:ascii="Arial" w:cs="Arial" w:eastAsia="Arial" w:hAnsi="Arial"/>
          <w:sz w:val="14"/>
          <w:szCs w:val="14"/>
          <w:i w:val="1"/>
          <w:iCs w:val="1"/>
          <w:color w:val="auto"/>
        </w:rPr>
        <w:t>SS Kauai</w:t>
      </w:r>
      <w:r>
        <w:rPr>
          <w:rFonts w:ascii="Arial" w:cs="Arial" w:eastAsia="Arial" w:hAnsi="Arial"/>
          <w:sz w:val="14"/>
          <w:szCs w:val="14"/>
          <w:color w:val="auto"/>
        </w:rPr>
        <w:t xml:space="preserve"> and </w:t>
      </w:r>
      <w:r>
        <w:rPr>
          <w:rFonts w:ascii="Arial" w:cs="Arial" w:eastAsia="Arial" w:hAnsi="Arial"/>
          <w:sz w:val="14"/>
          <w:szCs w:val="14"/>
          <w:i w:val="1"/>
          <w:iCs w:val="1"/>
          <w:color w:val="auto"/>
        </w:rPr>
        <w:t>SS Matsonia</w:t>
      </w:r>
      <w:r>
        <w:rPr>
          <w:rFonts w:ascii="Arial" w:cs="Arial" w:eastAsia="Arial" w:hAnsi="Arial"/>
          <w:sz w:val="14"/>
          <w:szCs w:val="14"/>
          <w:color w:val="auto"/>
        </w:rPr>
        <w:t>).</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Twenty-foot Equivalent Units (“TEU”) is a standard measure of cargo volume correlated to a standard 20-foot dry cargo container.</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U.S. flagged and Jones Act qualified vessel or barge.</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U.S. flagged vessel.</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Foreign flagged vessel.</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Lift-on/lift-off barge equipped with a crane.</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Roll-on/roll-off barge.</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Commenced active service in January 2020.</w:t>
      </w:r>
    </w:p>
    <w:p>
      <w:pPr>
        <w:ind w:left="340" w:hanging="331"/>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Expected delivery date during the fourth quarter of 2020.</w:t>
      </w:r>
    </w:p>
    <w:p>
      <w:pPr>
        <w:ind w:left="340" w:hanging="331"/>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Vessel is sub-chartered to another shipping company commencing January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Renewal Program:</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Matson has invested approximately $0.9 billion in the construction of four new vessels. The two Aloha Class containerships, </w:t>
      </w:r>
      <w:r>
        <w:rPr>
          <w:rFonts w:ascii="Arial" w:cs="Arial" w:eastAsia="Arial" w:hAnsi="Arial"/>
          <w:sz w:val="16"/>
          <w:szCs w:val="16"/>
          <w:i w:val="1"/>
          <w:iCs w:val="1"/>
          <w:color w:val="auto"/>
        </w:rPr>
        <w:t xml:space="preserve">Daniel K. Inouye </w:t>
      </w:r>
      <w:r>
        <w:rPr>
          <w:rFonts w:ascii="Arial" w:cs="Arial" w:eastAsia="Arial" w:hAnsi="Arial"/>
          <w:sz w:val="16"/>
          <w:szCs w:val="16"/>
          <w:color w:val="auto"/>
        </w:rPr>
        <w:t>and</w:t>
      </w:r>
      <w:r>
        <w:rPr>
          <w:rFonts w:ascii="Arial" w:cs="Arial" w:eastAsia="Arial" w:hAnsi="Arial"/>
          <w:sz w:val="16"/>
          <w:szCs w:val="16"/>
          <w:i w:val="1"/>
          <w:iCs w:val="1"/>
          <w:color w:val="auto"/>
        </w:rPr>
        <w:t xml:space="preserve"> Kaimana Hila</w:t>
      </w:r>
      <w:r>
        <w:rPr>
          <w:rFonts w:ascii="Arial" w:cs="Arial" w:eastAsia="Arial" w:hAnsi="Arial"/>
          <w:sz w:val="16"/>
          <w:szCs w:val="16"/>
          <w:color w:val="auto"/>
        </w:rPr>
        <w:t>, commenced active service in November 2018 and April 2019, respectively. The first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two Kanaloa Class combination container and roll-on/roll-off vessels,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commenced active service in January 2020. Delivery of the second Kanaloa Class vessel, </w:t>
      </w:r>
      <w:r>
        <w:rPr>
          <w:rFonts w:ascii="Arial" w:cs="Arial" w:eastAsia="Arial" w:hAnsi="Arial"/>
          <w:sz w:val="16"/>
          <w:szCs w:val="16"/>
          <w:i w:val="1"/>
          <w:iCs w:val="1"/>
          <w:color w:val="auto"/>
        </w:rPr>
        <w:t>Matsonia</w:t>
      </w:r>
      <w:r>
        <w:rPr>
          <w:rFonts w:ascii="Arial" w:cs="Arial" w:eastAsia="Arial" w:hAnsi="Arial"/>
          <w:sz w:val="16"/>
          <w:szCs w:val="16"/>
          <w:color w:val="auto"/>
        </w:rPr>
        <w:t>, is expected during the fourth quarter of 2020.</w:t>
      </w:r>
    </w:p>
    <w:p>
      <w:pPr>
        <w:sectPr>
          <w:pgSz w:w="11900" w:h="16838" w:orient="portrait"/>
          <w:cols w:equalWidth="0" w:num="1">
            <w:col w:w="9060"/>
          </w:cols>
          <w:pgMar w:left="1420" w:top="517" w:right="141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776605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 xml:space="preserve">With the delivery of </w:t>
      </w:r>
      <w:r>
        <w:rPr>
          <w:rFonts w:ascii="Arial" w:cs="Arial" w:eastAsia="Arial" w:hAnsi="Arial"/>
          <w:sz w:val="18"/>
          <w:szCs w:val="18"/>
          <w:i w:val="1"/>
          <w:iCs w:val="1"/>
          <w:color w:val="auto"/>
        </w:rPr>
        <w:t>Lurline</w:t>
      </w:r>
      <w:r>
        <w:rPr>
          <w:rFonts w:ascii="Arial" w:cs="Arial" w:eastAsia="Arial" w:hAnsi="Arial"/>
          <w:sz w:val="18"/>
          <w:szCs w:val="18"/>
          <w:color w:val="auto"/>
        </w:rPr>
        <w:t>, Matson returned to a nine-ship deployment serving the Hawaii market commencing in early January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Emission Regulations:</w:t>
      </w:r>
    </w:p>
    <w:p>
      <w:pPr>
        <w:spacing w:after="0" w:line="225" w:lineRule="exact"/>
        <w:rPr>
          <w:sz w:val="20"/>
          <w:szCs w:val="20"/>
          <w:color w:val="auto"/>
        </w:rPr>
      </w:pPr>
    </w:p>
    <w:p>
      <w:pPr>
        <w:ind w:right="319"/>
        <w:spacing w:after="0" w:line="273" w:lineRule="auto"/>
        <w:rPr>
          <w:sz w:val="20"/>
          <w:szCs w:val="20"/>
          <w:color w:val="auto"/>
        </w:rPr>
      </w:pPr>
      <w:r>
        <w:rPr>
          <w:rFonts w:ascii="Arial" w:cs="Arial" w:eastAsia="Arial" w:hAnsi="Arial"/>
          <w:sz w:val="17"/>
          <w:szCs w:val="17"/>
          <w:color w:val="auto"/>
        </w:rPr>
        <w:t>Being a leader in environmental stewardship is one of Matson’s core values. Matson vessels transit through some of the most environmentally sensitive areas in the United States including the Hawaiian Islands and the coasts of California, Oregon, Washington and Alaska. Matson is focused in particular on reducing transportation emissions, including carbon dioxide, nitrous oxide, particulate matter and sulfur dioxide through improvements in vessel fuel consumption and the development of more fuel-efficient transportation solutions. Matson further contributes positively to the environment by testing and deploying leading technologies as the fleet is modernized.</w:t>
      </w:r>
    </w:p>
    <w:p>
      <w:pPr>
        <w:spacing w:after="0" w:line="178" w:lineRule="exact"/>
        <w:rPr>
          <w:sz w:val="20"/>
          <w:szCs w:val="20"/>
          <w:color w:val="auto"/>
        </w:rPr>
      </w:pPr>
    </w:p>
    <w:p>
      <w:pPr>
        <w:ind w:right="39"/>
        <w:spacing w:after="0" w:line="269" w:lineRule="auto"/>
        <w:rPr>
          <w:sz w:val="20"/>
          <w:szCs w:val="20"/>
          <w:color w:val="auto"/>
        </w:rPr>
      </w:pPr>
      <w:r>
        <w:rPr>
          <w:rFonts w:ascii="Arial" w:cs="Arial" w:eastAsia="Arial" w:hAnsi="Arial"/>
          <w:sz w:val="17"/>
          <w:szCs w:val="17"/>
          <w:color w:val="auto"/>
        </w:rPr>
        <w:t>The International Maritime Organization (“IMO”), to which the U.S. and over 100 other countries are signatories, is a specialized agency of the United Nations that sets international environmental standards applicable to vessels operating under the flag of any signatory country. Effective January 1, 2020, the IMO has imposed regulations that generally require all vessels to burn fuel oil with a maximum sulfur content of ≤0.5 percent (“IMO 2020”). There are three main options for a vessel to meet the new IMO 2020 requirements: (1) burn low sulfur fuel oil (“LSFO”), (2) install exhaust gas cleaning systems (commonly referred to as “scrubbers”) on vessels to purify high sulfur fuel oil (“HSFO”), or (3) switch to lower emission fuels such as liquefied natural gas (“LNG”), which requires converting existing vessels or constructing new vessels with LNG-compatible engines and fuel tanks. With respect to North America, all waters, with certain limited exceptions, within 200 nautical miles of U.S. and Canadian coastlines have been designated emission control areas (“ECAs”). Since January 1, 2015, U.S. Environmental Protection Agency regulations have reduced the fuel oil maximum sulfur content in designated ECAs to ≤0.1 percent.</w:t>
      </w:r>
    </w:p>
    <w:p>
      <w:pPr>
        <w:spacing w:after="0" w:line="183" w:lineRule="exact"/>
        <w:rPr>
          <w:sz w:val="20"/>
          <w:szCs w:val="20"/>
          <w:color w:val="auto"/>
        </w:rPr>
      </w:pPr>
    </w:p>
    <w:p>
      <w:pPr>
        <w:ind w:right="59"/>
        <w:spacing w:after="0" w:line="271" w:lineRule="auto"/>
        <w:rPr>
          <w:sz w:val="20"/>
          <w:szCs w:val="20"/>
          <w:color w:val="auto"/>
        </w:rPr>
      </w:pPr>
      <w:r>
        <w:rPr>
          <w:rFonts w:ascii="Arial" w:cs="Arial" w:eastAsia="Arial" w:hAnsi="Arial"/>
          <w:sz w:val="17"/>
          <w:szCs w:val="17"/>
          <w:color w:val="auto"/>
        </w:rPr>
        <w:t>All of Matson’s vessels in the Alaska and Hawaii services are compliant with IMO 2020 and ECA regulations and can use LSFO. In the Alaska service, Matson has installed scrubbers on its three diesel-powered vessels to allow them to use HSFO and still comply with IMO 2020 and ECA regulations. In the Hawaii service, Matson has announced plans to install scrubbers on six diesel-powered vessels to allow them to use HSFO and comply with IMO 2020 and ECA regulations. Installation of scrubbers on the first two of these vessels was completed during 2019, with the remaining four expected to be completed during 2020. Matson’s new Aloha and Kanaloa Class vessels burn compliant LSFO. These new vessels are also equipped with dual-fuel engines and can be converted to run on LNG. All of Matson’s other vessels will use LSFO to meet IMO 2020 and ECA emission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Hawaii Terminal Expansion and Modernization Program:</w:t>
      </w:r>
    </w:p>
    <w:p>
      <w:pPr>
        <w:spacing w:after="0" w:line="225" w:lineRule="exact"/>
        <w:rPr>
          <w:sz w:val="20"/>
          <w:szCs w:val="20"/>
          <w:color w:val="auto"/>
        </w:rPr>
      </w:pPr>
    </w:p>
    <w:p>
      <w:pPr>
        <w:ind w:right="39"/>
        <w:spacing w:after="0" w:line="279" w:lineRule="auto"/>
        <w:rPr>
          <w:sz w:val="20"/>
          <w:szCs w:val="20"/>
          <w:color w:val="auto"/>
        </w:rPr>
      </w:pPr>
      <w:r>
        <w:rPr>
          <w:rFonts w:ascii="Arial" w:cs="Arial" w:eastAsia="Arial" w:hAnsi="Arial"/>
          <w:sz w:val="17"/>
          <w:szCs w:val="17"/>
          <w:color w:val="auto"/>
        </w:rPr>
        <w:t>During 2020, Matson expects to complete the first phase of renovating its terminal facility at Sand Island, Honolulu, Hawaii. The first phase involves the investment of approximately $60 million and includes the installation of three new 65 long-ton capacity gantry cranes and modifications to upgrade three existing cranes. The first phase also includes upgrades in electrical infrastructure and other modifications to the Sand Island terminal.</w:t>
      </w:r>
    </w:p>
    <w:p>
      <w:pPr>
        <w:spacing w:after="0" w:line="171" w:lineRule="exact"/>
        <w:rPr>
          <w:sz w:val="20"/>
          <w:szCs w:val="20"/>
          <w:color w:val="auto"/>
        </w:rPr>
      </w:pPr>
    </w:p>
    <w:p>
      <w:pPr>
        <w:ind w:right="619"/>
        <w:spacing w:after="0" w:line="277" w:lineRule="auto"/>
        <w:rPr>
          <w:sz w:val="20"/>
          <w:szCs w:val="20"/>
          <w:color w:val="auto"/>
        </w:rPr>
      </w:pPr>
      <w:r>
        <w:rPr>
          <w:rFonts w:ascii="Arial" w:cs="Arial" w:eastAsia="Arial" w:hAnsi="Arial"/>
          <w:sz w:val="18"/>
          <w:szCs w:val="18"/>
          <w:color w:val="auto"/>
        </w:rPr>
        <w:t>Additional phases are expected to be completed from 2021 through 2024 as part of a broader terminal expansion and modernization program at Matson’s Sand Island terminal.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Equipment:</w:t>
      </w:r>
    </w:p>
    <w:p>
      <w:pPr>
        <w:spacing w:after="0" w:line="225"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color w:val="auto"/>
        </w:rPr>
        <w:t>As a complement to its fleet of vessels, Matson has a variety of equipment including cranes, containers and chassis which represents an investment of approximately $0.5 billion as of December 31, 2019. Matson also leases containers, chassis and other equipment under various operating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components of Matson’s Ocean Transportation operating costs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Direct Cargo Expense </w:t>
      </w:r>
      <w:r>
        <w:rPr>
          <w:rFonts w:ascii="Arial" w:cs="Arial" w:eastAsia="Arial" w:hAnsi="Arial"/>
          <w:sz w:val="17"/>
          <w:szCs w:val="17"/>
          <w:color w:val="auto"/>
        </w:rPr>
        <w:t>includes terminal handling costs, purchased outside transportation and other related costs.</w:t>
      </w:r>
    </w:p>
    <w:p>
      <w:pPr>
        <w:sectPr>
          <w:pgSz w:w="11900" w:h="16838" w:orient="portrait"/>
          <w:cols w:equalWidth="0" w:num="1">
            <w:col w:w="9039"/>
          </w:cols>
          <w:pgMar w:left="1420" w:top="517" w:right="1440" w:bottom="1440" w:gutter="0" w:footer="0" w:header="0"/>
        </w:sect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776605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Vessel Operating Expense </w:t>
      </w:r>
      <w:r>
        <w:rPr>
          <w:rFonts w:ascii="Arial" w:cs="Arial" w:eastAsia="Arial" w:hAnsi="Arial"/>
          <w:sz w:val="18"/>
          <w:szCs w:val="18"/>
          <w:color w:val="auto"/>
        </w:rPr>
        <w:t>includes crew wages and related costs; fuel consumption, pilot, tugs and line related costs; vessel</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expenses; and other vessel related expenses. Matson purchases fuel oil, lubricants and gasoline for its operations and also pays fuel-related surcharges to other third party transportation providers.</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Operating Overhead </w:t>
      </w:r>
      <w:r>
        <w:rPr>
          <w:rFonts w:ascii="Arial" w:cs="Arial" w:eastAsia="Arial" w:hAnsi="Arial"/>
          <w:sz w:val="18"/>
          <w:szCs w:val="18"/>
          <w:color w:val="auto"/>
        </w:rPr>
        <w:t>includes equipment repair costs, equipment operating lease and repositioning expenses, vessel repair</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costs, dry-docking amortization, insurance, port engineers and other maintenance costs, and other vessel and shoreside related overhead.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major competitors in Matson’s Ocean Transportation segment: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U.S. flag Jones Act ocean carrier competitor, Pasha Hawaii</w:t>
      </w:r>
      <w:r>
        <w:rPr>
          <w:rFonts w:ascii="Arial" w:cs="Arial" w:eastAsia="Arial" w:hAnsi="Arial"/>
          <w:sz w:val="18"/>
          <w:szCs w:val="18"/>
          <w:i w:val="1"/>
          <w:iCs w:val="1"/>
          <w:color w:val="auto"/>
        </w:rPr>
        <w:t xml:space="preserve"> </w:t>
      </w:r>
      <w:r>
        <w:rPr>
          <w:rFonts w:ascii="Arial" w:cs="Arial" w:eastAsia="Arial" w:hAnsi="Arial"/>
          <w:sz w:val="18"/>
          <w:szCs w:val="18"/>
          <w:color w:val="auto"/>
        </w:rPr>
        <w:t>(“Pasha”), which operates container and roll-on/roll-off services between the ports of Long Beach, Oakland and San Diego, California to Hawaii. There also are two U.S. flag Jones Act barge operators, Aloha Marine Lines and Sause Brothers, which offer barge service between the Pacific Northwest and Hawaii.</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Foreign-flag vessels carrying cargo to Hawaii from non-U.S. locations also provide alternatives for companies shipping to Hawaii. Other competitors in the Hawaii service include proprietary operators and contract carriers of bulk cargo. Airfreight competition for time-sensitive cargo exists; however, cargo volume has been limited primarily due to the cost of airfreight transportation.</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Matson vessels are operated on schedules that provide customers, shippers and consignees fixed day-of-the-week sailings from the U.S. West Coast as well as fixed day-of-the-week arrivals in Hawaii. Matson offers five westbound departures per week, though this amount may be adjusted according to market conditions. One of Matson’s westbound sailings each week continues from Honolulu on to Guam, Japan and China. Matson offers two weekly eastbound departures from Honolulu to the U.S. Mainland. These sailings call on three U.S. West Coast ports each week. Matson’s frequent sailings permit customers to reduce inventory carrying costs. Matson also competes by offering a more comprehensive service to customers, including: service to and from the three largest U.S. West Coast ports; the most efficient terminal network on the U.S. West Coast provided by SSAT; a dedicated inter-island barge network; a world-class customer service team; and its efficiency and experience in handling cargo of all types.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Alaska Service: </w:t>
      </w:r>
      <w:r>
        <w:rPr>
          <w:rFonts w:ascii="Arial" w:cs="Arial" w:eastAsia="Arial" w:hAnsi="Arial"/>
          <w:sz w:val="18"/>
          <w:szCs w:val="18"/>
          <w:color w:val="auto"/>
        </w:rPr>
        <w:t>Matson’s Alaska service has one major U.S. flag Jones Act competitor, Totem Ocean Trailer Express, Inc.,</w:t>
      </w:r>
      <w:r>
        <w:rPr>
          <w:rFonts w:ascii="Arial" w:cs="Arial" w:eastAsia="Arial" w:hAnsi="Arial"/>
          <w:sz w:val="18"/>
          <w:szCs w:val="18"/>
          <w:i w:val="1"/>
          <w:iCs w:val="1"/>
          <w:color w:val="auto"/>
        </w:rPr>
        <w:t xml:space="preserve"> </w:t>
      </w:r>
      <w:r>
        <w:rPr>
          <w:rFonts w:ascii="Arial" w:cs="Arial" w:eastAsia="Arial" w:hAnsi="Arial"/>
          <w:sz w:val="18"/>
          <w:szCs w:val="18"/>
          <w:color w:val="auto"/>
        </w:rPr>
        <w:t>which operates a roll-on/roll off service between Tacoma, Washington and Anchorage, Alaska. There are also two U.S. flag Jones Act barge operators, Alaska Marine Lines, which mainly provides services from Seattle, Washington to the ports of Anchorage and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Foreign-flag vessels provide alternatives for companies shipping cargo (mainly seafood) from the Alaska ports of Kodiak and Dutch Harbor.</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Matson offers customers twice weekly scheduled service from Tacoma, Washington to Anchorage and Kodiak, Alaska and weekly service to Dutch Harbor, Alaska. The Company also provides a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MatNav, and at the port of Tacoma, Washington performed by SSAT.</w:t>
      </w:r>
    </w:p>
    <w:p>
      <w:pPr>
        <w:spacing w:after="0" w:line="15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China Service: </w:t>
      </w:r>
      <w:r>
        <w:rPr>
          <w:rFonts w:ascii="Arial" w:cs="Arial" w:eastAsia="Arial" w:hAnsi="Arial"/>
          <w:sz w:val="17"/>
          <w:szCs w:val="17"/>
          <w:color w:val="auto"/>
        </w:rPr>
        <w:t>Major competitors to Matson’s China service include large international carriers such as ONE (formerly “K”</w:t>
      </w:r>
      <w:r>
        <w:rPr>
          <w:rFonts w:ascii="Arial" w:cs="Arial" w:eastAsia="Arial" w:hAnsi="Arial"/>
          <w:sz w:val="17"/>
          <w:szCs w:val="17"/>
          <w:i w:val="1"/>
          <w:iCs w:val="1"/>
          <w:color w:val="auto"/>
        </w:rPr>
        <w:t xml:space="preserve"> </w:t>
      </w:r>
      <w:r>
        <w:rPr>
          <w:rFonts w:ascii="Arial" w:cs="Arial" w:eastAsia="Arial" w:hAnsi="Arial"/>
          <w:sz w:val="17"/>
          <w:szCs w:val="17"/>
          <w:color w:val="auto"/>
        </w:rPr>
        <w:t>Line, NYK Line and MOL), Maersk, CMA CGM and its subsidiary APL, Evergreen, COSCO and SM Line.</w:t>
      </w:r>
    </w:p>
    <w:p>
      <w:pPr>
        <w:spacing w:after="0" w:line="14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Matson competes by offering a fast and reliable service from the ports of Ningbo and Shanghai in China to Long Beach, California, providing fixed day arrivals and next-day cargo availability. Matson’s service is further differentiated by offering a dedicated marine terminal in Long Beach, California operated by SSAT, an off-dock container yard providing fast truck turn times, dedicated chassis, one-stop intermodal connections, and providing world-class customer service.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Matson has offices located in Hong Kong, Shenzhen, Xiamen, Ningbo and Shanghai, and has contracted with terminal operators in Ningbo and Shanghai.</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has one major competitor, APL, which operates a weekly U.S. flagged container</w:t>
      </w:r>
      <w:r>
        <w:rPr>
          <w:rFonts w:ascii="Arial" w:cs="Arial" w:eastAsia="Arial" w:hAnsi="Arial"/>
          <w:sz w:val="18"/>
          <w:szCs w:val="18"/>
          <w:i w:val="1"/>
          <w:iCs w:val="1"/>
          <w:color w:val="auto"/>
        </w:rPr>
        <w:t xml:space="preserve"> </w:t>
      </w:r>
      <w:r>
        <w:rPr>
          <w:rFonts w:ascii="Arial" w:cs="Arial" w:eastAsia="Arial" w:hAnsi="Arial"/>
          <w:sz w:val="18"/>
          <w:szCs w:val="18"/>
          <w:color w:val="auto"/>
        </w:rPr>
        <w:t>feeder service connecting the U.S. West Coast to Guam and Saipan, via transshipments over Yokohama, Japan. Waterman operates a roll-on/roll-off service, which periodically calls at Guam. There are also several foreign carriers, including APL, that call at Guam from foreign origin ports.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Matson’s Japan service competes primarily with APL, which operates a weekly U.S. flagged containership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from the U.S. West Coast to the port of Naha, Okinawa, Japan.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Micronesia and South Pacific Services: </w:t>
      </w:r>
      <w:r>
        <w:rPr>
          <w:rFonts w:ascii="Arial" w:cs="Arial" w:eastAsia="Arial" w:hAnsi="Arial"/>
          <w:sz w:val="18"/>
          <w:szCs w:val="18"/>
          <w:color w:val="auto"/>
        </w:rPr>
        <w:t>Matson’s Micronesia and South Pacific services have competition from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local and international carriers that provide freight services to the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Matson serves customers in numerous industries and carries a wide variety of cargo, mitigating its dependence upon any single customer or single type of cargo. In 2019, 2018 and 2017, the Company’s 10 largest Ocean Transportation customers accounted for approximately 23 percent, 24 percent and 23 percent of the Company’s Ocean Transportation revenue, respectively. None of these customers individually account for more than 10 percent of Matson’s Ocean Transportation operating revenues. For additional information on Ocean Transportation revenues for the years ended December 31, 2019, 2018 and 2017, see Note 2 to the Consolidated Financial Statements in Item 8 of Part II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Matson’s Ocean Transportation services typically experience seasonality in volume, generally following a pattern of increasing volumes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tend to follow a similar pattern, offset by periodic vessel dry-docking and other episodic cost factors, which can lead to earnings variability. In addition, in the China trade, volume is driven primarily by U.S. consumer demand for goods during key retail selling seasons while freight rates are impacted mainly by macro supply and demand variables.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Laws and the Jones Act: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 1920</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the Jones Act).</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 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92"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During the years ended December 31, 2019, 2018 and 2017, approximately 72 percent of Matson’s Ocean Transportation revenues came from the Hawaii and Alaska trades that were subject to the Jones Act. Matson’s Hawaii and Alaska trade routes are included within the non-contiguous Jones Act market. Hawaii, as an island economy, and Alaska due to its geographical location, are both dependent on ocean transportation. The Jones Act ensures frequent, reliable, roundtrip service to these locations. Matson’s vessels operating in these trade routes are Jones Act qualified.</w:t>
      </w:r>
    </w:p>
    <w:p>
      <w:pPr>
        <w:spacing w:after="0" w:line="158"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Matson is a member of the American Maritime Partnership (“AMP”) which supports the retention of the Jones Act and similar cabotage laws. The Jones Act has broad support from both houses of Congress. Matson believes that the ongoing war on terrorism and geopolitical environment have further solidified political support for U.S. flagged vessels</w:t>
      </w: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 vessel operators that do not have to abide by all U.S. laws and regulations to sail between U.S. ports in direct competition with Matson and other U.S. domestic operators that must comply with all such laws and regulations.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Regulations and Fuel-Related Surcharges: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provides a 30-day notice to customers of any increases in general rates and other charges, and passes along decreases as soon as possible.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Matson applies a fuel-related surcharge rate to its Ocean Transportation customers. Changes in the fuel-related surcharge levels are correlated to market rates for bunker fuel prices along with other factors related to fuel expense recovery.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Regulations: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The Company actively monitors its operations to ensure compliance with these and other regulations.</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For more information on Matson’s environmental stewardship initiatives, including its environmental goals, see https://www.matson.com/corporate/about_us/environmental.html. The contents of our website are not incorporated by reference into this Form 10-K.</w:t>
      </w:r>
    </w:p>
    <w:p>
      <w:pPr>
        <w:spacing w:after="0" w:line="177" w:lineRule="exact"/>
        <w:rPr>
          <w:sz w:val="20"/>
          <w:szCs w:val="20"/>
          <w:color w:val="auto"/>
        </w:rPr>
      </w:pPr>
    </w:p>
    <w:p>
      <w:pPr>
        <w:ind w:left="1300" w:hanging="643"/>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 Logistics provides the following services: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Transportation Brokerage Services: </w:t>
      </w:r>
      <w:r>
        <w:rPr>
          <w:rFonts w:ascii="Arial" w:cs="Arial" w:eastAsia="Arial" w:hAnsi="Arial"/>
          <w:sz w:val="17"/>
          <w:szCs w:val="17"/>
          <w:color w:val="auto"/>
        </w:rPr>
        <w:t>Matson Logistics provides intermodal rail, highway, and other third-party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North American customers and international ocean carrier customers, including MatNav. Matson Logistics strives to reduce transportation costs for its customers through volume purchases of rail, motor carrier and ocean transportation services, augmented by services such as shipment tracking and tracing, and single-vendor invoicing. Matson Logistics operates customer service centers and has sales offices throughout North America.</w:t>
      </w:r>
    </w:p>
    <w:p>
      <w:pPr>
        <w:sectPr>
          <w:pgSz w:w="11900" w:h="16838" w:orient="portrait"/>
          <w:cols w:equalWidth="0" w:num="1">
            <w:col w:w="9040"/>
          </w:cols>
          <w:pgMar w:left="1420" w:top="517" w:right="14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776605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Freight Forwarding Services: </w:t>
      </w:r>
      <w:r>
        <w:rPr>
          <w:rFonts w:ascii="Arial" w:cs="Arial" w:eastAsia="Arial" w:hAnsi="Arial"/>
          <w:sz w:val="18"/>
          <w:szCs w:val="18"/>
          <w:color w:val="auto"/>
        </w:rPr>
        <w:t>Matson Logistics provides LCL consolidation and freight forwarding services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Alaska market through its wholly owned subsidiary, Span Intermediate, LLC (“Span Alaska”). Span Alaska’s business aggregates LCL freight at its cross-dock facility in Auburn, Washington for consolidation and shipment to a network of cross-dock facilities in Alaska. Span Alaska also provides trucking services to its Auburn cross-dock facility and from its Alaska based cross-dock facilities to final customer destinations in Alaska.</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Warehousing and Distribution Services: </w:t>
      </w:r>
      <w:r>
        <w:rPr>
          <w:rFonts w:ascii="Arial" w:cs="Arial" w:eastAsia="Arial" w:hAnsi="Arial"/>
          <w:sz w:val="17"/>
          <w:szCs w:val="17"/>
          <w:color w:val="auto"/>
        </w:rPr>
        <w:t>Matson Logistics operates two warehouses in Georgia and two warehouses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Northern California providing warehousing, value-added packaging and distribution services.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Supply Chain Management and Other Services: </w:t>
      </w:r>
      <w:r>
        <w:rPr>
          <w:rFonts w:ascii="Arial" w:cs="Arial" w:eastAsia="Arial" w:hAnsi="Arial"/>
          <w:sz w:val="18"/>
          <w:szCs w:val="18"/>
          <w:color w:val="auto"/>
        </w:rPr>
        <w:t>Matson Logistics provides customers with a variety of logistics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purchase order management, customs brokerage, LCL and full container load NVOCC freight forwarding services. Matson Logistics operates a customer service center in Shanghai, China to support its supply chain operations in North America, China and other locations.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Anchorage Service Center:</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fourth quarter of 2019, Span Alaska completed the construction of a new 54,000 square foot cross-dock facility (“Anchorage Service Center”) to consolidate its Anchorage operations that previously operated from two smaller leased facilities. The Anchorage Service Center is expected to improve Span Alaska’s operating efficiency while providing additional capacity for long-term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Matson Logistics’ operating costs primarily consist of the costs of purchased transportation, leases of warehouses, cross-dock and other facility operating costs, salaries and benefits, and other operating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Matson Logistics’ transportation brokerage services competes most directly with C.H. Robinson Worldwide, the Hub Group, XPO and other freight brokers and intermodal marketing companies, and asset-invested market leaders such as J.B. Hunt. Competition is differentiated by the depth, scale and scope of customer relationships; vendor relationships and rates; network capacity; real-time visibility into the movement of customers’ goods; and other technology solutions. Additionally, while Matson Logistics primarily provides surface transportation brokerage, it also competes to a lesser degree with other forms of transportation for the movement of cargo.</w:t>
      </w:r>
    </w:p>
    <w:p>
      <w:pPr>
        <w:spacing w:after="0" w:line="19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Matson Logistics’ freight forwarding services compete most directly with a variety of freight forwarding companies that operate within Alaska including Carlile, Lynden, American Fast Freight and Alaska Traffic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Matson Logistics serves customers in numerous industries and geographical locations. In 2019, 2018 and 2017, the Company’s 10 largest logistics customers accounted for approximately 21 percent, 23 percent and 19 percent of Matson Logistics’ revenue, respectively. None of these customers individually accounts for more than 10 percent of Matson Logistics’ operating revenues. For additional information on Logistics revenues for the years ended December 31, 2019, 2018 and 2017, see Note 2 to the Consolidated Financial Statements in Item 8 of Part II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Matson Logistics’ services are generally not significantly impacted by seasonality factors, except for its freight forwarding service to Alaska which is affected by the winter weather, the cyclical nature of the oil and construction industries, and the seasonal nature of the tourism industry.</w:t>
      </w:r>
    </w:p>
    <w:p>
      <w:pPr>
        <w:sectPr>
          <w:pgSz w:w="11900" w:h="16838" w:orient="portrait"/>
          <w:cols w:equalWidth="0" w:num="1">
            <w:col w:w="9060"/>
          </w:cols>
          <w:pgMar w:left="1420" w:top="517" w:right="141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776605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1"/>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December 31, 2019, Matson and its subsidiaries had 1,988 employees, of which 794 employees were covered by collective bargaining agreements with shoreside unions. These numbers do not include billets on vessels discussed below, employees of SSAT, or other non-employees, such as agents, temporary workers and contractors.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Matson’s fleet of active vessels require 298 billets to operate these vessels. Each billet corresponds to a position on a vessel that typically is filled by two or more employees because seagoing personnel rotate between active sea-duty and time ashore. These amounts exclude billets related to Matson’s foreign flagged chartered vessels where the vessel owner is responsible for its seagoing personnel. Matson’s vessel management services also employed personnel in 28 billets to manage three vessels.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Bargaining Agreements: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Matson’s shoreside and seagoing employees are represented by a variety of unions. Matson has collective bargaining agreements with these unions that expire at various dates in the future. While Matson believes that it will be able to renegotiate these collective bargaining agreements with its various unions as they expire without any significant impact on its operations, no assurance can be given that such agreements will be reached without slow-downs, strikes, lockouts or other disruptions that may adversely impact Matson’s operations.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Additionally, Matson and SSAT are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In August 2017, the ILWU agreed to extend its contract with the PMA to July 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and Post-retirement Plans: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Matson contributes to a number of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spacing w:after="0" w:line="183" w:lineRule="exact"/>
        <w:rPr>
          <w:sz w:val="20"/>
          <w:szCs w:val="20"/>
          <w:color w:val="auto"/>
        </w:rPr>
      </w:pPr>
    </w:p>
    <w:p>
      <w:pPr>
        <w:ind w:left="660" w:hanging="651"/>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them to, the U.S. Securities and Exchange Commission (“SEC”). The address of Matson’s Internet website is www.matson.com. The contents of our website are not incorporated by reference into this Form 10-K.</w:t>
      </w:r>
    </w:p>
    <w:p>
      <w:pPr>
        <w:spacing w:after="0" w:line="158"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Jones Act</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 U.S. citizen operator of Jones Act vessels would be eroded if periodic efforts and attempts by foreign interests to circumvent certain aspects of the Jones Act were ever successful. If maritime cabotage services were included in the General Agreement on Trade in Services, the North American Free Trade Agreement, the United States-Mexico-Canada Agreement, the U.S.-EU Trade Agreement or other international trade agreements, or if the restrictions contained in the Jones Act were otherwise altered, the shipping of cargo between covered U.S. ports could be opened to foreign-flag or foreign-built vessels or would have other adverse impacts.</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Company’s business would be adversely affected if the Company were determined not to be a U.S. citizen under the Jones Act.</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would have an adverse effect on the Company’s financial condition and results of operation.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Operations</w:t>
      </w:r>
    </w:p>
    <w:p>
      <w:pPr>
        <w:spacing w:after="0" w:line="2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Changes in U.S., global, regional economic conditions or governmental policies that result in a decrease in consumer confidence or market demand for the Company’s services and products in Hawaii and Alaska, the U.S. Mainland, Guam, Asia or the South Pacific may adversely affect the Company’s financial position, results of operations, liquidity, or cash flows.</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 weakening of domestic or global economies may adversely impact the level of freight volumes and freight rates. Within the U.S., a weakening of economic drivers in Hawaii and Alaska, which include tourism, military spending, construction starts, personal income growth and employment, or the weakening of consumer confidence, market demand, the economy in the U.S. Mainland, or the effect of a change in the strength of the U.S. dollar against other foreign currencies, may further reduce the demand for goods to and from Asia, Hawaii and Alaska, adversely affecting inland and ocean transportation volumes or rates. In addition, overcapacity in the global or transpacific ocean transportation markets, a change in the cost of goods or currency exchange rates, imposition of tariffs and uncertainty of tariff rates, or a change in international trade policies may adversely affect freight volumes and rates in the Company’s China service.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our volumes and rates. For example, in December 2016, the Company’s major competitor in the Guam service upgraded its U.S. flagged feeder containership from a bi-weekly service to a weekly service connecting the U.S. West Coast to Guam and Saipan via transshipments over Yokohama, Japan. As a result of this and other potential competitor actions, the Company could experience a reduction in profitability.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loss of or damage to key customer or agent relationships may adversely affect the Company’s business.</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large retailers and consumer goods and automobile manufacturers, as well as other larger customers. In 2019, the Company’s Ocean Transportation segment’s 10 largest customers accounted for approximately 23 percent of the business’ revenue. In 2019, the Company’s Logistics segment’s 10 largest customers accounted for approximately 21 percent of the business’ revenue.</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could also be adversely affected by any changes in the services, or changes to the costs of services, provided by agents. Relationships with railroads and shipping companies and agents are important in the Company’s intermodal business as well as in the Guam, Micronesia, Japan and South Pacific services.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loss of or damage to any of these key relationships may adversely affect the Company’s business and revenue.</w:t>
      </w:r>
    </w:p>
    <w:p>
      <w:pPr>
        <w:spacing w:after="0" w:line="23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businesses are dependent upon key vendors who provide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consolidated results of operations and financial condition could be adversely affected.</w:t>
      </w:r>
    </w:p>
    <w:p>
      <w:pPr>
        <w:spacing w:after="0" w:line="169"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also may adversely affect its results of operations.</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Effective January 1, 2020, the IMO has imposed a world-wide regulation that generally requires that all ships must burn compliant fuel oil with a maximum sulfur content of ≤0.5 percent. Currently, LSFO is priced significantly higher than HSFO due to the need to refine the oil and the lack of sufficient quantities of LSFO on a global basis. While the Company has entered into contracts to secure LSFO on the U.S. West Coast, there is no guarantee that sufficient quantities will be available at a reasonable cost. In addition, prolonged use of LSFO on some Matson vessels could degrade engine performance or lead to higher maintenance costs. While Matson has announced plans to install scrubbers on additional vessels, there may be delays or other unexpected complications. The Company’s ability to recover the higher costs of IMO 2020 compliant fuel through fuel-related surcharges, the availability of LSFO, and the potential impact on vessel performance and maintenance costs may adversely affect the Company’s operations, business and profit.</w:t>
      </w:r>
    </w:p>
    <w:p>
      <w:pPr>
        <w:spacing w:after="0" w:line="16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As of December 31, 2019, Matson and its subsidiaries had 1,988 employees, of which 794 employees were covered by collective bargaining agreements with shoreside unions. In addition, Matson’s fleet of active vessels require 298 billets to operate these vessels. Matson’s vessel management services also employed personnel in 28 billets to manage three vessels. Such employees are also subject to collective bargaining agreements. Furthermore, the Company relies on the services of third-parties including SSAT that employ persons covered by collective bargaining agreements. 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additional information on collective bargaining agreements with unions, see Item1. C. Employees and Labor Relations of Part I above.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could be adversely affected by actions taken by employees of the Company or other companies in related industries against efforts by management of the Company or other companies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halls could have an adverse impact on Matson’s or SSAT’s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susceptible to weather, natural disasters and other operating risks.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Company’s operations are vulnerable to disruption as a result of weather, natural disasters and other climate driven events,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loss or damage to containers, cargo and other equipment, and loss of life or physical injury to its employees, all of which could have an adverse effect on the Company’s business. These impacts could be particularly acute in certain ports in Alaska where the Company is dependent on a single crane.</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vessels and their cargoes are also subject to operating risks such as mechanical failure, collisions and human error. The occurrence of any of these events may result in damage to or loss of vessels or other property, or injury or death of people. If any of these events were to occur, the Company could be exposed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face risks related to actual or threatened health epidemics, pandemics or other major health crises, which could significantly disrupt our business.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business could be impacted adversely by the effects of public health epidemics, pandemics or other major heath crises (which we refer to collectively as public health crises). Actual or threatened public health crises may have a number of adverse impacts, including volatility in the global economy, impacts to our customers’ business operations, reduced tourism in the markets we serve, or significant disruptions in ocean-borne transportation of goods, logistics demand and supply chain activity, caused by a variety of factors such as quarantines, factory and office closures, port closures, or other government-imposed restrictions, any of which could adversely impact our business, financial condition, operating results and cash flows.</w:t>
      </w:r>
    </w:p>
    <w:p>
      <w:pPr>
        <w:spacing w:after="0" w:line="16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example, on January 30, 2020, the World Health Organization declared COVID-19 a Public Health Emergency of International Concern. On January 31, 2020, the U.S. Department of State raised their travel advisory for mainland China from Level 3 (reconsider travel) to Level 4 (do not travel). The outbreak of COVID-19 has harmed the Chinese economy, shut down business operations in China and disrupted manufacturing, travel, drayage of containers, and transportation of goods within and from China. A reduction or delay in container volume from China resulting from decreased manufacturing activity, lower transportation demand or service disruptions from restrictions related to COVID-19 could adversely affect volumes or rates in our CLX service, Matson Logistics’ business related to China, and/or SSAT lift volume at its U.S. West Coast terminals. Our operations in China may also be impacted adversely if our employees’ ability to travel to or within China is restricted or they are otherwise unable to perform their duties. Spread of COVID-19 may reduce tourism to Hawaii, Alaska and/or Guam and thereby lead to reduced demand for</w:t>
      </w:r>
    </w:p>
    <w:p>
      <w:pPr>
        <w:sectPr>
          <w:pgSz w:w="11900" w:h="16838" w:orient="portrait"/>
          <w:cols w:equalWidth="0" w:num="1">
            <w:col w:w="9060"/>
          </w:cols>
          <w:pgMar w:left="1420" w:top="517" w:right="141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775335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freight that we would otherwise carry. In addition, vessel drydockings and scrubber installations could also be delayed or become more expensive if Chinese shipyards are unable to accommodate demand. The continued spread of COVID-19 or the occurrence of other public health crises may adversely impact our business, financial condition, operating results and cash flows.</w:t>
      </w:r>
    </w:p>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 when they expire.</w:t>
      </w:r>
    </w:p>
    <w:p>
      <w:pPr>
        <w:spacing w:after="0" w:line="166"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 xml:space="preserve">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 For example, on November 26, 2018, a wholly-owned subsidiary of the Company entered into agreements whereby </w:t>
      </w:r>
      <w:r>
        <w:rPr>
          <w:rFonts w:ascii="Arial" w:cs="Arial" w:eastAsia="Arial" w:hAnsi="Arial"/>
          <w:sz w:val="16"/>
          <w:szCs w:val="16"/>
          <w:i w:val="1"/>
          <w:iCs w:val="1"/>
          <w:color w:val="auto"/>
        </w:rPr>
        <w:t>Maunalei</w:t>
      </w:r>
      <w:r>
        <w:rPr>
          <w:rFonts w:ascii="Arial" w:cs="Arial" w:eastAsia="Arial" w:hAnsi="Arial"/>
          <w:sz w:val="16"/>
          <w:szCs w:val="16"/>
          <w:color w:val="auto"/>
        </w:rPr>
        <w:t>, a U.S. flagged and Jones Act qualified vessel, was sold for $106.0 million and leased back from the buyer under an operating lease agreement. While the agreements contain customary representations, warranties and covenants, there remain risks that (a) the lessor could lose its Jones Act status,</w:t>
      </w:r>
    </w:p>
    <w:p>
      <w:pPr>
        <w:spacing w:after="0" w:line="5" w:lineRule="exact"/>
        <w:rPr>
          <w:sz w:val="20"/>
          <w:szCs w:val="20"/>
          <w:color w:val="auto"/>
        </w:rPr>
      </w:pPr>
    </w:p>
    <w:p>
      <w:pPr>
        <w:ind w:firstLine="9"/>
        <w:spacing w:after="0" w:line="323"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the Company could not replace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in the event it is no longer Jones Act eligible, or (c) if the repurchase option is elected, that the Company would not be able to consummate the repurchase of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at the end of the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routinely engage shipyards to dry-dock our vessels for regulatory compliance and to provide repair and maintenance. Vessels may also have to be dry-docked or repaired at sea in the event of accidents or other unforeseen damage. We also operate a number of older active and reserve vessels that may require more frequent and extensive maintenance. The cost of repairs are difficult to predict with certainty and can be substantial. Large dry-docking and other repair expenses could adversely affect the Company’s results of operations and cash flows.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is highly dependent on the proper functioning of our information technology systems to enable operations and compete effectively. We regularly update our information technology systems or implement new systems which could cause substantial business interruption. There is no assurance that the systems upgrades or new systems will meet our current or future business needs, or that they will operate as designed. Our information technology systems also rely on third-party service providers for access to the Internet, satellite-based communications systems, the electric grid, database storage facilities and telecommunications providers. We have no control over the operations of these third-party service providers. If our information technology and 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79"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Our information technology systems have in the past and may in the future be exposed to cybersecurity risks and other disruptions that could impair the Company’s ability to operate and adversely affect its business.</w:t>
      </w:r>
    </w:p>
    <w:p>
      <w:pPr>
        <w:spacing w:after="0" w:line="12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Company relies extensively on its information technology systems and third-party service providers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our continuous efforts to make investments in our information technology systems and system-wide data security program, the implementation of security measures to protect our data and infrastructure against breaches and other cyber threats, and our use of internal processes and controls designed to protect the security and availability of our systems, we have in the past experienced and may in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future experience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4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future success will depend, in significant part, upon the continued services of its key personnel, including its senior management and skilled employees. The loss of the services of key personnel could adversely affect the Company’s future operating results because of such employees’ experience and knowledge of the Company’s business and customer relationships. If key employees depart, the Company may incur significant costs to replace them. Additionally, the Company’s ability to execute its business model could be impaired if it cannot replace them in a timely manner. The Company does not maintain key person insurance on any of its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is involved in a terminal joint venture, SSAT (and through SSAT, other joint ventures at U.S. West Coast terminals), and may initiate future joint venture projects. A joint venture involves certain risks such as:</w:t>
      </w:r>
    </w:p>
    <w:p>
      <w:pPr>
        <w:spacing w:after="0" w:line="147" w:lineRule="exact"/>
        <w:rPr>
          <w:sz w:val="20"/>
          <w:szCs w:val="20"/>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joint venture partner at any time may have economic or business interests that are inconsistent with the Company’s;</w:t>
      </w:r>
    </w:p>
    <w:p>
      <w:pPr>
        <w:spacing w:after="0" w:line="32" w:lineRule="exact"/>
        <w:rPr>
          <w:rFonts w:ascii="Arial" w:cs="Arial" w:eastAsia="Arial" w:hAnsi="Arial"/>
          <w:sz w:val="16"/>
          <w:szCs w:val="16"/>
          <w:color w:val="auto"/>
        </w:rPr>
      </w:pPr>
    </w:p>
    <w:p>
      <w:pPr>
        <w:ind w:left="340" w:right="200" w:hanging="331"/>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joint venture partner may fail to fund its share of capital for operations or to fulfill its other commitments, including providing accurate and timely accounting and financial information to the Company;</w:t>
      </w:r>
    </w:p>
    <w:p>
      <w:pPr>
        <w:ind w:left="340" w:right="340" w:hanging="331"/>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6"/>
          <w:szCs w:val="16"/>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340" w:right="420" w:hanging="331"/>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spacing w:after="0" w:line="1"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of the joint venture may result in reputational harm to the Company.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relies on SSAT for its stevedoring services at the ports of Long Beach and Oakland, California, and Seattle and Tacoma, Washington on the U.S. West Coast. The Company could be adversely affected by any changes in the services provided, or to the costs of such services provided by SSAT.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Matson’s China, Micronesia, Japan and South Pacific services are subject to risks associated with conducting business in a foreign shipping market, which include:</w:t>
      </w:r>
    </w:p>
    <w:p>
      <w:pPr>
        <w:spacing w:after="0" w:line="170" w:lineRule="exact"/>
        <w:rPr>
          <w:sz w:val="20"/>
          <w:szCs w:val="20"/>
          <w:color w:val="auto"/>
        </w:rPr>
      </w:pPr>
    </w:p>
    <w:p>
      <w:pPr>
        <w:ind w:left="340" w:right="120" w:hanging="331"/>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1" w:lineRule="exact"/>
        <w:rPr>
          <w:rFonts w:ascii="Arial" w:cs="Arial" w:eastAsia="Arial" w:hAnsi="Arial"/>
          <w:sz w:val="18"/>
          <w:szCs w:val="18"/>
          <w:color w:val="auto"/>
        </w:rPr>
      </w:pPr>
    </w:p>
    <w:p>
      <w:pPr>
        <w:ind w:left="340" w:hanging="331"/>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Challenges in working with and maintaining good relationships with business associates in our foreign operations;</w:t>
      </w:r>
    </w:p>
    <w:p>
      <w:pPr>
        <w:spacing w:after="0" w:line="20" w:lineRule="exact"/>
        <w:rPr>
          <w:rFonts w:ascii="Arial" w:cs="Arial" w:eastAsia="Arial" w:hAnsi="Arial"/>
          <w:sz w:val="17"/>
          <w:szCs w:val="17"/>
          <w:color w:val="auto"/>
        </w:rPr>
      </w:pPr>
    </w:p>
    <w:p>
      <w:pPr>
        <w:ind w:left="340" w:hanging="331"/>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40" w:right="260" w:hanging="331"/>
        <w:spacing w:after="0" w:line="265"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be in compliance with U.S. and foreign legal and regulatory restrictions, including compliance with the Foreign Corrupt Practices Act and foreign laws that prohibit corrupt payments to government officials;</w:t>
      </w:r>
    </w:p>
    <w:p>
      <w:pPr>
        <w:ind w:left="340" w:hanging="331"/>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23" w:lineRule="exact"/>
        <w:rPr>
          <w:rFonts w:ascii="Arial" w:cs="Arial" w:eastAsia="Arial" w:hAnsi="Arial"/>
          <w:sz w:val="18"/>
          <w:szCs w:val="18"/>
          <w:color w:val="auto"/>
        </w:rPr>
      </w:pPr>
    </w:p>
    <w:p>
      <w:pPr>
        <w:ind w:left="340" w:hanging="33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vessel deployment by competitors that impact the Company’s services;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40" w:right="360" w:hanging="331"/>
        <w:spacing w:after="0" w:line="265"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Dynamics involving U.S. trade relations with other countries, including measures such as the imposition of tariffs at varying levels or other governmental actions, all of which may affect the Company’s operations; and</w:t>
      </w:r>
    </w:p>
    <w:p>
      <w:pPr>
        <w:ind w:left="340" w:hanging="33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an accident or spill event.</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 with NASSCO is subject to risks.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August 25, 2016, MatNav and NASSCO entered into a definitive agreement pursuant to which NASSCO will construct two new 3,500-TEU sized Kanaloa Class dual-fuel capable container and roll-on/roll-off vessels. The first vessel,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was delivered on December 26, 2019. The second vessel, </w:t>
      </w:r>
      <w:r>
        <w:rPr>
          <w:rFonts w:ascii="Arial" w:cs="Arial" w:eastAsia="Arial" w:hAnsi="Arial"/>
          <w:sz w:val="16"/>
          <w:szCs w:val="16"/>
          <w:i w:val="1"/>
          <w:iCs w:val="1"/>
          <w:color w:val="auto"/>
        </w:rPr>
        <w:t>Matsonia</w:t>
      </w:r>
      <w:r>
        <w:rPr>
          <w:rFonts w:ascii="Arial" w:cs="Arial" w:eastAsia="Arial" w:hAnsi="Arial"/>
          <w:sz w:val="16"/>
          <w:szCs w:val="16"/>
          <w:color w:val="auto"/>
        </w:rPr>
        <w:t>, is expected to be delivered in the fourth quarter of 2020. Failure of any party to the shipbuilding agreement to fulfill its obligations under the agreement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which prevent one or more significant subcontractors from performing, or (iv) the refusal or inability of NASSCO or any of its subcontractors to perform for any reason.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investing approximately $60 million, including the installation of three new gantry cranes and upgrade of three existing cranes, as part of the first phase of a broader project to expand and improve the Company’s Sand Island terminal in Honolulu Harbor. We have also begun discussions with state and local authorities in Anchorage, Alaska regarding upgrades to those terminal and port facilities. Regulatory, construction or other delays or cost overruns related to the expansion and modernization of the terminals could have an adverse impact on our business plans, financial condition and results of operations. In addition, the terminal modernization programs may not result in improved operational productivity or generate expected returns.</w:t>
      </w:r>
    </w:p>
    <w:p>
      <w:pPr>
        <w:spacing w:after="0" w:line="18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Lines, Inc. (“Horizon”) in 2015 and Span Alaska in 2016.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Horizon and Span Alaska acquisitions may expose us to unknown liabilities.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acquired Horizon subject to all of the liabilities and obligations of its non-Hawaii business, including any remaining liabilities and obligations associated with its Puerto Rico operations, which Horizon ceased during the first quarter of 2015. Similarly, in August 2016, we acquired Span Alaska subject to all of its liabilities and obligations. The disposition of these liabilities, and any other obligations that are unknown to the Company, including contingent liabilities, could have an adverse effect on the Company’s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5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Horizon and Span Alaska acquisitions become impaired.</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recorded significant intangible assets related to goodwill, customer relationships and trade name arising from the Horizon and Span Alaska acquisitions.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Financial Matters</w:t>
      </w:r>
    </w:p>
    <w:p>
      <w:pPr>
        <w:spacing w:after="0" w:line="22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was the case in connection with the U.S. Federal Reserve’s interest rate increases in 2018, which would adversely affect the Company’s cash flow and results of operations. In addition, as the floating rate on certain borrowings under our revolving credit facility is tied to LIBOR, the uncertainty regarding the future of LIBOR as well as the transition from LIBOR to an alternate benchmark rate or rates could pose funding risks for the Company and adversely affect the Company’s financing costs.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the maintenance of no more than a maximum amount of priority debt as a percentage of consolidated tangible assets,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and acquisitions and changes in the Company’s corporate structure. These factors may result in periodic revisions to our effective income tax rate, which could affect the Company’s cash flow and results of operations.</w:t>
      </w:r>
    </w:p>
    <w:p>
      <w:pPr>
        <w:spacing w:after="0" w:line="16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below).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and Legislative Matters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the American Bureau of Shipping or similar classification societies, and must be periodically inspected by, or on behalf of, the United States Coast Guard. We are subject to IMO regulations, including the new IMO 2020 regulations limiting the sulfur content of fuel oil. Federal environmental laws and certain State laws also require us, as a vessel operator, to comply with numerous environmental regulations and to obtain certificates of financial responsibility and to adopt procedures for oil and hazardous substance spill prevention, response and clean up.</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complying with these laws, we have incurred expenses and may incur future expenses for vessel modifications, changes in operating procedures and undergoing additional oversight inspections.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 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 comply with changes in governmental regulations, safety or other equipment standards to meet our customers’ changing needs. If any such costs are material, they could adversely affect our financial condition.</w:t>
      </w:r>
    </w:p>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result in substantial fines and penalties that may have a material adverse effect on our results of operations.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Act to Prevent Pollution from vessels, which implements the International Maritime Pollution (MARPOL) treaty, and the Oil Pollution Act of 1990, among many other laws, treaties and regulations, provides for severe civil and criminal penalties related to vessel-generated pollution for incidents in U.S. waters within three nautical miles and in some cases within the 200-mile exclusive economic zone. The EPA requires vessels to obtain coverage under a general permit and to comply with inspection, monitoring, discharge, recordkeeping and reporting requirements. Matson’s vessels operate within emission control areas. If our vessels are not operated in accordance with these requirements, including waivers, permits or recordkeeping and other reporting requirements, such violations could result in substantial fines or penalties that could have a material adverse effect on our results of operations and our business.</w:t>
      </w:r>
    </w:p>
    <w:p>
      <w:pPr>
        <w:spacing w:after="0" w:line="1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 through increased payments from customers. Further changes to these laws and regulations could adversely affect the Company.</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Matson leases terminal facilities including office and storage space at the following material locations: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Terminal Location</w:t>
            </w: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Description of Facility</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Acreage</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2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Terminal facility</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Anchorage, Alaska</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Terminal facility</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Dutch Harbor, Alaska</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Terminal facility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Kodiak, Alaska</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Terminal facility</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Tacoma, Washington</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Terminal facility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Polaris Point, Guam</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Terminal storage</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r>
    </w:tbl>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is currently renewing certain terminal leases which expire during 2020. The Company expects to be able to renew these leases as they expire on similar terms to those that currently exist within these lease agreements. The Company’s other primary terminal facilities located at the ports of Oakland and Long Beach, California, and the ports of Seattle and Tacoma, Washington are leased by SSAT.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material facilities used in the Company’s operations include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Other Material Facilities</w:t>
            </w: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Description of Facility</w:t>
            </w: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 Footage</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2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Warehouse</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710,844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Oakland, California</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Warehouse</w:t>
            </w:r>
          </w:p>
        </w:tc>
        <w:tc>
          <w:tcPr>
            <w:tcW w:w="1200" w:type="dxa"/>
            <w:vAlign w:val="bottom"/>
          </w:tcPr>
          <w:p>
            <w:pPr>
              <w:jc w:val="right"/>
              <w:spacing w:after="0"/>
              <w:rPr>
                <w:sz w:val="20"/>
                <w:szCs w:val="20"/>
                <w:color w:val="auto"/>
              </w:rPr>
            </w:pPr>
            <w:r>
              <w:rPr>
                <w:rFonts w:ascii="Arial" w:cs="Arial" w:eastAsia="Arial" w:hAnsi="Arial"/>
                <w:sz w:val="18"/>
                <w:szCs w:val="18"/>
                <w:color w:val="auto"/>
              </w:rPr>
              <w:t>406,463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Oakland, California</w:t>
            </w: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Warehouse</w:t>
            </w:r>
          </w:p>
        </w:tc>
        <w:tc>
          <w:tcPr>
            <w:tcW w:w="1200" w:type="dxa"/>
            <w:vAlign w:val="bottom"/>
          </w:tcPr>
          <w:p>
            <w:pPr>
              <w:jc w:val="right"/>
              <w:spacing w:after="0"/>
              <w:rPr>
                <w:sz w:val="20"/>
                <w:szCs w:val="20"/>
                <w:color w:val="auto"/>
              </w:rPr>
            </w:pPr>
            <w:r>
              <w:rPr>
                <w:rFonts w:ascii="Arial" w:cs="Arial" w:eastAsia="Arial" w:hAnsi="Arial"/>
                <w:sz w:val="18"/>
                <w:szCs w:val="18"/>
                <w:color w:val="auto"/>
              </w:rPr>
              <w:t>132,000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Piti, Guam</w:t>
            </w: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Anchorage, Alaska</w:t>
            </w:r>
          </w:p>
        </w:tc>
        <w:tc>
          <w:tcPr>
            <w:tcW w:w="24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Office / Cross-dock</w:t>
            </w:r>
          </w:p>
        </w:tc>
        <w:tc>
          <w:tcPr>
            <w:tcW w:w="1200" w:type="dxa"/>
            <w:vAlign w:val="bottom"/>
          </w:tcPr>
          <w:p>
            <w:pPr>
              <w:jc w:val="right"/>
              <w:spacing w:after="0"/>
              <w:rPr>
                <w:sz w:val="20"/>
                <w:szCs w:val="20"/>
                <w:color w:val="auto"/>
              </w:rPr>
            </w:pPr>
            <w:r>
              <w:rPr>
                <w:rFonts w:ascii="Arial" w:cs="Arial" w:eastAsia="Arial" w:hAnsi="Arial"/>
                <w:sz w:val="18"/>
                <w:szCs w:val="18"/>
                <w:color w:val="auto"/>
              </w:rPr>
              <w:t>54,000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Auburn, Washington</w:t>
            </w:r>
          </w:p>
        </w:tc>
        <w:tc>
          <w:tcPr>
            <w:tcW w:w="2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Office / Cross-dock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51,250</w:t>
            </w: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ectPr>
          <w:pgSz w:w="11900" w:h="16838" w:orient="portrait"/>
          <w:cols w:equalWidth="0" w:num="1">
            <w:col w:w="9060"/>
          </w:cols>
          <w:pgMar w:left="1420" w:top="517" w:right="141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739"/>
        <w:spacing w:after="0" w:line="308" w:lineRule="auto"/>
        <w:rPr>
          <w:sz w:val="20"/>
          <w:szCs w:val="20"/>
          <w:color w:val="auto"/>
        </w:rPr>
      </w:pPr>
      <w:r>
        <w:rPr>
          <w:rFonts w:ascii="Arial" w:cs="Arial" w:eastAsia="Arial" w:hAnsi="Arial"/>
          <w:sz w:val="17"/>
          <w:szCs w:val="17"/>
          <w:i w:val="1"/>
          <w:iCs w:val="1"/>
          <w:color w:val="auto"/>
        </w:rPr>
        <w:t xml:space="preserve">General Information: </w:t>
      </w:r>
      <w:r>
        <w:rPr>
          <w:rFonts w:ascii="Arial" w:cs="Arial" w:eastAsia="Arial" w:hAnsi="Arial"/>
          <w:sz w:val="17"/>
          <w:szCs w:val="17"/>
          <w:color w:val="auto"/>
        </w:rPr>
        <w:t>Matson’s common stock is traded on the New York Stock Exchange under the ticker symbol</w:t>
      </w:r>
      <w:r>
        <w:rPr>
          <w:rFonts w:ascii="Arial" w:cs="Arial" w:eastAsia="Arial" w:hAnsi="Arial"/>
          <w:sz w:val="17"/>
          <w:szCs w:val="17"/>
          <w:i w:val="1"/>
          <w:iCs w:val="1"/>
          <w:color w:val="auto"/>
        </w:rPr>
        <w:t xml:space="preserve"> </w:t>
      </w:r>
      <w:r>
        <w:rPr>
          <w:rFonts w:ascii="Arial" w:cs="Arial" w:eastAsia="Arial" w:hAnsi="Arial"/>
          <w:sz w:val="17"/>
          <w:szCs w:val="17"/>
          <w:color w:val="auto"/>
        </w:rPr>
        <w:t>“MATX”. As of February 24, 2020, there were 2,156 shareholders of record of Matson common stock.</w:t>
      </w:r>
    </w:p>
    <w:p>
      <w:pPr>
        <w:spacing w:after="0" w:line="147" w:lineRule="exact"/>
        <w:rPr>
          <w:sz w:val="20"/>
          <w:szCs w:val="20"/>
          <w:color w:val="auto"/>
        </w:rPr>
      </w:pPr>
    </w:p>
    <w:p>
      <w:pPr>
        <w:jc w:val="both"/>
        <w:ind w:right="359"/>
        <w:spacing w:after="0" w:line="264" w:lineRule="auto"/>
        <w:rPr>
          <w:sz w:val="20"/>
          <w:szCs w:val="20"/>
          <w:color w:val="auto"/>
        </w:rPr>
      </w:pPr>
      <w:r>
        <w:rPr>
          <w:rFonts w:ascii="Arial" w:cs="Arial" w:eastAsia="Arial" w:hAnsi="Arial"/>
          <w:sz w:val="18"/>
          <w:szCs w:val="18"/>
          <w:i w:val="1"/>
          <w:iCs w:val="1"/>
          <w:color w:val="auto"/>
        </w:rPr>
        <w:t xml:space="preserve">Stockholder Return Performance Graph and Trading Information: </w:t>
      </w:r>
      <w:r>
        <w:rPr>
          <w:rFonts w:ascii="Arial" w:cs="Arial" w:eastAsia="Arial" w:hAnsi="Arial"/>
          <w:sz w:val="18"/>
          <w:szCs w:val="18"/>
          <w:color w:val="auto"/>
        </w:rPr>
        <w:t>The following information in this Item 5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2019.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556885" cy="4425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6885" cy="442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1"/>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invested on December 31, 2014 in stock or index, including reinvestment of dividends.</w:t>
      </w:r>
    </w:p>
    <w:p>
      <w:pPr>
        <w:spacing w:after="0" w:line="22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Trading volume averaged 155,804 shares a day in 2019, compared with 232,289 shares a day in 2018 and 241,338 shares a day in 2017, as reported by the New York Stock Exchange.</w:t>
      </w:r>
    </w:p>
    <w:p>
      <w:pPr>
        <w:sectPr>
          <w:pgSz w:w="11900" w:h="16838" w:orient="portrait"/>
          <w:cols w:equalWidth="0" w:num="1">
            <w:col w:w="9039"/>
          </w:cols>
          <w:pgMar w:left="1420" w:top="517" w:right="1440" w:bottom="1440" w:gutter="0" w:footer="0" w:header="0"/>
        </w:sect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declared per share of common stock by the Company for each fiscal quarter during 2018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194"/>
              <w:spacing w:after="0" w:line="141" w:lineRule="exact"/>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Matson’s Board of Directors also declared a cash dividend of $0.22 per share for the first quarter 2020, payable on March 5, 2020 to shareholders of record on February 6, 2020.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21"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as of December 31, 2019, certain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Matson’s equity compensation plan:</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Number of shares</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upon exercise of</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2"/>
                <w:szCs w:val="12"/>
                <w:color w:val="auto"/>
              </w:rPr>
            </w:pPr>
          </w:p>
        </w:tc>
        <w:tc>
          <w:tcPr>
            <w:tcW w:w="15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plans (excluding shares</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4"/>
                <w:szCs w:val="14"/>
                <w:color w:val="auto"/>
              </w:rPr>
            </w:pPr>
          </w:p>
        </w:tc>
        <w:tc>
          <w:tcPr>
            <w:tcW w:w="15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3"/>
              </w:rPr>
              <w:t>warrants and rights</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(b)</w:t>
            </w: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spacing w:after="0"/>
              <w:rPr>
                <w:sz w:val="20"/>
                <w:szCs w:val="20"/>
                <w:color w:val="auto"/>
              </w:rPr>
            </w:pPr>
            <w:r>
              <w:rPr>
                <w:rFonts w:ascii="Arial" w:cs="Arial" w:eastAsia="Arial" w:hAnsi="Arial"/>
                <w:sz w:val="16"/>
                <w:szCs w:val="16"/>
                <w:color w:val="auto"/>
              </w:rPr>
              <w:t>Equity compensation plans approved by shareholders</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950,864 (1)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22.30</w:t>
            </w:r>
          </w:p>
        </w:tc>
        <w:tc>
          <w:tcPr>
            <w:tcW w:w="220" w:type="dxa"/>
            <w:vAlign w:val="bottom"/>
          </w:tcPr>
          <w:p>
            <w:pPr>
              <w:jc w:val="right"/>
              <w:spacing w:after="0"/>
              <w:rPr>
                <w:sz w:val="20"/>
                <w:szCs w:val="20"/>
                <w:color w:val="auto"/>
              </w:rPr>
            </w:pPr>
            <w:r>
              <w:rPr>
                <w:rFonts w:ascii="Arial" w:cs="Arial" w:eastAsia="Arial" w:hAnsi="Arial"/>
                <w:sz w:val="16"/>
                <w:szCs w:val="16"/>
                <w:color w:val="auto"/>
                <w:w w:val="81"/>
              </w:rPr>
              <w:t>(2)</w:t>
            </w:r>
          </w:p>
        </w:tc>
        <w:tc>
          <w:tcPr>
            <w:tcW w:w="1740" w:type="dxa"/>
            <w:vAlign w:val="bottom"/>
            <w:gridSpan w:val="2"/>
          </w:tcPr>
          <w:p>
            <w:pPr>
              <w:jc w:val="right"/>
              <w:ind w:right="40"/>
              <w:spacing w:after="0"/>
              <w:rPr>
                <w:sz w:val="20"/>
                <w:szCs w:val="20"/>
                <w:color w:val="auto"/>
              </w:rPr>
            </w:pPr>
            <w:r>
              <w:rPr>
                <w:rFonts w:ascii="Arial" w:cs="Arial" w:eastAsia="Arial" w:hAnsi="Arial"/>
                <w:sz w:val="16"/>
                <w:szCs w:val="16"/>
                <w:color w:val="auto"/>
              </w:rPr>
              <w:t>1,359,020 (3)</w:t>
            </w:r>
          </w:p>
        </w:tc>
        <w:tc>
          <w:tcPr>
            <w:tcW w:w="0" w:type="dxa"/>
            <w:vAlign w:val="bottom"/>
          </w:tcPr>
          <w:p>
            <w:pPr>
              <w:spacing w:after="0"/>
              <w:rPr>
                <w:sz w:val="1"/>
                <w:szCs w:val="1"/>
                <w:color w:val="auto"/>
              </w:rPr>
            </w:pPr>
          </w:p>
        </w:tc>
      </w:tr>
      <w:tr>
        <w:trPr>
          <w:trHeight w:val="203"/>
        </w:trPr>
        <w:tc>
          <w:tcPr>
            <w:tcW w:w="4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220" w:type="dxa"/>
            <w:vAlign w:val="bottom"/>
            <w:gridSpan w:val="3"/>
          </w:tcPr>
          <w:p>
            <w:pPr>
              <w:ind w:left="220"/>
              <w:spacing w:after="0"/>
              <w:rPr>
                <w:sz w:val="20"/>
                <w:szCs w:val="20"/>
                <w:color w:val="auto"/>
              </w:rPr>
            </w:pPr>
            <w:r>
              <w:rPr>
                <w:rFonts w:ascii="Arial" w:cs="Arial" w:eastAsia="Arial" w:hAnsi="Arial"/>
                <w:sz w:val="16"/>
                <w:szCs w:val="16"/>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950,864</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2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1,359,020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300" w:hanging="331"/>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addition to 173,128 shares subject to outstanding stock option awards, this also includes 417,693 shares subject to unvested restricted stock unit awards and 360,043 shares subject to unvested Performance Share awards.</w:t>
      </w:r>
    </w:p>
    <w:p>
      <w:pPr>
        <w:ind w:left="340" w:right="480" w:hanging="331"/>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restricted stock unit and Performance Share awards do not have exercise prices, the weighted average exercise price is computed using only outstanding stock option awards.</w:t>
      </w:r>
    </w:p>
    <w:p>
      <w:pPr>
        <w:ind w:left="340" w:hanging="33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shares are available for issuance under the Company’s 2016 Incentive Compensation Plan.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comparative selected financial data of the Company is presented for each of the five years in the period ended December 31, 2019. The information should be read in conjunction with Item 8, “Financial Statements and Supplementary Data,” and Item 7, “Management’s Discussion and Analysis of Financial Condition and Results of Operations”. All fiscal years include 52 weeks, except for the year ended December 31, 2016 which includes 53 weeks: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Revenue: (1)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1,666.6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1,641.3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1,571.8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1,541.1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1,498.0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2,203.1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2,222.8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2,046.9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1,941.6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1,884.9</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Operating and Net Income: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Ocean Transportation (2)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 (expense), net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Identifiable Assets: (1)(6)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Ocean Transportation (4)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2,424.5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1,941.5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1,605.1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2,845.4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2,430.4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2,251.6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2,019.6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1,673.9</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 (5)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305.3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gridSpan w:val="2"/>
          </w:tcPr>
          <w:p>
            <w:pPr>
              <w:spacing w:after="0"/>
              <w:rPr>
                <w:sz w:val="20"/>
                <w:szCs w:val="20"/>
                <w:color w:val="auto"/>
              </w:rPr>
            </w:pPr>
            <w:r>
              <w:rPr>
                <w:rFonts w:ascii="Arial" w:cs="Arial" w:eastAsia="Arial" w:hAnsi="Arial"/>
                <w:sz w:val="16"/>
                <w:szCs w:val="16"/>
                <w:color w:val="auto"/>
              </w:rPr>
              <w:t>Total Capital Expenditures</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Ocean Transportation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Deferred Dry-docking Amortization — Ocean Transportation</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Depreciation and Amortization</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in Net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5.38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per share declared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As of December 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Total debt obligations — including current portion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958.4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857.1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738.9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Shareholders'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80" w:type="dxa"/>
            <w:vAlign w:val="bottom"/>
          </w:tcPr>
          <w:p>
            <w:pPr>
              <w:ind w:left="200"/>
              <w:spacing w:after="0"/>
              <w:rPr>
                <w:sz w:val="20"/>
                <w:szCs w:val="20"/>
                <w:color w:val="auto"/>
              </w:rPr>
            </w:pPr>
            <w:r>
              <w:rPr>
                <w:rFonts w:ascii="Arial" w:cs="Arial" w:eastAsia="Arial" w:hAnsi="Arial"/>
                <w:sz w:val="16"/>
                <w:szCs w:val="16"/>
                <w:color w:val="auto"/>
              </w:rPr>
              <w:t>Shares outstanding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4408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78" w:lineRule="exact"/>
        <w:rPr>
          <w:sz w:val="20"/>
          <w:szCs w:val="20"/>
          <w:color w:val="auto"/>
        </w:rPr>
      </w:pPr>
    </w:p>
    <w:p>
      <w:pPr>
        <w:ind w:left="340" w:hanging="331"/>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2"/>
          <w:szCs w:val="12"/>
          <w:color w:val="auto"/>
        </w:rPr>
        <w:t>2015 and subsequent selected financial data includes the operations of Horizon acquired as of May 29, 2015, and Span Alaska acquired as of August 4, 2016.</w:t>
      </w:r>
    </w:p>
    <w:p>
      <w:pPr>
        <w:spacing w:after="0" w:line="9" w:lineRule="exact"/>
        <w:rPr>
          <w:rFonts w:ascii="Arial" w:cs="Arial" w:eastAsia="Arial" w:hAnsi="Arial"/>
          <w:sz w:val="13"/>
          <w:szCs w:val="13"/>
          <w:color w:val="auto"/>
        </w:rPr>
      </w:pPr>
    </w:p>
    <w:p>
      <w:pPr>
        <w:ind w:left="340" w:right="560" w:hanging="331"/>
        <w:spacing w:after="0" w:line="20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Ocean Transportation segment includes $20.8 million, $36.8 million, $28.2 million, $15.8 million and $16.5 million of equity in income from the Company’s investment in SSAT, for 2019, 2018, 2017, 2016 and 2015, respectively.</w:t>
      </w:r>
    </w:p>
    <w:p>
      <w:pPr>
        <w:spacing w:after="0" w:line="1" w:lineRule="exact"/>
        <w:rPr>
          <w:rFonts w:ascii="Arial" w:cs="Arial" w:eastAsia="Arial" w:hAnsi="Arial"/>
          <w:sz w:val="14"/>
          <w:szCs w:val="14"/>
          <w:color w:val="auto"/>
        </w:rPr>
      </w:pPr>
    </w:p>
    <w:p>
      <w:pPr>
        <w:ind w:left="340" w:right="40" w:hanging="331"/>
        <w:spacing w:after="0" w:line="21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3"/>
          <w:szCs w:val="13"/>
          <w:color w:val="auto"/>
        </w:rPr>
        <w:t>Income taxes for the years ended December 31, 2019, 2018 and 2017 include a non-cash income tax (expense)/benefit of $2.9 million, $(2.9) million and $154.0 million, respectively, related to the remeasurement of the Company’s deferred assets and liabilities and other discrete adjustments as a result of applying the Tax Cut and Jobs Act of 2017.</w:t>
      </w:r>
    </w:p>
    <w:p>
      <w:pPr>
        <w:ind w:left="340" w:right="40" w:hanging="331"/>
        <w:spacing w:after="0" w:line="20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Ocean Transportation segment includes $76.2 million, $87.0 million, $93.2 million, $82.4 million and $66.4 million related to the Company’s investment in SSAT as of December 31, 2019, 2018, 2017, 2016 and 2015, respectively.</w:t>
      </w:r>
    </w:p>
    <w:p>
      <w:pPr>
        <w:spacing w:after="0" w:line="1" w:lineRule="exact"/>
        <w:rPr>
          <w:rFonts w:ascii="Arial" w:cs="Arial" w:eastAsia="Arial" w:hAnsi="Arial"/>
          <w:sz w:val="14"/>
          <w:szCs w:val="14"/>
          <w:color w:val="auto"/>
        </w:rPr>
      </w:pPr>
    </w:p>
    <w:p>
      <w:pPr>
        <w:ind w:left="340" w:right="320" w:hanging="331"/>
        <w:spacing w:after="0" w:line="20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3"/>
          <w:szCs w:val="13"/>
          <w:color w:val="auto"/>
        </w:rPr>
        <w:t>Excludes expenditures related to Matson’s acquisition of Horizon and Span Alaska which were classified as payments for acquisitions in Cash Flows used in Investing Activities within the Consolidated Statements of Cash Flows.</w:t>
      </w:r>
    </w:p>
    <w:p>
      <w:pPr>
        <w:spacing w:after="0" w:line="1" w:lineRule="exact"/>
        <w:rPr>
          <w:rFonts w:ascii="Arial" w:cs="Arial" w:eastAsia="Arial" w:hAnsi="Arial"/>
          <w:sz w:val="14"/>
          <w:szCs w:val="14"/>
          <w:color w:val="auto"/>
        </w:rPr>
      </w:pPr>
    </w:p>
    <w:p>
      <w:pPr>
        <w:ind w:left="340" w:hanging="331"/>
        <w:spacing w:after="0" w:line="224"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3"/>
          <w:szCs w:val="13"/>
          <w:color w:val="auto"/>
        </w:rPr>
        <w:t>Identifiable assets for 2019 includes Operating lease right of use assets resulting from the adoption of the new lease accounting standard.</w:t>
      </w:r>
    </w:p>
    <w:p>
      <w:pPr>
        <w:sectPr>
          <w:pgSz w:w="11900" w:h="16838" w:orient="portrait"/>
          <w:cols w:equalWidth="0" w:num="1">
            <w:col w:w="9060"/>
          </w:cols>
          <w:pgMar w:left="1420" w:top="517" w:right="141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9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ind w:right="79"/>
        <w:spacing w:after="0" w:line="283" w:lineRule="auto"/>
        <w:rPr>
          <w:sz w:val="20"/>
          <w:szCs w:val="20"/>
          <w:color w:val="auto"/>
        </w:rPr>
      </w:pPr>
      <w:r>
        <w:rPr>
          <w:rFonts w:ascii="Arial" w:cs="Arial" w:eastAsia="Arial" w:hAnsi="Arial"/>
          <w:sz w:val="16"/>
          <w:szCs w:val="16"/>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2020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w:t>
      </w:r>
    </w:p>
    <w:p>
      <w:pPr>
        <w:spacing w:after="0" w:line="3" w:lineRule="exact"/>
        <w:rPr>
          <w:sz w:val="20"/>
          <w:szCs w:val="20"/>
          <w:color w:val="auto"/>
        </w:rPr>
      </w:pPr>
    </w:p>
    <w:p>
      <w:pPr>
        <w:ind w:right="39"/>
        <w:spacing w:after="0" w:line="254" w:lineRule="auto"/>
        <w:rPr>
          <w:sz w:val="20"/>
          <w:szCs w:val="20"/>
          <w:color w:val="auto"/>
        </w:rPr>
      </w:pPr>
      <w:r>
        <w:rPr>
          <w:rFonts w:ascii="Arial" w:cs="Arial" w:eastAsia="Arial" w:hAnsi="Arial"/>
          <w:sz w:val="18"/>
          <w:szCs w:val="18"/>
          <w:color w:val="auto"/>
        </w:rPr>
        <w:t>Part I, Item 1A under the caption of “Risk Factors” of this Form 10-K, which section is incorporated herein by 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59"/>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Discussion and analysis of the financial condition and results of operations of Matson for the years ended December </w:t>
      </w:r>
      <w:hyperlink r:id="rId41">
        <w:r>
          <w:rPr>
            <w:rFonts w:ascii="Arial" w:cs="Arial" w:eastAsia="Arial" w:hAnsi="Arial"/>
            <w:sz w:val="17"/>
            <w:szCs w:val="17"/>
            <w:color w:val="auto"/>
          </w:rPr>
          <w:t xml:space="preserve">31, 2018 and 2017 can be found in Part II, Item 7 of the Company’s </w:t>
        </w:r>
        <w:r>
          <w:rPr>
            <w:rFonts w:ascii="Arial" w:cs="Arial" w:eastAsia="Arial" w:hAnsi="Arial"/>
            <w:sz w:val="17"/>
            <w:szCs w:val="17"/>
            <w:u w:val="single" w:color="auto"/>
            <w:color w:val="0000EE"/>
          </w:rPr>
          <w:t>Annual Report on Form 10-K for the year ended</w:t>
        </w:r>
      </w:hyperlink>
      <w:r>
        <w:rPr>
          <w:rFonts w:ascii="Arial" w:cs="Arial" w:eastAsia="Arial" w:hAnsi="Arial"/>
          <w:sz w:val="17"/>
          <w:szCs w:val="17"/>
          <w:color w:val="auto"/>
        </w:rPr>
        <w:t xml:space="preserve"> </w:t>
      </w:r>
      <w:hyperlink r:id="rId41">
        <w:r>
          <w:rPr>
            <w:rFonts w:ascii="Arial" w:cs="Arial" w:eastAsia="Arial" w:hAnsi="Arial"/>
            <w:sz w:val="17"/>
            <w:szCs w:val="17"/>
            <w:u w:val="single" w:color="auto"/>
            <w:color w:val="0000EE"/>
          </w:rPr>
          <w:t>December 31, 2018</w:t>
        </w:r>
        <w:r>
          <w:rPr>
            <w:rFonts w:ascii="Arial" w:cs="Arial" w:eastAsia="Arial" w:hAnsi="Arial"/>
            <w:sz w:val="17"/>
            <w:szCs w:val="17"/>
            <w:color w:val="000000"/>
          </w:rPr>
          <w:t>, filed with the SEC on March 4, 2019.</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MD&amp;A is presented in the following sections: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Outlook</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Results of Operations</w:t>
      </w:r>
    </w:p>
    <w:p>
      <w:pPr>
        <w:spacing w:after="0" w:line="9" w:lineRule="exact"/>
        <w:rPr>
          <w:sz w:val="20"/>
          <w:szCs w:val="20"/>
          <w:color w:val="auto"/>
        </w:rPr>
      </w:pPr>
    </w:p>
    <w:p>
      <w:pPr>
        <w:ind w:left="680" w:right="4299"/>
        <w:spacing w:after="0" w:line="250" w:lineRule="auto"/>
        <w:rPr>
          <w:sz w:val="20"/>
          <w:szCs w:val="20"/>
          <w:color w:val="auto"/>
        </w:rPr>
      </w:pPr>
      <w:r>
        <w:rPr>
          <w:rFonts w:ascii="Arial" w:cs="Arial" w:eastAsia="Arial" w:hAnsi="Arial"/>
          <w:sz w:val="18"/>
          <w:szCs w:val="18"/>
          <w:color w:val="auto"/>
        </w:rPr>
        <w:t>Analysis of Operating Revenue and Income by Segment Liquidity and Capital Resources</w:t>
      </w:r>
    </w:p>
    <w:p>
      <w:pPr>
        <w:ind w:left="680" w:right="1659"/>
        <w:spacing w:after="0" w:line="250" w:lineRule="auto"/>
        <w:rPr>
          <w:sz w:val="20"/>
          <w:szCs w:val="20"/>
          <w:color w:val="auto"/>
        </w:rPr>
      </w:pPr>
      <w:r>
        <w:rPr>
          <w:rFonts w:ascii="Arial" w:cs="Arial" w:eastAsia="Arial" w:hAnsi="Arial"/>
          <w:sz w:val="18"/>
          <w:szCs w:val="18"/>
          <w:color w:val="auto"/>
        </w:rPr>
        <w:t>Contractual Obligations, Commitments, Contingencies and Off-Balance Sheet Arrangements Critical Accounting Estimates</w:t>
      </w:r>
    </w:p>
    <w:p>
      <w:pPr>
        <w:ind w:left="360"/>
        <w:spacing w:after="0"/>
        <w:rPr>
          <w:sz w:val="20"/>
          <w:szCs w:val="20"/>
          <w:color w:val="auto"/>
        </w:rPr>
      </w:pPr>
      <w:r>
        <w:rPr>
          <w:rFonts w:ascii="Arial" w:cs="Arial" w:eastAsia="Arial" w:hAnsi="Arial"/>
          <w:sz w:val="18"/>
          <w:szCs w:val="18"/>
          <w:color w:val="auto"/>
        </w:rPr>
        <w:t>Other Matters</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fourth quarter 2019 discussion and 2020 outlook:</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The Company’s container volume in the Hawaii service in the fourth quarter 2019 was 1.1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higher year-over-year primarily due to positive container market growth. Although Hawaii’s rate of economic growth is expected to continue slowing, recent increases in key economic factors, such as construction activity and visitor traffic, are expected to support continued GDP growth. The Company expects volume in 2020 to be higher compared to the level achieved in 2019, reflecting favorable economic conditions in Hawaii and stable market share.</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China, the Company’s container volume in the fourth quarter 2019 was 4.3 percent higher year-over-year primarily due to larger vessel capacity deployed in the tradelane coupled with strong demand for Matson’s differentiated service. Matson continued to realize a sizeable rate premium in the fourth quarter 2019 and achieved average freight rates that were modestly lower than the exceptional level achieved in the fourth quarter 2018. In the fourth quarter of 2018, the Company experienced unusually strong performance as a result of the U.S.-China trade situation. For 2020, the Company expects to face challenging conditions in the first half of the year as a result of COVID-19, but expects the second half of the year to be comparable to the strong performance achieved in the second half of 2019. Therefore, the Company expects volume in 2020 to be modestly lower than the prior year and average freight rates in 2020 to approximate the levels achieved in 2019.</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Guam, the Company’s container volume in the fourth quarter 2019 was 7.7 percent lower on a year-over-year basis primarily due to typhoon relief volume in the year ago period. For 2020, the Company expects volume to approximate the level achieved last year and expects the highly competitive environment to remain.</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Alaska, the Company’s container volume for the fourth quarter 2019 declined 0.7 percent year-over-year. The Company experienced slightly lower northbound volume and modestly higher southbound volume compared to the levels achieved in fourth quarter 2018. For 2020, the Company expects volume to be modestly higher than the level achieved in 2019, with higher northbound volume, including volume in the first quarter related to the dry-docking of a competitor’s vessel, and slightly lower southbound volume compared to the levels achieved in 2019.</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contribution in the fourth quarter 2019 from the Company’s SSAT joint venture investment was $5.0 million lower than the fourth quarter 2018. The decrease was primarily due to higher terminal operating costs and lower lift volume. For 2020, the Company expects the contribution from SSAT to be lower due to lower lift volume primarily driven by the negative effects of COVID-19, partially offset by improved operating cost efficiencies.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business outlook noted above, the Company expects full year 2020 Ocean Transportation operating income to be higher than the $90.8 million achieved in 2019. In the first quarter 2020, the Company expects Ocean Transportation operating income to be approximately breakeven versus the $9.4 million achieved in the year ago period. The vast majority of the estimated $15 million COVID-19 financial impact is factored into the Ocean Transportation operating income outlook for the first quarter 2020.</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fourth quarter 2019, operating income for the Company’s Logistics segment was $1.5 million lower</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operating income achieved in the fourth quarter 2018. For 2020, the Company expects Logistics operating income to be lower than the level achieved in 2019 of $38.3 million. In the first quarter 2020, the Company expects Logistics operating income to be lower than the $8.1 million achieved in the first quarter 2019. The full year 2020 and first quarter 2020 operating income outlook includes a modest negative financial impact from COVID-19.</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2020,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$135 million, inclusive of dry-docking amortization of approximately $25 million.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Company expects full year 2020 other income (expense) to be approximately $2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which is attributable to other component costs related to the Company’s pension and post-retirement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2020 to be approximately $33 million.</w:t>
      </w:r>
    </w:p>
    <w:p>
      <w:pPr>
        <w:sectPr>
          <w:pgSz w:w="11900" w:h="16838" w:orient="portrait"/>
          <w:cols w:equalWidth="0" w:num="1">
            <w:col w:w="9040"/>
          </w:cols>
          <w:pgMar w:left="1420" w:top="517" w:right="14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the fourth quarter 2019, the Company’s effective tax rate was 22.4 percent. For the full year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its effective tax rate to be approximately 26.0 percent.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Net Income, Operating Income and EBITDA: </w:t>
      </w:r>
      <w:r>
        <w:rPr>
          <w:rFonts w:ascii="Arial" w:cs="Arial" w:eastAsia="Arial" w:hAnsi="Arial"/>
          <w:sz w:val="18"/>
          <w:szCs w:val="18"/>
          <w:color w:val="auto"/>
        </w:rPr>
        <w:t>The Company expects net income in 2020 to be flat year-over-year and expects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operating income and EBITDA in 2020 to be approximately $143 million and $280 million, respectively, including approximately $15 million negative impact from COVID-19.</w:t>
      </w:r>
    </w:p>
    <w:p>
      <w:pPr>
        <w:spacing w:after="0" w:line="18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i w:val="1"/>
          <w:iCs w:val="1"/>
          <w:color w:val="auto"/>
        </w:rPr>
        <w:t xml:space="preserve">Capital and Vessel Dry-docking Expenditures: </w:t>
      </w:r>
      <w:r>
        <w:rPr>
          <w:rFonts w:ascii="Arial" w:cs="Arial" w:eastAsia="Arial" w:hAnsi="Arial"/>
          <w:sz w:val="16"/>
          <w:szCs w:val="16"/>
          <w:color w:val="auto"/>
        </w:rPr>
        <w:t>For the full year 2019, the Company made other capital expenditure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of $91.2 million, capitalized vessel construction expenditures of $219.1 million, and dry-docking payments of $25.9 million. For the full year 2020, the Company expects to make other capital expenditure payments, including maintenance capital expenditures, of approximately $110 million, vessel construction expenditures (including capitalized interest and owner’s items) of approximately $75 million, and dry-docking payments of approximately $15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analysis of the financial condition and results of operations of Matson for the years ended December 31, 2019 and 2018 should be read in conjunction with the Consolidated Financial Statements in Item 8 of Part II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2019 compared with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2,203.1</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(19.7)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(2,074.0)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(2,059.0)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20.3 %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w:t>
            </w:r>
          </w:p>
        </w:tc>
        <w:tc>
          <w:tcPr>
            <w:tcW w:w="1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8"/>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(35.1)%</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(26.3)</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w:t>
            </w:r>
            <w:r>
              <w:rPr>
                <w:rFonts w:ascii="Arial" w:cs="Arial" w:eastAsia="Arial" w:hAnsi="Arial"/>
                <w:sz w:val="18"/>
                <w:szCs w:val="18"/>
                <w:u w:val="single" w:color="auto"/>
                <w:color w:val="auto"/>
                <w:w w:val="89"/>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c>
          <w:tcPr>
            <w:tcW w:w="1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(0.62)</w:t>
            </w:r>
          </w:p>
        </w:tc>
        <w:tc>
          <w:tcPr>
            <w:tcW w:w="20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(0.62)</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8"/>
              </w:rPr>
              <w:t>(24.5)%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years ended December 31, 2019 and 2018 include 52 weeks.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2019 decreased $19.7 million, or 0.9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decrease was due to an increase in Ocean Transportation revenue of $25.3 million offset by a decrease in Logistics revenue of $45.0 million.</w:t>
      </w:r>
    </w:p>
    <w:p>
      <w:pPr>
        <w:spacing w:after="0" w:line="18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for the year ended December 31, 2019 increased $15.0 million, or 0.7 percent,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increase was due to an increase in Ocean Transportation operating costs and expenses of $65.6 million which was partially offset by a decrease in Logistics operating costs and expenses of $50.6 million.</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for the year ended December 31, 2019 decreased $34.7 million, or 21.2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was due to a decrease in Ocean Transportation operating income of $40.3 million which was partially offset by an increase in Logistics operating income of $5.6 million.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$22.5 million for the year ended December 31, 2019, compared to $18.7 million in the prior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higher interest on increased borrowings under the revolving credit facility and a lower offset amount of capitalized interest associated with the new vessel construction.</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was $1.2 million for the year ended December 31, 2019, compared to $2.6 million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and relates to the amortization of certain components of net periodic benefit costs or gains related to the Company’s pension and post-retirement plans.</w:t>
      </w:r>
    </w:p>
    <w:p>
      <w:pPr>
        <w:sectPr>
          <w:pgSz w:w="11900" w:h="16838" w:orient="portrait"/>
          <w:cols w:equalWidth="0" w:num="1">
            <w:col w:w="9060"/>
          </w:cols>
          <w:pgMar w:left="1420" w:top="517" w:right="1419" w:bottom="1440" w:gutter="0" w:footer="0" w:header="0"/>
        </w:sect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775335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for the year ended December 31, 2019 was $25.1 million, or 23.3 percent of income before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$38.7 million, or 26.2 percent of income before income taxes in the prior year. The 2019 income tax rate is lower than the 2018 income tax rate primarily due to $2.9 million, or 2.7 percent of non-cash benefit included in income tax expense in 2019, compared to a $2.9 million, or 2.0 percent of non-cash expense included in income tax expense in 2018 related to discrete tax adjustments resulting from applying the Tax Cuts and Jobs Act of 2017 (the “Tax 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2019 decreased $26.3 million, or 24.1 percent, compared to the prior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analysis of operating revenue and income by segment for the years ended December 31, 2019 and 2018 should be read in conjunction with the Company’s reportable segments information included in Item 6 of Part II and Note 3 to the Consolidated Financial Statements in Item 8 of 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2019 compared with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(1,575.8)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(1,510.2)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340" w:right="300" w:hanging="331"/>
        <w:spacing w:after="0" w:line="248"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40" w:hanging="331"/>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Ocean Transportation revenue increased $25.3 million, or 1.5 percent, during the year ended December 31, 2019, compared with the year ended December 31, 2018. The increase was primarily due to higher freight revenue in Alaska, higher freight rates in Hawaii, and higher revenue in China, partially offset by lower container volume in Hawaii and lower fuel-related surcharge revenue.</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a year-over-year FEU basis, Hawaii container volume decreased 1.4 percent primarily due to negative container market growth and weather-related impacts in the first quarter of 2019; Alaska volume increased by 0.4 percent primarily due to higher northbound volume, partially offset by northbound volume related to the dry-docking of a competitor’s vessel in the year ago period and lower southbound volume; China volume was 3.9 percent higher primarily due to stronger volume post Lunar New Year; Guam volume was 1.5 percent lower primarily due to typhoon relief volume in fourth quarter 2018; and Other containers volume increased 3.7 percent.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Ocean Transportation operating income decreased $40.3 million, or 30.7 percent, during the year ended December 31, 2019, compared with the year ended December 31, 2018. The decrease was primarily due to higher terminal handling costs, higher vessel operating costs (including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lease expense), and a lower contribution from SSAT, partially offset by a higher contribution from the Alaska service.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SSAT terminal joint venture investment contributed $20.8 million during the year ended December 31, 2019, compared to a contribution of $36.8 million during the year ended December 31, 2018. The decrease was primarily due to higher terminal operating costs and the absence of favorable one-time items in the year ago period, partially offset by higher lift volume.</w:t>
      </w:r>
    </w:p>
    <w:p>
      <w:pPr>
        <w:sectPr>
          <w:pgSz w:w="11900" w:h="16838" w:orient="portrait"/>
          <w:cols w:equalWidth="0" w:num="1">
            <w:col w:w="9060"/>
          </w:cols>
          <w:pgMar w:left="1420" w:top="517" w:right="141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775335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2019 compared with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254"/>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(548.8)</w:t>
            </w:r>
          </w:p>
        </w:tc>
        <w:tc>
          <w:tcPr>
            <w:tcW w:w="16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50.6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(9.2)%</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5.6</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Logistics revenue decreased $45.0 million, or 7.7 percent, during the year ended December 31, 2019, compared with the year ended December 31, 2018. The decrease was primarily due to lower transportation brokerage revenue, partially offset by higher freight forwarding revenue.</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Logistics operating income increased $5.6 million, or 17.1 percent, for the year ended December 31, 2019, compared with the year ended December 31, 2018. The increase was due primarily to higher contributions from freight forwarding and transportation brokerage.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Sources of liquidity available to the Company at December 31, 2019 compared to December 31, 2018, were as follows:</w:t>
      </w:r>
    </w:p>
    <w:p>
      <w:pPr>
        <w:spacing w:after="0" w:line="23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i w:val="1"/>
          <w:iCs w:val="1"/>
          <w:color w:val="auto"/>
        </w:rPr>
        <w:t>Cash and Cash Equivalents, Restricted Cash and Accounts Receivable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restricted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net, as of December 31, 2019 and 2018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Eligible accounts receivable of $1.7 million and $1.0 million at December 31, 2019 and 2018, respectively, were assigned to the CCF.</w:t>
      </w:r>
    </w:p>
    <w:p>
      <w:pPr>
        <w:spacing w:after="0" w:line="2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Changes in the Company’s cash, cash equivalents and restricted cash for the years ended December 31, 2019, 2018 and 2017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3"/>
              </w:rPr>
              <w:t>As of December 31,</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2019-2018</w:t>
            </w: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2018-2017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 (1)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 (2)</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(306.9)</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(260.3)</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(276.9)</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 (3)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(97.9)</w:t>
            </w:r>
          </w:p>
        </w:tc>
        <w:tc>
          <w:tcPr>
            <w:tcW w:w="0" w:type="dxa"/>
            <w:vAlign w:val="bottom"/>
          </w:tcPr>
          <w:p>
            <w:pPr>
              <w:spacing w:after="0"/>
              <w:rPr>
                <w:sz w:val="1"/>
                <w:szCs w:val="1"/>
                <w:color w:val="auto"/>
              </w:rPr>
            </w:pPr>
          </w:p>
        </w:tc>
      </w:tr>
      <w:tr>
        <w:trPr>
          <w:trHeight w:val="196"/>
        </w:trPr>
        <w:tc>
          <w:tcPr>
            <w:tcW w:w="5180" w:type="dxa"/>
            <w:vAlign w:val="bottom"/>
            <w:gridSpan w:val="2"/>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8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end of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right="36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Provided by Operating Activities: </w:t>
      </w:r>
      <w:r>
        <w:rPr>
          <w:rFonts w:ascii="Arial" w:cs="Arial" w:eastAsia="Arial" w:hAnsi="Arial"/>
          <w:sz w:val="18"/>
          <w:szCs w:val="18"/>
          <w:color w:val="auto"/>
        </w:rPr>
        <w:t>Changes in net cash provided by operating activities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2019, 2018 and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5"/>
              </w:rPr>
              <w:t>2018-2017</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operating lease right of use assets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Other non-cash related changes, net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and distributions from SSAT, net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Accounts payable, accruals and other liabilities</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71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change in deferred income taxes is primarily related to the remeasurement of the Company’s deferred assets and liabilities, and other discrete tax adjustments resulting from applying the Tax Act as of December 31, 2017. The change in amortization of operating lease right of use assets and operating lease liabilities relates to the adoption of the new lease accounting standard during the year ended December 31, 2019. The Company’s share of income from SSAT was $20.8 million during the year ended December 31, 2019, compared to $36.8 million in the prior year, while distributions from SSAT was $25.2 million during the year ended December 31, 2019, compared to $42.0 million of distributions received in the prior year. Deferred dry-docking payments were $25.9 million for the year ended December 31, 2019, compared to $19.2 million in the prior year. The increase in deferred dry-docking payments was due to an increase in vessel dry-docking activities during the year ended December 31, 2019, compared to the prior year. Changes in accounts receivable are due to the timing of collections as of December 31, 2019, compared to the prior year. Changes in prepaid expenses and other assets are due to the timing of prepaid income taxes, changes in the amount of insurance related receivables and changes in other prepaid amounts as of December 31, 2019, compared to the prior year. Changes in accounts payable, accruals and other liabilities for the year ended December 31, 2019, compared to the prior year are due to the timing of payments associated with those liabilities.</w:t>
      </w:r>
    </w:p>
    <w:p>
      <w:pPr>
        <w:spacing w:after="0" w:line="185" w:lineRule="exact"/>
        <w:rPr>
          <w:sz w:val="20"/>
          <w:szCs w:val="20"/>
          <w:color w:val="auto"/>
        </w:rPr>
      </w:pPr>
    </w:p>
    <w:p>
      <w:pPr>
        <w:ind w:left="340" w:right="220" w:hanging="331"/>
        <w:spacing w:after="0" w:line="25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Used in Investing Activities: </w:t>
      </w:r>
      <w:r>
        <w:rPr>
          <w:rFonts w:ascii="Arial" w:cs="Arial" w:eastAsia="Arial" w:hAnsi="Arial"/>
          <w:sz w:val="18"/>
          <w:szCs w:val="18"/>
          <w:color w:val="auto"/>
        </w:rPr>
        <w:t>Changes in net cash used in investing activities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2018 and 2017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2019-2018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2018-2017</w:t>
            </w: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Cash deposits into CCF</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Withdrawals from CCF</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(244.7)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Other capital expenditures</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Proceeds from sale of other investments</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Capitalized vessel construction expenditures (including capitalized interest and owners’ items) was $219.1 million for the year ended December 31, 2019, compared to $338.6 million in the prior year. The decrease in capitalized vessel construction expenditures (including cash deposited into the CCF less cash withdrawals from the CCF which are used for vessel construction related payments) is due to a reduction in progress payments related to the construction of new vessels. Other capital expenditures (excluding capitalized vessel construction expenditures) was $91.2 million for the year ended December 31, 2019, compared to $62.6 million for the prior year. The increase was primarily due to higher levels of capital expenditures related to the installation of scrubbers on vessels, the Hawaii Sand Island terminal expansion and modernization program, and the construction of the Anchorage Service Center during the year ended December 31, 2019, compared to the prior year. Proceeds from the disposal of property and equipment was $3.4 million for the year ended December 31, 2019, compared to $136.3 million for the prior year. Disposals of property and equipment during the year ended December 31, 2018 included net proceeds of approximately $106.0 million from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 and leaseback of a vessel, and $28.4 million from other container and equipment sale and leaseback transactions. There were no sale and leaseback transactions in 2019. Proceeds from the sale of other investments of $3.7 million for the year ended December 31, 2018 related to the surrender of life insurance policies. There were no sales of other investments during the year ended December 31, 2019.</w:t>
      </w:r>
    </w:p>
    <w:p>
      <w:pPr>
        <w:spacing w:after="0" w:line="187" w:lineRule="exact"/>
        <w:rPr>
          <w:sz w:val="20"/>
          <w:szCs w:val="20"/>
          <w:color w:val="auto"/>
        </w:rPr>
      </w:pPr>
    </w:p>
    <w:p>
      <w:pPr>
        <w:ind w:left="340" w:right="180" w:hanging="331"/>
        <w:spacing w:after="0" w:line="25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Provided by (Used in) Financing Activities: </w:t>
      </w:r>
      <w:r>
        <w:rPr>
          <w:rFonts w:ascii="Arial" w:cs="Arial" w:eastAsia="Arial" w:hAnsi="Arial"/>
          <w:sz w:val="18"/>
          <w:szCs w:val="18"/>
          <w:color w:val="auto"/>
        </w:rPr>
        <w:t>Changes in net cash provided by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the years ended December 31, 2019, 2018 and 2017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220" w:type="dxa"/>
            <w:vAlign w:val="bottom"/>
            <w:gridSpan w:val="2"/>
            <w:vMerge w:val="continue"/>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2018-2017</w:t>
            </w:r>
          </w:p>
        </w:tc>
        <w:tc>
          <w:tcPr>
            <w:tcW w:w="0" w:type="dxa"/>
            <w:vAlign w:val="bottom"/>
          </w:tcPr>
          <w:p>
            <w:pPr>
              <w:spacing w:after="0"/>
              <w:rPr>
                <w:sz w:val="1"/>
                <w:szCs w:val="1"/>
                <w:color w:val="auto"/>
              </w:rPr>
            </w:pPr>
          </w:p>
        </w:tc>
      </w:tr>
      <w:tr>
        <w:trPr>
          <w:trHeight w:val="210"/>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fixed interest debt and capital leases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Borrowings under revolving credit facility, net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other payments, net</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Repayments of fixed interest debt and capital leases increased to $42.1 million for the year ended December 31, 2019, compared to $30.7 million in the prior year due to scheduled fixed interest debt payments. Net borrowings from the Company’s revolving credit facility was $144.1 million for the year ended December 31, 2019, compared to $30.0 million in the prior year. The increase in borrowing under the revolving credit facility was primarily due to vessel construction payments and other capital expenditure. There was no repurchase of Matson stock during the years ended December 31, 2019 or 2018. During the year ended December 31, 2017, the Company repurchased $19.3 million of Matson stock. Dividends paid was $37.2 million for the year ended December 31, 2019, compared to $35.4 million for the year ended December 31,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December 31, 2019 and 2018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0"/>
              </w:rPr>
              <w:t>As of December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3"/>
              </w:rPr>
              <w:t>379.1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235.0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Fixed interest debt</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579.3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621.4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3"/>
              </w:rPr>
              <w:t>958.4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856.4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Total debt increased by $102.0 million during the year ended December 31, 2019, compared to the prior year. The increase in the Company’s revolving credit facility was primarily due to the funding of progress payments related to the construction of new vessels and other capital expenditure during the year ended December 31, 2019. The reduction in fixed interest debt was due to scheduled debt payments made during the year ended December 31, 2019.</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Company had $75.1 million of remaining availability under the revolving credit facility, with a maturity date of June 29, 2022. The Company’s debt is described in Note 8 to the Consolidated Financial Statements in Item 8 of Part II.</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The Company had working capital deficiency of $147.1 million at December 31, 2019,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working capital deficiency of $52.4 million at December 31, 2018. The increase in working capital deficiency at December 31, 2019 is partially due to the recording of the short-term portion of operating lease liabilities of $66.6 million as of December 31, 2019, in accordance with the adoption of the new lease accounting standard, and a $17.8 million decrease in accounts receivable. Working capital is impacted by the timing of collections associated with accounts receivable and other assets, and the timing of payments associated with accounts payable, accruals and other liabilities.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had the following estimated contractual obligations: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Payment Due By Period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2021-2022</w:t>
            </w:r>
          </w:p>
        </w:tc>
        <w:tc>
          <w:tcPr>
            <w:tcW w:w="7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89"/>
              </w:rPr>
              <w:t>2023-2024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Thereafter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Vessel construction obligations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Total debt obligations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301.1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 (3)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Vendor and other obligations (4)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Qualified defined benefit pension obligations (5)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Non-qualified pension obligations (5)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obligations (5)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Multi-employer withdrawal obligations (6)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282.3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686.9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1"/>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Vessel construction obligations represent contractual agreements entered into for the construction of new vessels.</w:t>
      </w:r>
    </w:p>
    <w:p>
      <w:pPr>
        <w:spacing w:after="0" w:line="28" w:lineRule="exact"/>
        <w:rPr>
          <w:rFonts w:ascii="Arial" w:cs="Arial" w:eastAsia="Arial" w:hAnsi="Arial"/>
          <w:sz w:val="14"/>
          <w:szCs w:val="14"/>
          <w:color w:val="auto"/>
        </w:rPr>
      </w:pPr>
    </w:p>
    <w:p>
      <w:pPr>
        <w:ind w:left="340" w:hanging="331"/>
        <w:spacing w:after="0" w:line="28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debt obligations include principal repayments of outstanding debt (see Note 8 to the Consolidated Financial Statements in Item 8 of Part II below, for additional information).</w:t>
      </w:r>
    </w:p>
    <w:p>
      <w:pPr>
        <w:spacing w:after="0" w:line="1" w:lineRule="exact"/>
        <w:rPr>
          <w:rFonts w:ascii="Arial" w:cs="Arial" w:eastAsia="Arial" w:hAnsi="Arial"/>
          <w:sz w:val="14"/>
          <w:szCs w:val="14"/>
          <w:color w:val="auto"/>
        </w:rPr>
      </w:pPr>
    </w:p>
    <w:p>
      <w:pPr>
        <w:ind w:left="340" w:right="160" w:hanging="331"/>
        <w:spacing w:after="0" w:line="276"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Estimated interest on debt is determined based on: (i) the stated interest rate for fixed debt, and (ii) the estimated variable interest on revolving credit facility assuming the balance at December 31, 2019 remains outstanding until maturity.</w:t>
      </w:r>
    </w:p>
    <w:p>
      <w:pPr>
        <w:spacing w:after="0" w:line="1" w:lineRule="exact"/>
        <w:rPr>
          <w:rFonts w:ascii="Arial" w:cs="Arial" w:eastAsia="Arial" w:hAnsi="Arial"/>
          <w:sz w:val="14"/>
          <w:szCs w:val="14"/>
          <w:color w:val="auto"/>
        </w:rPr>
      </w:pPr>
    </w:p>
    <w:p>
      <w:pPr>
        <w:jc w:val="both"/>
        <w:ind w:left="340" w:right="20" w:hanging="331"/>
        <w:spacing w:after="0" w:line="241"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Vendor and other obligations include: (i) non-cancellable contractual capital project obligations (excluding vessel construction obligations shown in (1) above); (ii) dry-docking related obligations; and (iii) other contractual obligations. Amounts are considered obligations if a contract has been agreed to specifying significant terms of the contract, and the amounts are not reflected in the Consolidated Balance Sheets.</w:t>
      </w:r>
    </w:p>
    <w:p>
      <w:pPr>
        <w:ind w:left="340" w:right="160" w:hanging="331"/>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Qualified defined benefit pension, non-qualified pension and post-retirement benefit obligations include estimated payments for the next ten years. The amounts noted in the column labeled “Thereafter” represent estimated benefit payments for 2025 through 2029 (see Note 11 to the Consolidated Financial Statements in Item 8 of Part II below, for additional information).</w:t>
      </w:r>
    </w:p>
    <w:p>
      <w:pPr>
        <w:ind w:left="340" w:hanging="331"/>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Multi-employer withdrawal obligations relate to the discounted liability associated with Horizon’s mass withdrawal from Puerto Rico’s multi-employer ILA-PRSSA and the partial withdrawal liability associated with the Local 153 Fund of the OPEIU (see Note 12 to the Consolidated Financial Statements in Item 8 of Part II below, for additional information).</w:t>
      </w:r>
    </w:p>
    <w:p>
      <w:pPr>
        <w:ind w:left="340" w:hanging="331"/>
        <w:spacing w:after="0" w:line="271"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Operating lease obligations primarily consist of real estate and terminal leases, vessel charter leases, operations equipment and other leases entered into under non-cancellable arrangements (see Note 9 to the Consolidated Financial Statements in Item 8 of Part II below, for additional information).</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Estimated timing and amount of payments related to unrecognized tax benefits of $16.4 million as of December 31, 2019 are excluded from the table due to the uncertainty of such timing and payments,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A description of other commitments and contingencies is set forth in Note 9, Note 11 and</w:t>
      </w:r>
      <w:r>
        <w:rPr>
          <w:rFonts w:ascii="Arial" w:cs="Arial" w:eastAsia="Arial" w:hAnsi="Arial"/>
          <w:sz w:val="16"/>
          <w:szCs w:val="16"/>
          <w:i w:val="1"/>
          <w:iCs w:val="1"/>
          <w:color w:val="auto"/>
        </w:rPr>
        <w:t xml:space="preserve"> </w:t>
      </w:r>
      <w:r>
        <w:rPr>
          <w:rFonts w:ascii="Arial" w:cs="Arial" w:eastAsia="Arial" w:hAnsi="Arial"/>
          <w:sz w:val="16"/>
          <w:szCs w:val="16"/>
          <w:color w:val="auto"/>
        </w:rPr>
        <w:t>Note 17 to the Consolidated Financial Statements in Item 8 of Part II below, and is incorporated herein by reference.</w:t>
      </w:r>
    </w:p>
    <w:p>
      <w:pPr>
        <w:spacing w:after="0" w:line="12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Except as described below, the Company is not party to any off-balance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have, or are reasonably likely to have, a current or future material effect on the Company’s financial condition, results of operations or cash flows.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Future minimum payments under operating leases are $314.3 million as of December 31, 2019. In addition, the Company provided a lessor with a maximum residual value guarantee related to the lease of a vessel. Additional information related to leases and the vessel lease guarantee is set forth in Note 9 to the Consolidated Financial Statements in Item 8 of Part II below, and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accounting estimates would have had a material impact on the financial condition or results of operations of the Company. The critical accounting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Long-Lived Assets, Intangible Assets and Goodwill: </w:t>
      </w:r>
      <w:r>
        <w:rPr>
          <w:rFonts w:ascii="Arial" w:cs="Arial" w:eastAsia="Arial" w:hAnsi="Arial"/>
          <w:sz w:val="18"/>
          <w:szCs w:val="18"/>
          <w:color w:val="auto"/>
        </w:rPr>
        <w:t>The Company evaluates its long-lived assets, intangible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Long-lived Assets and Finite-lived Intangible Assets: </w:t>
      </w:r>
      <w:r>
        <w:rPr>
          <w:rFonts w:ascii="Arial" w:cs="Arial" w:eastAsia="Arial" w:hAnsi="Arial"/>
          <w:sz w:val="17"/>
          <w:szCs w:val="17"/>
          <w:color w:val="auto"/>
        </w:rPr>
        <w:t>Long-lived assets and finite-lived intangible assets are grouped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2019, 2018 and 2017.</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Indefinite-life Intangible Assets and Goodwill: </w:t>
      </w:r>
      <w:r>
        <w:rPr>
          <w:rFonts w:ascii="Arial" w:cs="Arial" w:eastAsia="Arial" w:hAnsi="Arial"/>
          <w:sz w:val="16"/>
          <w:szCs w:val="16"/>
          <w:color w:val="auto"/>
        </w:rPr>
        <w:t>The Company’s intangible assets include goodwill, customer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a trade name, and are grouped at the lowest level reporting unit for which identifiable cash flows are available. In estimating the fair value of a reporting unit, the Company uses a combination of a discounted cash flow model and fair value based on market multiples of earnings before interest, income taxes, depreciation and amortization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2019, 2018 and 2017.</w:t>
      </w:r>
    </w:p>
    <w:p>
      <w:pPr>
        <w:sectPr>
          <w:pgSz w:w="11900" w:h="16838" w:orient="portrait"/>
          <w:cols w:equalWidth="0" w:num="1">
            <w:col w:w="9040"/>
          </w:cols>
          <w:pgMar w:left="1420" w:top="517" w:right="14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Uninsured Risks and Related Liabilities: </w:t>
      </w:r>
      <w:r>
        <w:rPr>
          <w:rFonts w:ascii="Arial" w:cs="Arial" w:eastAsia="Arial" w:hAnsi="Arial"/>
          <w:sz w:val="17"/>
          <w:szCs w:val="17"/>
          <w:color w:val="auto"/>
        </w:rPr>
        <w:t>The Company is uninsured for certain risks but when feasible, many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risks are 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such insurance or the perceived remoteness of the risk. In addition, the Company retains all risk of loss that exceeds the limits of the Company’s insurance policies.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When estimating its reserves for uninsured risks and related liabilities, the Company considers a number of factors, including historical claims experience, demographic factors, current trends, and analyses provided by independent third-parties. Periodically, management reviews its assumptions and estimates used to determine the adequacy of the Company’s reserves for uninsured risks and related liabilities. The Company’s uninsured risks and related liabilities contain uncertainties because management is required to apply judgment and make long-term assumptions to estimate the ultimate cost to settle reported claims, and of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Pension and Post-Retirement Plans: </w:t>
      </w:r>
      <w:r>
        <w:rPr>
          <w:rFonts w:ascii="Arial" w:cs="Arial" w:eastAsia="Arial" w:hAnsi="Arial"/>
          <w:sz w:val="17"/>
          <w:szCs w:val="17"/>
          <w:color w:val="auto"/>
        </w:rPr>
        <w:t>The estimation of the Company’s pension and post-retirement benefit expenses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spacing w:after="0" w:line="1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information about the Company’s pension and post-retirement plans and assumptions used is included in Note 11 to the Consolidated Financial Statements in Item 8 of Part II below.</w:t>
      </w:r>
    </w:p>
    <w:p>
      <w:pPr>
        <w:spacing w:after="0" w:line="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Company’s income tax expense requires the Company to make various estimates and judgments. These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liabilities are adjusted to the extent necessary to reflect tax rates expected to be in effect when the temporary differences reverse. Significant changes to these estimates may result in an increase or decrease to the Company’s income taxes in a subsequent period.</w:t>
      </w:r>
    </w:p>
    <w:p>
      <w:pPr>
        <w:spacing w:after="0" w:line="16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records a valuation allowance if, based on the weight of available evidence, management believes that it is more likely than not that some portion or all of a recorded deferred tax asset would not be realized in future periods.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information about the Company’s income taxes is included in Note 10 to the Consolidated Financial Statements in Item 8 of Part II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See Note 2 to the Consolidated Financial Statements in Item 8 of Part II below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on new accounting pronouncements.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 xml:space="preserve">Debt and Interest Rate Risks: </w:t>
      </w:r>
      <w:r>
        <w:rPr>
          <w:rFonts w:ascii="Arial" w:cs="Arial" w:eastAsia="Arial" w:hAnsi="Arial"/>
          <w:sz w:val="17"/>
          <w:szCs w:val="17"/>
          <w:color w:val="auto"/>
        </w:rPr>
        <w:t>The Company is exposed to changes in interest rates, primarily as a result of its borrowing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used to maintain liquidity and to fund business operations, including borrowings under its revolving credit facility and private placement term loans.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 The Company’s outstanding variable and fixed rate debt was $379.1 million and $579.3 million as of December 31, 2019, and $235.0 million and $621.4 million as of December 31, 2018, respectively.</w:t>
      </w:r>
    </w:p>
    <w:p>
      <w:pPr>
        <w:spacing w:after="0" w:line="16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 For variable rate debt, a 100 basis point increase in the variable interest rate would have an impact on the Company’s results of operations for 2019 of approximately $3.8 million, assuming the December 31, 2019 balance of the variable rate debt was outstanding throughout the year. This change is not expected to have a material impact on the fair value of the Company’s variable rate debt.</w:t>
      </w:r>
    </w:p>
    <w:p>
      <w:pPr>
        <w:spacing w:after="0" w:line="153"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Interest on borrowing from some of the Company’s debt is calculated based upon a London Interbank Offered Rate (“LIBOR”) benchmark interest rate measurement. It is anticipated that the use of LIBOR will be discontinued during the year ending 2021. The expected discontinuation of LIBOR will require the Company and its lenders to transition from a LIBOR measurement to an alternative benchmark interest rate. The transition from LIBOR to another benchmark rate or rates could have an adverse impact on the Company’s outstanding debt that currently use LIBOR as a benchmark rate, and ultimately, adversely affect the Company’s financial condition and results of operations.</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Additional information about the Company’s debt is included in Note 8 to the Consolidated Financial Statements in Item 8 of Part II below.</w:t>
      </w:r>
    </w:p>
    <w:p>
      <w:pPr>
        <w:spacing w:after="0" w:line="143"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i w:val="1"/>
          <w:iCs w:val="1"/>
          <w:color w:val="auto"/>
        </w:rPr>
        <w:t xml:space="preserve">Investment Risks: </w:t>
      </w:r>
      <w:r>
        <w:rPr>
          <w:rFonts w:ascii="Arial" w:cs="Arial" w:eastAsia="Arial" w:hAnsi="Arial"/>
          <w:sz w:val="18"/>
          <w:szCs w:val="18"/>
          <w:color w:val="auto"/>
        </w:rPr>
        <w:t>From time to time, the Company may invest its excess cash in short-term money market funds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government securities or corporate debt securities, or in other deposit products allowed under the Company’s Cash Investment Policy. These money market funds and deposits maintain a weighted average maturity of less than 90 days, and accordingly, a one percent change in interest rates is not expected to have a material impact on the fair value of these investments or on interest income. The Company had a nominal amount on deposit in money market funds as of December 31, 2019 and 2018.</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Through its Capital Construction Fund (“CCF”), the Company may, from time to time, invest in money market funds or other eligible investments. The Company’s cash deposits in the CCF as of December 31, 2019 and 2018 were nominal.</w:t>
      </w:r>
    </w:p>
    <w:p>
      <w:pPr>
        <w:spacing w:after="0" w:line="11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i w:val="1"/>
          <w:iCs w:val="1"/>
          <w:color w:val="auto"/>
        </w:rPr>
        <w:t xml:space="preserve">Foreign Currency Risks: </w:t>
      </w:r>
      <w:r>
        <w:rPr>
          <w:rFonts w:ascii="Arial" w:cs="Arial" w:eastAsia="Arial" w:hAnsi="Arial"/>
          <w:sz w:val="16"/>
          <w:szCs w:val="16"/>
          <w:color w:val="auto"/>
        </w:rPr>
        <w:t>The Company has no material exposure to foreign currency risks, although it is indirectly affected</w:t>
      </w:r>
      <w:r>
        <w:rPr>
          <w:rFonts w:ascii="Arial" w:cs="Arial" w:eastAsia="Arial" w:hAnsi="Arial"/>
          <w:sz w:val="16"/>
          <w:szCs w:val="16"/>
          <w:i w:val="1"/>
          <w:iCs w:val="1"/>
          <w:color w:val="auto"/>
        </w:rPr>
        <w:t xml:space="preserve"> </w:t>
      </w:r>
      <w:r>
        <w:rPr>
          <w:rFonts w:ascii="Arial" w:cs="Arial" w:eastAsia="Arial" w:hAnsi="Arial"/>
          <w:sz w:val="16"/>
          <w:szCs w:val="16"/>
          <w:color w:val="auto"/>
        </w:rPr>
        <w:t>by changes in currency rates to the extent that changes in rates affect tourism in Hawaii, Guam, Alaska and other locations. Transactions related to the Company’s China service are primarily denominated in U.S. dollars, and therefore, a one percent change in the Chinese Yuan exchange rate would not have a material effect on the Company’s results of operations.</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Transactions related to the Company’s South Pacific service are primarily denominated in New Zealand dollars. However,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180" w:type="dxa"/>
            <w:vAlign w:val="bottom"/>
            <w:gridSpan w:val="29"/>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Annual Report on Internal Control Over Financial Reporting</w:t>
              </w:r>
            </w:hyperlink>
          </w:p>
        </w:tc>
        <w:tc>
          <w:tcPr>
            <w:tcW w:w="90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8180" w:type="dxa"/>
            <w:vAlign w:val="bottom"/>
            <w:gridSpan w:val="29"/>
            <w:vMerge w:val="continue"/>
          </w:tcPr>
          <w:p>
            <w:pPr>
              <w:spacing w:after="0"/>
              <w:rPr>
                <w:sz w:val="13"/>
                <w:szCs w:val="13"/>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0000EE"/>
            </w:tcBorders>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2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Income and Comprehensive Income</w:t>
              </w:r>
            </w:hyperlink>
          </w:p>
        </w:tc>
        <w:tc>
          <w:tcPr>
            <w:tcW w:w="3540" w:type="dxa"/>
            <w:vAlign w:val="bottom"/>
            <w:gridSpan w:val="2"/>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Consolidated Balance Sheets</w:t>
              </w:r>
            </w:hyperlink>
          </w:p>
        </w:tc>
        <w:tc>
          <w:tcPr>
            <w:tcW w:w="6080" w:type="dxa"/>
            <w:vAlign w:val="bottom"/>
            <w:gridSpan w:val="17"/>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w:t>
              </w:r>
            </w:hyperlink>
          </w:p>
        </w:tc>
        <w:tc>
          <w:tcPr>
            <w:tcW w:w="5300" w:type="dxa"/>
            <w:vAlign w:val="bottom"/>
            <w:gridSpan w:val="11"/>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Consolidated Statements of Shareholders’ Equity</w:t>
              </w:r>
            </w:hyperlink>
          </w:p>
        </w:tc>
        <w:tc>
          <w:tcPr>
            <w:tcW w:w="4620" w:type="dxa"/>
            <w:vAlign w:val="bottom"/>
            <w:gridSpan w:val="4"/>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316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5020" w:type="dxa"/>
            <w:vAlign w:val="bottom"/>
            <w:gridSpan w:val="6"/>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the Business</w:t>
              </w:r>
            </w:hyperlink>
          </w:p>
        </w:tc>
        <w:tc>
          <w:tcPr>
            <w:tcW w:w="5680" w:type="dxa"/>
            <w:vAlign w:val="bottom"/>
            <w:gridSpan w:val="14"/>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Significant Accounting Policies</w:t>
              </w:r>
            </w:hyperlink>
          </w:p>
        </w:tc>
        <w:tc>
          <w:tcPr>
            <w:tcW w:w="5380" w:type="dxa"/>
            <w:vAlign w:val="bottom"/>
            <w:gridSpan w:val="12"/>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Reportable Segments</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Investment in SSAT</w:t>
              </w:r>
            </w:hyperlink>
          </w:p>
        </w:tc>
        <w:tc>
          <w:tcPr>
            <w:tcW w:w="80" w:type="dxa"/>
            <w:vAlign w:val="bottom"/>
            <w:tcBorders>
              <w:top w:val="single" w:sz="8" w:color="0000EE"/>
            </w:tcBorders>
            <w:gridSpan w:val="2"/>
          </w:tcPr>
          <w:p>
            <w:pPr>
              <w:spacing w:after="0"/>
              <w:rPr>
                <w:sz w:val="17"/>
                <w:szCs w:val="17"/>
                <w:color w:val="auto"/>
              </w:rPr>
            </w:pPr>
          </w:p>
        </w:tc>
        <w:tc>
          <w:tcPr>
            <w:tcW w:w="6140" w:type="dxa"/>
            <w:vAlign w:val="bottom"/>
            <w:gridSpan w:val="18"/>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Property and Equipment</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Goodwill and Intangible Assets</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Capital Construction Fund</w:t>
              </w:r>
            </w:hyperlink>
          </w:p>
        </w:tc>
        <w:tc>
          <w:tcPr>
            <w:tcW w:w="360" w:type="dxa"/>
            <w:vAlign w:val="bottom"/>
            <w:tcBorders>
              <w:top w:val="single" w:sz="8" w:color="0000EE"/>
            </w:tcBorders>
            <w:gridSpan w:val="2"/>
          </w:tcPr>
          <w:p>
            <w:pPr>
              <w:spacing w:after="0"/>
              <w:rPr>
                <w:sz w:val="17"/>
                <w:szCs w:val="17"/>
                <w:color w:val="auto"/>
              </w:rPr>
            </w:pPr>
          </w:p>
        </w:tc>
        <w:tc>
          <w:tcPr>
            <w:tcW w:w="5400" w:type="dxa"/>
            <w:vAlign w:val="bottom"/>
            <w:gridSpan w:val="13"/>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Debt</w:t>
              </w:r>
            </w:hyperlink>
          </w:p>
        </w:tc>
        <w:tc>
          <w:tcPr>
            <w:tcW w:w="7320" w:type="dxa"/>
            <w:vAlign w:val="bottom"/>
            <w:gridSpan w:val="24"/>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58">
              <w:r>
                <w:rPr>
                  <w:rFonts w:ascii="Arial" w:cs="Arial" w:eastAsia="Arial" w:hAnsi="Arial"/>
                  <w:sz w:val="18"/>
                  <w:szCs w:val="18"/>
                  <w:color w:val="0000EE"/>
                  <w:w w:val="82"/>
                </w:rPr>
                <w:t>Leases</w:t>
              </w:r>
            </w:hyperlink>
          </w:p>
        </w:tc>
        <w:tc>
          <w:tcPr>
            <w:tcW w:w="7180" w:type="dxa"/>
            <w:vAlign w:val="bottom"/>
            <w:gridSpan w:val="23"/>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10.</w:t>
              </w:r>
            </w:hyperlink>
          </w:p>
        </w:tc>
        <w:tc>
          <w:tcPr>
            <w:tcW w:w="26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Income Taxes</w:t>
              </w:r>
            </w:hyperlink>
          </w:p>
        </w:tc>
        <w:tc>
          <w:tcPr>
            <w:tcW w:w="6660" w:type="dxa"/>
            <w:vAlign w:val="bottom"/>
            <w:gridSpan w:val="22"/>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11.</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Pension and Post-Retirement Plans</w:t>
              </w:r>
            </w:hyperlink>
          </w:p>
        </w:tc>
        <w:tc>
          <w:tcPr>
            <w:tcW w:w="5140" w:type="dxa"/>
            <w:vAlign w:val="bottom"/>
            <w:gridSpan w:val="8"/>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12.</w:t>
              </w:r>
            </w:hyperlink>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Multi-Employer Withdrawal Liabilities</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13.</w:t>
              </w:r>
            </w:hyperlink>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Accumulated Other Comprehensive Income (Loss)</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14.</w:t>
              </w:r>
            </w:hyperlink>
          </w:p>
        </w:tc>
        <w:tc>
          <w:tcPr>
            <w:tcW w:w="260" w:type="dxa"/>
            <w:vAlign w:val="bottom"/>
          </w:tcPr>
          <w:p>
            <w:pPr>
              <w:spacing w:after="0"/>
              <w:rPr>
                <w:sz w:val="17"/>
                <w:szCs w:val="17"/>
                <w:color w:val="auto"/>
              </w:rPr>
            </w:pPr>
          </w:p>
        </w:tc>
        <w:tc>
          <w:tcPr>
            <w:tcW w:w="3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Earnings Per Share</w:t>
              </w:r>
            </w:hyperlink>
          </w:p>
        </w:tc>
        <w:tc>
          <w:tcPr>
            <w:tcW w:w="3960" w:type="dxa"/>
            <w:vAlign w:val="bottom"/>
            <w:gridSpan w:val="3"/>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15.</w:t>
              </w:r>
            </w:hyperlink>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Share-Based Awards</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16.</w:t>
              </w:r>
            </w:hyperlink>
          </w:p>
        </w:tc>
        <w:tc>
          <w:tcPr>
            <w:tcW w:w="260" w:type="dxa"/>
            <w:vAlign w:val="bottom"/>
          </w:tcPr>
          <w:p>
            <w:pPr>
              <w:spacing w:after="0"/>
              <w:rPr>
                <w:sz w:val="17"/>
                <w:szCs w:val="17"/>
                <w:color w:val="auto"/>
              </w:rPr>
            </w:pPr>
          </w:p>
        </w:tc>
        <w:tc>
          <w:tcPr>
            <w:tcW w:w="25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Fair Value of Financial Instruments</w:t>
              </w:r>
            </w:hyperlink>
          </w:p>
        </w:tc>
        <w:tc>
          <w:tcPr>
            <w:tcW w:w="5120" w:type="dxa"/>
            <w:vAlign w:val="bottom"/>
            <w:gridSpan w:val="7"/>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17.</w:t>
              </w:r>
            </w:hyperlink>
          </w:p>
        </w:tc>
        <w:tc>
          <w:tcPr>
            <w:tcW w:w="260" w:type="dxa"/>
            <w:vAlign w:val="bottom"/>
          </w:tcPr>
          <w:p>
            <w:pPr>
              <w:spacing w:after="0"/>
              <w:rPr>
                <w:sz w:val="17"/>
                <w:szCs w:val="17"/>
                <w:color w:val="auto"/>
              </w:rPr>
            </w:pPr>
          </w:p>
        </w:tc>
        <w:tc>
          <w:tcPr>
            <w:tcW w:w="768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Commitments and Contingencies</w:t>
              </w:r>
            </w:hyperlink>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1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18.</w:t>
              </w:r>
            </w:hyperlink>
          </w:p>
        </w:tc>
        <w:tc>
          <w:tcPr>
            <w:tcW w:w="260" w:type="dxa"/>
            <w:vAlign w:val="bottom"/>
          </w:tcPr>
          <w:p>
            <w:pPr>
              <w:spacing w:after="0"/>
              <w:rPr>
                <w:sz w:val="17"/>
                <w:szCs w:val="17"/>
                <w:color w:val="auto"/>
              </w:rPr>
            </w:pPr>
          </w:p>
        </w:tc>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Quarterly Information (Unaudited)</w:t>
              </w:r>
            </w:hyperlink>
          </w:p>
        </w:tc>
        <w:tc>
          <w:tcPr>
            <w:tcW w:w="5160" w:type="dxa"/>
            <w:vAlign w:val="bottom"/>
            <w:gridSpan w:val="9"/>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66"/>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24"/>
          </w:tcPr>
          <w:p>
            <w:pPr>
              <w:jc w:val="right"/>
              <w:ind w:right="20"/>
              <w:spacing w:after="0"/>
              <w:rPr>
                <w:sz w:val="20"/>
                <w:szCs w:val="20"/>
                <w:color w:val="auto"/>
              </w:rPr>
            </w:pPr>
            <w:r>
              <w:rPr>
                <w:rFonts w:ascii="Arial" w:cs="Arial" w:eastAsia="Arial" w:hAnsi="Arial"/>
                <w:sz w:val="18"/>
                <w:szCs w:val="18"/>
                <w:color w:val="auto"/>
              </w:rPr>
              <w:t>36</w:t>
            </w:r>
          </w:p>
        </w:tc>
        <w:tc>
          <w:tcPr>
            <w:tcW w:w="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78" w:lineRule="exact"/>
        <w:rPr>
          <w:sz w:val="20"/>
          <w:szCs w:val="20"/>
          <w:color w:val="auto"/>
        </w:rPr>
      </w:pPr>
    </w:p>
    <w:p>
      <w:pPr>
        <w:ind w:left="340" w:right="700" w:hanging="33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ind w:left="340" w:right="60" w:hanging="331"/>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340" w:right="80" w:hanging="33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believes that, as of December 31, 2019, the Company’s internal control over financial reporting is effective. The Company’s independent registered public accounting firm, Deloitte &amp; Touche LLP, has issued an attestation report on the Company’s internal control over financial reporting.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/s/ Matthew J. Cox</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 Joel M. Wine</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February 28, 2020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February 28, 2020</w:t>
            </w:r>
          </w:p>
        </w:tc>
      </w:tr>
      <w:tr>
        <w:trPr>
          <w:trHeight w:val="66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440" w:type="dxa"/>
            <w:vAlign w:val="bottom"/>
          </w:tcPr>
          <w:p>
            <w:pPr>
              <w:spacing w:after="0"/>
              <w:rPr>
                <w:sz w:val="24"/>
                <w:szCs w:val="24"/>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Shareholders of Matson,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 xml:space="preserve">We have audited the accompanying consolidated balance sheets of Matson, Inc. and subsidiaries (the </w:t>
      </w:r>
      <w:r>
        <w:rPr>
          <w:rFonts w:ascii="Arial" w:cs="Arial" w:eastAsia="Arial" w:hAnsi="Arial"/>
          <w:sz w:val="18"/>
          <w:szCs w:val="18"/>
          <w:color w:val="auto"/>
        </w:rPr>
        <w:t>“</w:t>
      </w:r>
      <w:r>
        <w:rPr>
          <w:rFonts w:ascii="Arial" w:cs="Arial" w:eastAsia="Arial" w:hAnsi="Arial"/>
          <w:sz w:val="17"/>
          <w:szCs w:val="17"/>
          <w:color w:val="auto"/>
        </w:rPr>
        <w:t xml:space="preserve">Company”) as of December 31, 2019 and 2018, the related consolidated statements of income and comprehensive income, shareholders' equity, and cash flows, for each of the three years in the period ended December 31, 2019, and the related notes (collectively referred to as the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184"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Principle</w:t>
      </w:r>
    </w:p>
    <w:p>
      <w:pPr>
        <w:spacing w:after="0" w:line="2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As discussed in Note 9 to the financial statements, effective January 1, 2019, the Company adopted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using the modified retrospective approach.</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79"/>
        <w:spacing w:after="0" w:line="28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7" w:lineRule="exact"/>
        <w:rPr>
          <w:sz w:val="20"/>
          <w:szCs w:val="20"/>
          <w:color w:val="auto"/>
        </w:rPr>
      </w:pPr>
    </w:p>
    <w:p>
      <w:pPr>
        <w:ind w:right="79"/>
        <w:spacing w:after="0" w:line="250"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 Span Alaska Reporting Unit — Refer to Notes 2 and 6 to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0" w:lineRule="exact"/>
        <w:rPr>
          <w:sz w:val="20"/>
          <w:szCs w:val="20"/>
          <w:color w:val="auto"/>
        </w:rPr>
      </w:pPr>
    </w:p>
    <w:p>
      <w:pPr>
        <w:ind w:right="139"/>
        <w:spacing w:after="0" w:line="268" w:lineRule="auto"/>
        <w:rPr>
          <w:sz w:val="20"/>
          <w:szCs w:val="20"/>
          <w:color w:val="auto"/>
        </w:rPr>
      </w:pPr>
      <w:r>
        <w:rPr>
          <w:rFonts w:ascii="Arial" w:cs="Arial" w:eastAsia="Arial" w:hAnsi="Arial"/>
          <w:sz w:val="16"/>
          <w:szCs w:val="16"/>
          <w:color w:val="auto"/>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EBITDA. The discounted cash flow approach requires the Company to make several business assumptions related to discount rates and forecasts of future revenues.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either the fair value, the amount of any goodwill impairment charge, or both. The goodwill balance was $327.8 million as of December 31, 2019, of which $78.6 million is allocated to a reporting unit in the Logistics reportable segment, resulting from the acquisition of Span Intermediate, LLC (“Span Alaska”) in fiscal year 2016. The Company has evaluated its goodwill for impairment as part of its annual assessment in fiscal year 2019 and determined that the fair value of the Span Alaska reporting unit exceeded the carrying amount as of the date of the impairment review.</w:t>
      </w:r>
    </w:p>
    <w:p>
      <w:pPr>
        <w:spacing w:after="0" w:line="171" w:lineRule="exact"/>
        <w:rPr>
          <w:sz w:val="20"/>
          <w:szCs w:val="20"/>
          <w:color w:val="auto"/>
        </w:rPr>
      </w:pPr>
    </w:p>
    <w:p>
      <w:pPr>
        <w:ind w:right="259"/>
        <w:spacing w:after="0" w:line="274" w:lineRule="auto"/>
        <w:rPr>
          <w:sz w:val="20"/>
          <w:szCs w:val="20"/>
          <w:color w:val="auto"/>
        </w:rPr>
      </w:pPr>
      <w:r>
        <w:rPr>
          <w:rFonts w:ascii="Arial" w:cs="Arial" w:eastAsia="Arial" w:hAnsi="Arial"/>
          <w:sz w:val="16"/>
          <w:szCs w:val="16"/>
          <w:color w:val="auto"/>
        </w:rPr>
        <w:t>We identified goodwill related to Span Alaska as a critical audit matter because of the significant estimates and assumptions management made to estimate the fair value of Span Alaska. Specifically, due to the sensitivity of Span Alaska’s operations to changes in the Alaskan economy, performing audit procedures to evaluate the reasonableness of management’s estimates and assumptions related to forecasts of future revenues and selection of the discount rate, required a high degree of auditor judgment and an increased extent of effort, including the need to involve our fair value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10" w:lineRule="exact"/>
        <w:rPr>
          <w:sz w:val="20"/>
          <w:szCs w:val="20"/>
          <w:color w:val="auto"/>
        </w:rPr>
      </w:pPr>
    </w:p>
    <w:p>
      <w:pPr>
        <w:ind w:right="219"/>
        <w:spacing w:after="0" w:line="274" w:lineRule="auto"/>
        <w:rPr>
          <w:sz w:val="20"/>
          <w:szCs w:val="20"/>
          <w:color w:val="auto"/>
        </w:rPr>
      </w:pPr>
      <w:r>
        <w:rPr>
          <w:rFonts w:ascii="Arial" w:cs="Arial" w:eastAsia="Arial" w:hAnsi="Arial"/>
          <w:sz w:val="17"/>
          <w:szCs w:val="17"/>
          <w:color w:val="auto"/>
        </w:rPr>
        <w:t>Our audit procedures related to the forecasts of future revenue, specifically as they relate to Span Alaska, and the selection of the discount rate for Span Alaska included the following, among others:</w:t>
      </w:r>
    </w:p>
    <w:p>
      <w:pPr>
        <w:spacing w:after="0" w:line="161" w:lineRule="exact"/>
        <w:rPr>
          <w:sz w:val="20"/>
          <w:szCs w:val="20"/>
          <w:color w:val="auto"/>
        </w:rPr>
      </w:pPr>
    </w:p>
    <w:p>
      <w:pPr>
        <w:ind w:left="340" w:right="79" w:hanging="331"/>
        <w:spacing w:after="0" w:line="257"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forecasts of future revenue and the selection of the discount rate.</w:t>
      </w:r>
    </w:p>
    <w:p>
      <w:pPr>
        <w:ind w:left="340" w:right="599" w:hanging="331"/>
        <w:spacing w:after="0" w:line="24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future revenue by comparing actual results to management’s historical forecasts.</w:t>
      </w:r>
    </w:p>
    <w:p>
      <w:pPr>
        <w:spacing w:after="0" w:line="1" w:lineRule="exact"/>
        <w:rPr>
          <w:rFonts w:ascii="Arial" w:cs="Arial" w:eastAsia="Arial" w:hAnsi="Arial"/>
          <w:sz w:val="17"/>
          <w:szCs w:val="17"/>
          <w:color w:val="auto"/>
        </w:rPr>
      </w:pPr>
    </w:p>
    <w:p>
      <w:pPr>
        <w:ind w:left="340" w:right="19" w:hanging="331"/>
        <w:spacing w:after="0" w:line="281" w:lineRule="auto"/>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evaluated the reasonableness of management’s revenue forecast by comparing the forecasts to (1) historical revenues and operating margins, (2) internal communications to management and the Board of Directors, (3) external communications made by management to analysts and investors, (4) trends in the logistics industry and (5) trends in the Alaskan economy.</w:t>
      </w:r>
    </w:p>
    <w:p>
      <w:pPr>
        <w:spacing w:after="0" w:line="1" w:lineRule="exact"/>
        <w:rPr>
          <w:rFonts w:ascii="Arial" w:cs="Arial" w:eastAsia="Arial" w:hAnsi="Arial"/>
          <w:sz w:val="15"/>
          <w:szCs w:val="15"/>
          <w:color w:val="auto"/>
        </w:rPr>
      </w:pPr>
    </w:p>
    <w:p>
      <w:pPr>
        <w:ind w:left="340" w:right="59" w:hanging="331"/>
        <w:spacing w:after="0" w:line="302" w:lineRule="auto"/>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rPr>
          <w:sz w:val="20"/>
          <w:szCs w:val="20"/>
          <w:color w:val="auto"/>
        </w:rPr>
      </w:pPr>
      <w:r>
        <w:rPr>
          <w:rFonts w:ascii="Arial" w:cs="Arial" w:eastAsia="Arial" w:hAnsi="Arial"/>
          <w:sz w:val="17"/>
          <w:szCs w:val="17"/>
          <w:color w:val="auto"/>
        </w:rPr>
        <w:t>February 28, 2020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at least 1976; however, an earlier year could not be reliably determined.</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Income from SSAT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(2,059.0)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(1,899.6)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Net gain in prior service 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Amortization of net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adjustments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2,555.8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2,845.4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2,430.4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1,603.0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1,304.3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 common stock without par value; authorized, 150.0 million shares ($0.75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stated value per share); outstanding, 42.9 million shares in 2019 and 42.7 million shares in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2,845.4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82.7</w:t>
            </w:r>
          </w:p>
        </w:tc>
        <w:tc>
          <w:tcPr>
            <w:tcW w:w="120" w:type="dxa"/>
            <w:vAlign w:val="bottom"/>
          </w:tcPr>
          <w:p>
            <w:pPr>
              <w:spacing w:after="0"/>
              <w:rPr>
                <w:sz w:val="12"/>
                <w:szCs w:val="12"/>
                <w:color w:val="auto"/>
              </w:rPr>
            </w:pP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2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Reconciling adjustments: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Amortization of operating lease right of use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from SSAT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(36.8)</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Distributions from SSAT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dry-docking payments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Deferred dry-docking amortization</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Accounts payable, accruals and other liabilities</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Operating lease liabilities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Capitalized vessel construction expenditure</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(338.6)</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capital expenditures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(62.6)</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Proceeds from (payments for) disposal of property and equipment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136.3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deposits into Capital Construction Fund</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(340.0)</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Withdrawals from Capital Construction Fund</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340.9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other investments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(260.3)</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of debt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Repayment of capital leases</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revolving credit facility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Repayments of revolving credit facility</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(933.9)</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financing costs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(35.4)</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Repurchase of Matson common stock</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Tax withholding related to net share settlements of restricted stock units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(40.0)</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the Year</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00" w:type="dxa"/>
            <w:vAlign w:val="bottom"/>
            <w:gridSpan w:val="3"/>
          </w:tcPr>
          <w:p>
            <w:pPr>
              <w:spacing w:after="0" w:line="142" w:lineRule="exact"/>
              <w:rPr>
                <w:sz w:val="20"/>
                <w:szCs w:val="20"/>
                <w:color w:val="auto"/>
              </w:rPr>
            </w:pPr>
            <w:r>
              <w:rPr>
                <w:rFonts w:ascii="Arial" w:cs="Arial" w:eastAsia="Arial" w:hAnsi="Arial"/>
                <w:sz w:val="14"/>
                <w:szCs w:val="14"/>
                <w:color w:val="auto"/>
              </w:rPr>
              <w:t>Cash, Cash Equivalents and Restricted Cash, End of the Year</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color w:val="auto"/>
              </w:rPr>
              <w:t>Reconciliation of Cash, Cash Equivalents, and Restricted Cash, at End of the Year: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CCEEFF"/>
              <w:bottom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Cash, Cash Equivalents and Restricted Cash, End of the Year</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Information: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Interest paid, net of capitalized interest</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2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 paid, net of income tax refunds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Non-cash Information: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80" w:type="dxa"/>
            <w:vAlign w:val="bottom"/>
            <w:gridSpan w:val="2"/>
          </w:tcPr>
          <w:p>
            <w:pPr>
              <w:ind w:left="200"/>
              <w:spacing w:after="0"/>
              <w:rPr>
                <w:sz w:val="20"/>
                <w:szCs w:val="20"/>
                <w:color w:val="auto"/>
              </w:rPr>
            </w:pPr>
            <w:r>
              <w:rPr>
                <w:rFonts w:ascii="Arial" w:cs="Arial" w:eastAsia="Arial" w:hAnsi="Arial"/>
                <w:sz w:val="14"/>
                <w:szCs w:val="14"/>
                <w:color w:val="auto"/>
              </w:rPr>
              <w:t>Capital expenditures included in accounts payable, accruals and other liabilities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760730</wp:posOffset>
            </wp:positionV>
            <wp:extent cx="6595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MATSON, INC. AND SUBSIDIARIES CONSOLIDATED STATEMENTS OF SHAREHOLDERS’ EQUITY For the three years ended December 31, 2019</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4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42.9</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$ 196.6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$ 494.9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Shares repurchased</w:t>
            </w: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 ($0.78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42.5</w:t>
            </w:r>
          </w:p>
        </w:tc>
        <w:tc>
          <w:tcPr>
            <w:tcW w:w="240" w:type="dxa"/>
            <w:vAlign w:val="bottom"/>
            <w:gridSpan w:val="2"/>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40" w:type="dxa"/>
            <w:vAlign w:val="bottom"/>
            <w:gridSpan w:val="2"/>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380.5</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repurchased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Dividends ($0.82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42.7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Adoption of new lease accounting standard (see Note 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 ($0.86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gridSpan w:val="2"/>
          </w:tcPr>
          <w:p>
            <w:pPr>
              <w:ind w:left="100"/>
              <w:spacing w:after="0" w:line="185" w:lineRule="exact"/>
              <w:rPr>
                <w:sz w:val="20"/>
                <w:szCs w:val="20"/>
                <w:color w:val="auto"/>
              </w:rPr>
            </w:pPr>
            <w:r>
              <w:rPr>
                <w:rFonts w:ascii="Arial" w:cs="Arial" w:eastAsia="Arial" w:hAnsi="Arial"/>
                <w:sz w:val="17"/>
                <w:szCs w:val="17"/>
                <w:color w:val="auto"/>
                <w:w w:val="92"/>
              </w:rPr>
              <w:t>SSAT’s adoption of new lease accounting standard (see Note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vMerge w:val="restart"/>
          </w:tcPr>
          <w:p>
            <w:pPr>
              <w:jc w:val="right"/>
              <w:spacing w:after="0"/>
              <w:rPr>
                <w:sz w:val="20"/>
                <w:szCs w:val="20"/>
                <w:color w:val="auto"/>
              </w:rPr>
            </w:pPr>
            <w:r>
              <w:rPr>
                <w:rFonts w:ascii="Arial" w:cs="Arial" w:eastAsia="Arial" w:hAnsi="Arial"/>
                <w:sz w:val="18"/>
                <w:szCs w:val="18"/>
                <w:color w:val="auto"/>
              </w:rPr>
              <w:t>(5.6)</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280" w:type="dxa"/>
            <w:vAlign w:val="bottom"/>
            <w:gridSpan w:val="2"/>
          </w:tcPr>
          <w:p>
            <w:pPr>
              <w:ind w:left="12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$ 504.2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$ 805.7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hanging="651"/>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2019, see Note 3.</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Matson has a 35 percent ownership interest in SSA Terminals, LLC, a joint venture between Matson Ventures, Inc., a wholly-owned subsidiary of MatNav, and SSA Ventures, Inc., a subsidiary of Carrix, Inc. (“SSAT”). SSAT provides terminal and stevedoring services to various carriers at eight terminal facilities on the U.S. West Coast, including four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200" w:lineRule="exact"/>
        <w:rPr>
          <w:sz w:val="20"/>
          <w:szCs w:val="20"/>
          <w:color w:val="auto"/>
        </w:rPr>
      </w:pPr>
    </w:p>
    <w:p>
      <w:pPr>
        <w:spacing w:after="0" w:line="204" w:lineRule="exact"/>
        <w:rPr>
          <w:sz w:val="20"/>
          <w:szCs w:val="20"/>
          <w:color w:val="auto"/>
        </w:rPr>
      </w:pPr>
    </w:p>
    <w:p>
      <w:pPr>
        <w:ind w:left="660" w:hanging="651"/>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year end for Matson is December 31. The period end for MatNav occurred on the last Friday in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Matson Logistics Warehousing, Inc. whose period closed on December 31. Included in these Consolidated Financial Statements are 52 weeks in the 2019, 2018 and 2017 fiscal years for MatNav.</w:t>
      </w:r>
    </w:p>
    <w:p>
      <w:pPr>
        <w:spacing w:after="0" w:line="181"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United States (U.S.) dollar is the functional currency for substantially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 resulting from foreign currency transactions are included in Costs and Expenses in the Consolidated Statements of Income and Comprehensive Income.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uninsured risks and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Cash, Cash Equivalents and Restricted Cash: </w:t>
      </w:r>
      <w:r>
        <w:rPr>
          <w:rFonts w:ascii="Arial" w:cs="Arial" w:eastAsia="Arial" w:hAnsi="Arial"/>
          <w:sz w:val="16"/>
          <w:szCs w:val="16"/>
          <w:color w:val="auto"/>
        </w:rPr>
        <w:t>Cash equivalents consist of highly-liquid investments with original maturities</w:t>
      </w:r>
      <w:r>
        <w:rPr>
          <w:rFonts w:ascii="Arial" w:cs="Arial" w:eastAsia="Arial" w:hAnsi="Arial"/>
          <w:sz w:val="16"/>
          <w:szCs w:val="16"/>
          <w:i w:val="1"/>
          <w:iCs w:val="1"/>
          <w:color w:val="auto"/>
        </w:rPr>
        <w:t xml:space="preserve"> </w:t>
      </w:r>
      <w:r>
        <w:rPr>
          <w:rFonts w:ascii="Arial" w:cs="Arial" w:eastAsia="Arial" w:hAnsi="Arial"/>
          <w:sz w:val="16"/>
          <w:szCs w:val="16"/>
          <w:color w:val="auto"/>
        </w:rPr>
        <w:t>of three months or less. The Company carries these investments at cost, which approximates fair value. Outstanding checks in excess of funds on deposit totaled $13.8 million and $16.4 million at December 31, 2019 and 2018, respectively, and are included in current liabilities in the Consolidated Balance Sheets. Restricted cash relates to amounts that are subject to contractual restrictions and are not readily available. At December 31, 2019 and 2018, restricted cash was $7.2 million and $4.9 million, respectively, and are included in prepaid expenses and other assets in the Consolidated Balance Sheets.</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amounts due from trade customers arising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 receivable are shown net of allowance for doubtful accounts receivable in the Consolidated Balance Sheets. Allowance for doubtful accounts receivable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93"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Changes in the allowance for doubtful accounts receivable for the three years ended December 31, 2019, 2018 and 2017 were as follows:</w:t>
      </w:r>
    </w:p>
    <w:tbl>
      <w:tblPr>
        <w:tblLayout w:type="fixed"/>
        <w:tblInd w:w="0" w:type="dxa"/>
        <w:tblCellMar>
          <w:top w:w="0" w:type="dxa"/>
          <w:left w:w="0" w:type="dxa"/>
          <w:bottom w:w="0" w:type="dxa"/>
          <w:right w:w="0" w:type="dxa"/>
        </w:tblCellMar>
      </w:tblPr>
      <w:tr>
        <w:trPr>
          <w:trHeight w:val="14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4"/>
              <w:spacing w:after="0" w:line="141" w:lineRule="exact"/>
              <w:rPr>
                <w:sz w:val="20"/>
                <w:szCs w:val="20"/>
                <w:color w:val="auto"/>
              </w:rPr>
            </w:pPr>
            <w:r>
              <w:rPr>
                <w:rFonts w:ascii="Arial" w:cs="Arial" w:eastAsia="Arial" w:hAnsi="Arial"/>
                <w:sz w:val="14"/>
                <w:szCs w:val="14"/>
                <w:b w:val="1"/>
                <w:bCs w:val="1"/>
                <w:color w:val="auto"/>
                <w:w w:val="99"/>
              </w:rPr>
              <w:t>Balance at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Expense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97"/>
              <w:spacing w:after="0" w:line="141" w:lineRule="exact"/>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Beginning of Year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and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2018</w:t>
            </w:r>
          </w:p>
        </w:tc>
        <w:tc>
          <w:tcPr>
            <w:tcW w:w="2000" w:type="dxa"/>
            <w:vAlign w:val="bottom"/>
          </w:tcPr>
          <w:p>
            <w:pPr>
              <w:spacing w:after="0"/>
              <w:rPr>
                <w:sz w:val="18"/>
                <w:szCs w:val="18"/>
                <w:color w:val="auto"/>
              </w:rPr>
            </w:pP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Expense is shown net of amounts recovered from previously reserved doubtful accounts.</w:t>
      </w:r>
    </w:p>
    <w:p>
      <w:pPr>
        <w:spacing w:after="0" w:line="208"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i w:val="1"/>
          <w:iCs w:val="1"/>
          <w:color w:val="auto"/>
        </w:rPr>
        <w:t xml:space="preserve">Prepaid Expenses and Other Assets: </w:t>
      </w:r>
      <w:r>
        <w:rPr>
          <w:rFonts w:ascii="Arial" w:cs="Arial" w:eastAsia="Arial" w:hAnsi="Arial"/>
          <w:sz w:val="18"/>
          <w:szCs w:val="18"/>
          <w:color w:val="auto"/>
        </w:rPr>
        <w:t>Prepaid expenses and other assets consist of the following at December 31,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Prepaid Expenses and Other Assets (in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fuel</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Prepaid insurance and insurance related receivables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Restricted cash - vessel construction obligations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operating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u w:val="single" w:color="auto"/>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Other long-term assets consist of the following at December 31, 2019 and 2018: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Long-Term Assets (in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 and equipment spare parts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 receivables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Insurance related receivables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charges and other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Impairment of SSAT: </w:t>
      </w:r>
      <w:r>
        <w:rPr>
          <w:rFonts w:ascii="Arial" w:cs="Arial" w:eastAsia="Arial" w:hAnsi="Arial"/>
          <w:sz w:val="18"/>
          <w:szCs w:val="18"/>
          <w:color w:val="auto"/>
        </w:rPr>
        <w:t>The Company’s investment in SSAT, a related party, is reviewed for impairment annually, or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evidence that fair value may be below its carrying cost. No impairment was identified during the years ended December 31, 2019, 2018 and 2017.</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is stated at cost. Property and equipment is depreciated using the straight-line method over the estimated useful lives of the assets. The estimated useful lives of property and equipment range up to the following maximum life: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30 years</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35 years</w:t>
            </w: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Capitalized Interest: </w:t>
      </w:r>
      <w:r>
        <w:rPr>
          <w:rFonts w:ascii="Arial" w:cs="Arial" w:eastAsia="Arial" w:hAnsi="Arial"/>
          <w:sz w:val="17"/>
          <w:szCs w:val="17"/>
          <w:color w:val="auto"/>
        </w:rPr>
        <w:t>The Company capitalizes interest costs during the period the qualified assets are being readied for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use. The Company determined that the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 the years ended December 31, 2019, 2018 and 2017, the Company capitalized $15.6 million, $18.7 million and $7.5 million of interest related to the construction of new vessels, respectively.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adopted Accounting Standards Codification (“ASC”)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(“ASC 842”) on January 1, 2019.</w:t>
      </w:r>
      <w:r>
        <w:rPr>
          <w:rFonts w:ascii="Arial" w:cs="Arial" w:eastAsia="Arial" w:hAnsi="Arial"/>
          <w:sz w:val="16"/>
          <w:szCs w:val="16"/>
          <w:i w:val="1"/>
          <w:iCs w:val="1"/>
          <w:color w:val="auto"/>
        </w:rPr>
        <w:t xml:space="preserve"> </w:t>
      </w:r>
      <w:r>
        <w:rPr>
          <w:rFonts w:ascii="Arial" w:cs="Arial" w:eastAsia="Arial" w:hAnsi="Arial"/>
          <w:sz w:val="16"/>
          <w:szCs w:val="16"/>
          <w:color w:val="auto"/>
        </w:rPr>
        <w:t>ASC 842 requires lessees to record leases on their balance sheets but recognize the expenses in their income statements in a manner similar to pre-adoption practice. ASC 842 states that a lessee would recognize a lease liability for the obligation to make lease payments, and a right-of-use asset for the underlying leased asset for the period of the lease term. Refer to Note 9 for additional information on the Company’s adoption of ASC 842 and other lease related disclosures.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Deferred Dry-docking Costs: </w:t>
      </w:r>
      <w:r>
        <w:rPr>
          <w:rFonts w:ascii="Arial" w:cs="Arial" w:eastAsia="Arial" w:hAnsi="Arial"/>
          <w:sz w:val="17"/>
          <w:szCs w:val="17"/>
          <w:color w:val="auto"/>
        </w:rPr>
        <w:t>U.S. flagged vessels must meet specified seaworthiness standards established by U.S. Coast</w:t>
      </w:r>
      <w:r>
        <w:rPr>
          <w:rFonts w:ascii="Arial" w:cs="Arial" w:eastAsia="Arial" w:hAnsi="Arial"/>
          <w:sz w:val="17"/>
          <w:szCs w:val="17"/>
          <w:i w:val="1"/>
          <w:iCs w:val="1"/>
          <w:color w:val="auto"/>
        </w:rPr>
        <w:t xml:space="preserve"> </w:t>
      </w:r>
      <w:r>
        <w:rPr>
          <w:rFonts w:ascii="Arial" w:cs="Arial" w:eastAsia="Arial" w:hAnsi="Arial"/>
          <w:sz w:val="17"/>
          <w:szCs w:val="17"/>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 vessels are required to meet applicable classification society rules and their own local standards for seaworthiness, which also mandate vessels to undergo two dry-docking inspections every five years.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scheduled date of the next required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arise as a result of acquisitions made by the Company (see</w:t>
      </w:r>
      <w:r>
        <w:rPr>
          <w:rFonts w:ascii="Arial" w:cs="Arial" w:eastAsia="Arial" w:hAnsi="Arial"/>
          <w:sz w:val="17"/>
          <w:szCs w:val="17"/>
          <w:i w:val="1"/>
          <w:iCs w:val="1"/>
          <w:color w:val="auto"/>
        </w:rPr>
        <w:t xml:space="preserve"> </w:t>
      </w:r>
      <w:r>
        <w:rPr>
          <w:rFonts w:ascii="Arial" w:cs="Arial" w:eastAsia="Arial" w:hAnsi="Arial"/>
          <w:sz w:val="17"/>
          <w:szCs w:val="17"/>
          <w:color w:val="auto"/>
        </w:rPr>
        <w:t>Note 6). Intangible assets consist of customer relationships which are being amortized using the straight-line method over the expected useful lives ranging up to 21 years, and a trade name that has an indefinite life.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Impairment of Long-Lived Assets, Intangible Assets and Goodwill</w:t>
      </w:r>
      <w:r>
        <w:rPr>
          <w:rFonts w:ascii="Arial" w:cs="Arial" w:eastAsia="Arial" w:hAnsi="Arial"/>
          <w:sz w:val="18"/>
          <w:szCs w:val="18"/>
          <w:color w:val="auto"/>
        </w:rPr>
        <w:t>: The Company evaluates its long-lived assets,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87"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Long-lived assets and finite-lived intangible assets are grouped at the 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w:t>
      </w: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value is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2019, 2018 and 2017.</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2019, 2018 and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consist of the following at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Liabilities (in millions)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9"/>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Payroll and vacation</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Employee incentives and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Uninsured risks and related liabilities - short term</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Multi-employer withdrawal liabilities - short term (see Note 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on debt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liabilities - short term (see Note 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short-term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0</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9"/>
          </w:tcPr>
          <w:p>
            <w:pPr>
              <w:spacing w:after="0"/>
              <w:rPr>
                <w:sz w:val="20"/>
                <w:szCs w:val="20"/>
                <w:color w:val="auto"/>
              </w:rPr>
            </w:pPr>
            <w:r>
              <w:rPr>
                <w:rFonts w:ascii="Arial" w:cs="Arial" w:eastAsia="Arial" w:hAnsi="Arial"/>
                <w:sz w:val="18"/>
                <w:szCs w:val="18"/>
                <w:i w:val="1"/>
                <w:iCs w:val="1"/>
                <w:color w:val="auto"/>
                <w:w w:val="93"/>
              </w:rPr>
              <w:t xml:space="preserve">Other long-term liabilities: </w:t>
            </w:r>
            <w:r>
              <w:rPr>
                <w:rFonts w:ascii="Arial" w:cs="Arial" w:eastAsia="Arial" w:hAnsi="Arial"/>
                <w:sz w:val="18"/>
                <w:szCs w:val="18"/>
                <w:color w:val="auto"/>
                <w:w w:val="93"/>
              </w:rPr>
              <w:t>Other long-term liabilities consist of the following at December 31, 2019 and 2018: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Long-Term Liabilities (in millions)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9"/>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post-retirement liabilities (see Note 11)</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Multi-employer withdrawal liability (see Note 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Uninsured risks and related liabilities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r>
              <w:rPr>
                <w:rFonts w:ascii="Arial" w:cs="Arial" w:eastAsia="Arial" w:hAnsi="Arial"/>
                <w:sz w:val="18"/>
                <w:szCs w:val="18"/>
                <w:u w:val="single" w:color="auto"/>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r>
              <w:rPr>
                <w:rFonts w:ascii="Arial" w:cs="Arial" w:eastAsia="Arial" w:hAnsi="Arial"/>
                <w:sz w:val="18"/>
                <w:szCs w:val="18"/>
                <w:u w:val="single" w:color="auto"/>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Pension and Post-Retirement Plans: </w:t>
      </w:r>
      <w:r>
        <w:rPr>
          <w:rFonts w:ascii="Arial" w:cs="Arial" w:eastAsia="Arial" w:hAnsi="Arial"/>
          <w:sz w:val="18"/>
          <w:szCs w:val="18"/>
          <w:color w:val="auto"/>
        </w:rPr>
        <w:t>The Company is a member of the Pacific Maritime Association (“PMA”)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pacing w:after="0" w:line="1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Uninsured Risks and Related Liabilities: </w:t>
      </w:r>
      <w:r>
        <w:rPr>
          <w:rFonts w:ascii="Arial" w:cs="Arial" w:eastAsia="Arial" w:hAnsi="Arial"/>
          <w:sz w:val="17"/>
          <w:szCs w:val="17"/>
          <w:color w:val="auto"/>
        </w:rPr>
        <w:t>The Company is uninsured for certain risks but when feasible, many of these risks</w:t>
      </w:r>
      <w:r>
        <w:rPr>
          <w:rFonts w:ascii="Arial" w:cs="Arial" w:eastAsia="Arial" w:hAnsi="Arial"/>
          <w:sz w:val="17"/>
          <w:szCs w:val="17"/>
          <w:i w:val="1"/>
          <w:iCs w:val="1"/>
          <w:color w:val="auto"/>
        </w:rPr>
        <w:t xml:space="preserve"> </w:t>
      </w:r>
      <w:r>
        <w:rPr>
          <w:rFonts w:ascii="Arial" w:cs="Arial" w:eastAsia="Arial" w:hAnsi="Arial"/>
          <w:sz w:val="17"/>
          <w:szCs w:val="17"/>
          <w:color w:val="auto"/>
        </w:rPr>
        <w:t>are 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or the perceived remoteness of the risk. In addition, the Company retains all risk of loss that exceeds the limits of the Company’s insurance policies.</w:t>
      </w:r>
    </w:p>
    <w:p>
      <w:pPr>
        <w:sectPr>
          <w:pgSz w:w="11900" w:h="16838" w:orient="portrait"/>
          <w:cols w:equalWidth="0" w:num="1">
            <w:col w:w="9060"/>
          </w:cols>
          <w:pgMar w:left="1420" w:top="517" w:right="141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estimating its reserves for uninsured risks and related liabilities, the Company considers a number of factors, including historical claims experience, demographic factors, current trends, and analyses provided by independent third-parties. Periodically, management reviews its assumptions and estimates used to determine the adequacy of the Company’s reserves for uninsured risks and related liabilities.</w:t>
      </w:r>
    </w:p>
    <w:p>
      <w:pPr>
        <w:spacing w:after="0" w:line="187"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i w:val="1"/>
          <w:iCs w:val="1"/>
          <w:color w:val="auto"/>
        </w:rPr>
        <w:t xml:space="preserve">Recognition of Revenues and Expenses: </w:t>
      </w:r>
      <w:r>
        <w:rPr>
          <w:rFonts w:ascii="Arial" w:cs="Arial" w:eastAsia="Arial" w:hAnsi="Arial"/>
          <w:sz w:val="16"/>
          <w:szCs w:val="16"/>
          <w:color w:val="auto"/>
        </w:rPr>
        <w:t>Revenue in the Company’s Consolidated Financial Statements is presented net of</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elimination of intercompany transactions. The following is a description of the Company’s principal revenue generating activities by segment, and the Company’s revenue recognition policy for each activity for the periods presented:</w:t>
      </w:r>
    </w:p>
    <w:tbl>
      <w:tblPr>
        <w:tblLayout w:type="fixed"/>
        <w:tblInd w:w="0" w:type="dxa"/>
        <w:tblCellMar>
          <w:top w:w="0" w:type="dxa"/>
          <w:left w:w="0" w:type="dxa"/>
          <w:bottom w:w="0" w:type="dxa"/>
          <w:right w:w="0" w:type="dxa"/>
        </w:tblCellMar>
      </w:tblPr>
      <w:tr>
        <w:trPr>
          <w:trHeight w:val="162"/>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1,625.8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1,599.3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color w:val="auto"/>
              </w:rPr>
              <w:t>Terminal and other related services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Fuel sales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Vessel management and related services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1,666.6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1,641.3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1,571.8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80" w:hanging="331"/>
        <w:spacing w:after="0" w:line="25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78" w:lineRule="exact"/>
        <w:rPr>
          <w:sz w:val="20"/>
          <w:szCs w:val="20"/>
          <w:color w:val="auto"/>
        </w:rPr>
      </w:pPr>
    </w:p>
    <w:p>
      <w:pPr>
        <w:ind w:left="340" w:right="140"/>
        <w:spacing w:after="0" w:line="302" w:lineRule="auto"/>
        <w:rPr>
          <w:sz w:val="20"/>
          <w:szCs w:val="20"/>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40" w:right="60"/>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40" w:right="380"/>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40"/>
        <w:spacing w:after="0" w:line="25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color w:val="auto"/>
              </w:rPr>
              <w:t>Warehouse and distribution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r>
              <w:rPr>
                <w:rFonts w:ascii="Arial" w:cs="Arial" w:eastAsia="Arial" w:hAnsi="Arial"/>
                <w:sz w:val="18"/>
                <w:szCs w:val="18"/>
                <w:u w:val="single" w:color="auto"/>
                <w:color w:val="auto"/>
              </w:rPr>
              <w:t>5</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left="560" w:right="220" w:hanging="473"/>
        <w:spacing w:after="0" w:line="335" w:lineRule="auto"/>
        <w:tabs>
          <w:tab w:leader="none" w:pos="6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32" w:lineRule="exact"/>
        <w:rPr>
          <w:rFonts w:ascii="Arial" w:cs="Arial" w:eastAsia="Arial" w:hAnsi="Arial"/>
          <w:sz w:val="12"/>
          <w:szCs w:val="12"/>
          <w:color w:val="auto"/>
        </w:rPr>
      </w:pPr>
    </w:p>
    <w:p>
      <w:pPr>
        <w:ind w:left="340" w:right="120"/>
        <w:spacing w:after="0" w:line="292" w:lineRule="auto"/>
        <w:rPr>
          <w:rFonts w:ascii="Arial" w:cs="Arial" w:eastAsia="Arial" w:hAnsi="Arial"/>
          <w:sz w:val="12"/>
          <w:szCs w:val="12"/>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labor and equipment.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ind w:left="340" w:right="160"/>
        <w:spacing w:after="0" w:line="265" w:lineRule="auto"/>
        <w:rPr>
          <w:rFonts w:ascii="Arial" w:cs="Arial" w:eastAsia="Arial" w:hAnsi="Arial"/>
          <w:sz w:val="12"/>
          <w:szCs w:val="12"/>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ind w:left="340" w:right="400"/>
        <w:spacing w:after="0" w:line="261" w:lineRule="auto"/>
        <w:rPr>
          <w:rFonts w:ascii="Arial" w:cs="Arial" w:eastAsia="Arial" w:hAnsi="Arial"/>
          <w:sz w:val="12"/>
          <w:szCs w:val="12"/>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4"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w:t>
      </w: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79"/>
        <w:spacing w:after="0" w:line="264" w:lineRule="auto"/>
        <w:rPr>
          <w:sz w:val="20"/>
          <w:szCs w:val="20"/>
          <w:color w:val="auto"/>
        </w:rPr>
      </w:pPr>
      <w:r>
        <w:rPr>
          <w:rFonts w:ascii="Arial" w:cs="Arial" w:eastAsia="Arial" w:hAnsi="Arial"/>
          <w:sz w:val="18"/>
          <w:szCs w:val="18"/>
          <w:color w:val="auto"/>
        </w:rPr>
        <w:t>year. 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81" w:lineRule="exact"/>
        <w:rPr>
          <w:sz w:val="20"/>
          <w:szCs w:val="20"/>
          <w:color w:val="auto"/>
        </w:rPr>
      </w:pPr>
    </w:p>
    <w:p>
      <w:pPr>
        <w:ind w:right="19"/>
        <w:spacing w:after="0" w:line="257"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The Ocean Transportation segment serves customers in numerous industries and carries a wide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cargo, mitigating its dependence upon any single customer or single type of cargo. In 2019, 2018 and 2017, the 10 largest Ocean Transportation customers accounted for approximately 23 percent, 24 percent and 23 percent of Ocean Transportation revenue, respectively. None of these customers individually account for more than 10 percent of Ocean Transportation operating revenues.</w:t>
      </w:r>
    </w:p>
    <w:p>
      <w:pPr>
        <w:spacing w:after="0" w:line="188" w:lineRule="exact"/>
        <w:rPr>
          <w:sz w:val="20"/>
          <w:szCs w:val="20"/>
          <w:color w:val="auto"/>
        </w:rPr>
      </w:pPr>
    </w:p>
    <w:p>
      <w:pPr>
        <w:ind w:right="79"/>
        <w:spacing w:after="0" w:line="312" w:lineRule="auto"/>
        <w:rPr>
          <w:sz w:val="20"/>
          <w:szCs w:val="20"/>
          <w:color w:val="auto"/>
        </w:rPr>
      </w:pPr>
      <w:r>
        <w:rPr>
          <w:rFonts w:ascii="Arial" w:cs="Arial" w:eastAsia="Arial" w:hAnsi="Arial"/>
          <w:sz w:val="16"/>
          <w:szCs w:val="16"/>
          <w:color w:val="auto"/>
        </w:rPr>
        <w:t>The Logistics segment serves customers in numerous industries and geographical locations. In 2019, 2018 and 2017, the 10 largest Logistics customers accounted for approximately 21 percent, 23 percent and 19 percent of Logistics revenue, respectively. None of these customers individually account for more than 10 percent of Logistics operating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pacing w:after="0" w:line="225" w:lineRule="exact"/>
        <w:rPr>
          <w:sz w:val="20"/>
          <w:szCs w:val="20"/>
          <w:color w:val="auto"/>
        </w:rPr>
      </w:pPr>
    </w:p>
    <w:p>
      <w:pPr>
        <w:ind w:right="259"/>
        <w:spacing w:after="0" w:line="342"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The Company records compensation expense for all share-based awards made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directors. The Company’s various stock-based compensation plans are more fully described in Note 15.</w:t>
      </w:r>
    </w:p>
    <w:p>
      <w:pPr>
        <w:spacing w:after="0" w:line="124" w:lineRule="exact"/>
        <w:rPr>
          <w:sz w:val="20"/>
          <w:szCs w:val="20"/>
          <w:color w:val="auto"/>
        </w:rPr>
      </w:pPr>
    </w:p>
    <w:p>
      <w:pPr>
        <w:ind w:right="179"/>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estimate of the Company’s income tax expense requires the Company to make various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Deferred tax assets and liabilities are adjusted to the extent necessary to reflect tax rates expected to be in effect when the temporary differences reverse.</w:t>
      </w:r>
    </w:p>
    <w:p>
      <w:pPr>
        <w:spacing w:after="0" w:line="158" w:lineRule="exact"/>
        <w:rPr>
          <w:sz w:val="20"/>
          <w:szCs w:val="20"/>
          <w:color w:val="auto"/>
        </w:rPr>
      </w:pPr>
    </w:p>
    <w:p>
      <w:pPr>
        <w:jc w:val="both"/>
        <w:ind w:right="299"/>
        <w:spacing w:after="0" w:line="264" w:lineRule="auto"/>
        <w:rPr>
          <w:sz w:val="20"/>
          <w:szCs w:val="20"/>
          <w:color w:val="auto"/>
        </w:rPr>
      </w:pPr>
      <w:r>
        <w:rPr>
          <w:rFonts w:ascii="Arial" w:cs="Arial" w:eastAsia="Arial" w:hAnsi="Arial"/>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spacing w:after="0" w:line="181" w:lineRule="exact"/>
        <w:rPr>
          <w:sz w:val="20"/>
          <w:szCs w:val="20"/>
          <w:color w:val="auto"/>
        </w:rPr>
      </w:pPr>
    </w:p>
    <w:p>
      <w:pPr>
        <w:ind w:right="279"/>
        <w:spacing w:after="0" w:line="259"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to the Consolidated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to millions, except for per share calculations and percentages which were determined based on amounts before rounding. Accordingly, a recalculation of some per-share amounts and percentages, if based on the reported data, may be slightly different.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r>
        <w:rPr>
          <w:rFonts w:ascii="Arial" w:cs="Arial" w:eastAsia="Arial" w:hAnsi="Arial"/>
          <w:sz w:val="18"/>
          <w:szCs w:val="18"/>
          <w:color w:val="auto"/>
        </w:rPr>
        <w:t>:</w:t>
      </w:r>
    </w:p>
    <w:p>
      <w:pPr>
        <w:spacing w:after="0" w:line="225" w:lineRule="exact"/>
        <w:rPr>
          <w:sz w:val="20"/>
          <w:szCs w:val="20"/>
          <w:color w:val="auto"/>
        </w:rPr>
      </w:pPr>
    </w:p>
    <w:p>
      <w:pPr>
        <w:ind w:right="19"/>
        <w:spacing w:after="0" w:line="254" w:lineRule="auto"/>
        <w:rPr>
          <w:sz w:val="20"/>
          <w:szCs w:val="20"/>
          <w:color w:val="auto"/>
        </w:rPr>
      </w:pP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 and early adoption is permitted. The Company is in the process of evaluating this new standard, but does not expect the adoption of ASU 2016-13 to have a significant impact on the Company’s Consolidated Financial Statements.</w:t>
      </w:r>
    </w:p>
    <w:p>
      <w:pPr>
        <w:spacing w:after="0" w:line="200" w:lineRule="exact"/>
        <w:rPr>
          <w:sz w:val="20"/>
          <w:szCs w:val="20"/>
          <w:color w:val="auto"/>
        </w:rPr>
      </w:pPr>
    </w:p>
    <w:p>
      <w:pPr>
        <w:spacing w:after="0" w:line="204" w:lineRule="exact"/>
        <w:rPr>
          <w:sz w:val="20"/>
          <w:szCs w:val="20"/>
          <w:color w:val="auto"/>
        </w:rPr>
      </w:pPr>
    </w:p>
    <w:p>
      <w:pPr>
        <w:ind w:left="660" w:hanging="651"/>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16" w:lineRule="exact"/>
        <w:rPr>
          <w:sz w:val="20"/>
          <w:szCs w:val="20"/>
          <w:color w:val="auto"/>
        </w:rPr>
      </w:pPr>
    </w:p>
    <w:p>
      <w:pPr>
        <w:ind w:right="59"/>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439" w:firstLine="9"/>
        <w:spacing w:after="0" w:line="281"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Ocean Transportation segment due to the operations of SSAT being an integral part of the Company’s Ocean Transportation business (see Note 4).</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$102.3 million, $95.4 million and $81.3 million for the years ended December 31, 2019, 2018 and 2017, respectively, have been eliminated from operating revenues in the table below.</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Reportable segment financial information for the years ended December 31, 2019, 2018 and 2017, and identifiable asset segment information at December 31, 2019 and 2018,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1,666.6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1,641.3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1,571.8</w:t>
            </w: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2,203.1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2,222.8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2,046.9</w:t>
            </w:r>
          </w:p>
        </w:tc>
        <w:tc>
          <w:tcPr>
            <w:tcW w:w="0" w:type="dxa"/>
            <w:vAlign w:val="bottom"/>
          </w:tcPr>
          <w:p>
            <w:pPr>
              <w:spacing w:after="0"/>
              <w:rPr>
                <w:sz w:val="1"/>
                <w:szCs w:val="1"/>
                <w:color w:val="auto"/>
              </w:rPr>
            </w:pPr>
          </w:p>
        </w:tc>
      </w:tr>
      <w:tr>
        <w:trPr>
          <w:trHeight w:val="197"/>
        </w:trPr>
        <w:tc>
          <w:tcPr>
            <w:tcW w:w="6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ind w:left="220"/>
              <w:spacing w:after="0"/>
              <w:rPr>
                <w:sz w:val="20"/>
                <w:szCs w:val="20"/>
                <w:color w:val="auto"/>
              </w:rPr>
            </w:pPr>
            <w:r>
              <w:rPr>
                <w:rFonts w:ascii="Arial" w:cs="Arial" w:eastAsia="Arial" w:hAnsi="Arial"/>
                <w:sz w:val="18"/>
                <w:szCs w:val="18"/>
                <w:color w:val="auto"/>
              </w:rPr>
              <w:t>Ocean Transportation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630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63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Deferred dry-docking amortization - Ocean Transportation</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560" w:hanging="331"/>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$52.8 million, $51.7 million and $40.3 million for the years ended December 31, 2019, 2018 and 2017, respectively.</w:t>
      </w:r>
    </w:p>
    <w:p>
      <w:pPr>
        <w:ind w:left="340" w:right="60" w:hanging="331"/>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$49.5 million, $43.7 million and $41.0 million for the years ended December 31, 2019, 2018 and 2017, respectively.</w:t>
      </w:r>
    </w:p>
    <w:p>
      <w:pPr>
        <w:ind w:left="340" w:right="220" w:hanging="331"/>
        <w:spacing w:after="0" w:line="237"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$20.8 million, $36.8 million, and $28.2 million of equity in income from the Company’s equity investment in SSAT for the years ended December 31, 2019, 2018 and 2017,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2,424.5</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2,071.6</w:t>
            </w: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r>
      <w:tr>
        <w:trPr>
          <w:trHeight w:val="210"/>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2,845.4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2,430.4</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2" w:lineRule="exact"/>
        <w:rPr>
          <w:sz w:val="20"/>
          <w:szCs w:val="20"/>
          <w:color w:val="auto"/>
        </w:rPr>
      </w:pPr>
    </w:p>
    <w:p>
      <w:pPr>
        <w:ind w:left="340" w:right="100" w:hanging="331"/>
        <w:spacing w:after="0" w:line="25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Ocean Transportation segment includes $76.2 million and $87.0 million related to the Company’s equity investment in SSAT as of December 31, 2019 and 2018, respectively.</w:t>
      </w:r>
    </w:p>
    <w:p>
      <w:pPr>
        <w:sectPr>
          <w:pgSz w:w="11900" w:h="16838" w:orient="portrait"/>
          <w:cols w:equalWidth="0" w:num="1">
            <w:col w:w="9060"/>
          </w:cols>
          <w:pgMar w:left="1420" w:top="517" w:right="141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1"/>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SSAT</w:t>
      </w:r>
    </w:p>
    <w:p>
      <w:pPr>
        <w:spacing w:after="0" w:line="1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$76.2 million and $87.0 million at December 31, 2019 and 2018, respectively.</w:t>
      </w:r>
    </w:p>
    <w:p>
      <w:pPr>
        <w:spacing w:after="0" w:line="171" w:lineRule="exact"/>
        <w:rPr>
          <w:sz w:val="20"/>
          <w:szCs w:val="20"/>
          <w:color w:val="auto"/>
        </w:rPr>
      </w:pPr>
    </w:p>
    <w:p>
      <w:pPr>
        <w:ind w:right="600"/>
        <w:spacing w:after="0" w:line="338" w:lineRule="auto"/>
        <w:rPr>
          <w:sz w:val="20"/>
          <w:szCs w:val="20"/>
          <w:color w:val="auto"/>
        </w:rPr>
      </w:pPr>
      <w:r>
        <w:rPr>
          <w:rFonts w:ascii="Arial" w:cs="Arial" w:eastAsia="Arial" w:hAnsi="Arial"/>
          <w:sz w:val="16"/>
          <w:szCs w:val="16"/>
          <w:color w:val="auto"/>
        </w:rPr>
        <w:t>The Company’s share of income recorded in the Consolidated Statements of Income and Comprehensive Income and dividends received by the Company during the years ended December 31, 2019, 2018 and 2017 are as follows:</w:t>
      </w:r>
    </w:p>
    <w:tbl>
      <w:tblPr>
        <w:tblLayout w:type="fixed"/>
        <w:tblInd w:w="0" w:type="dxa"/>
        <w:tblCellMar>
          <w:top w:w="0" w:type="dxa"/>
          <w:left w:w="0" w:type="dxa"/>
          <w:bottom w:w="0" w:type="dxa"/>
          <w:right w:w="0" w:type="dxa"/>
        </w:tblCellMar>
      </w:tblP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20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Company's share of net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Distributions received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SSAT adopted the new lease accounting standard ASC 842 during the year ended December 31, 2019. As part of the adoption, the Company recorded a net adjustment that reduced retained earnings by $5.6 million representing its portion of SSAT’s total impact of adopting the new lease accounting standard.</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Ocean Transportation segment operating costs include $218.7 million, $213.4 million and $181.3 million for the years ended December 31, 2019, 2018 and 2017, respectively, for terminal services provided by SSAT. Accounts payable and accrued liabilities in the Consolidated Balance Sheets include $63.6 million and $59.2 million for terminal services payable to SSAT at December 31,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condensed balance sheets of SSAT at December 31, 2019 and 2018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Balance Sheets (in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assets (1)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1,583.8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 (1)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Non-current liabilities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1,179.2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1,583.8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60" w:hanging="331"/>
        <w:spacing w:after="0" w:line="23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Non-current assets, current liabilities and non-current liabilities include $1,117.0 million, $135.7 million and $1,033.1 million at December 31, 2019, respectively, related to operating lease right of use assets and operating lease liabilities recorded as a result of the adoption of the new lease accounting standard during the year ended December 31, 2019.</w:t>
      </w:r>
    </w:p>
    <w:p>
      <w:pPr>
        <w:spacing w:after="0" w:line="18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 summary of the condensed statements of operating income and net income of SSAT for years ended December 31, 2019, 2018 and 2017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Statements of Operating Income and Net Income (in millions)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1,074.2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1,035.3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gridSpan w:val="2"/>
          </w:tcPr>
          <w:p>
            <w:pPr>
              <w:ind w:left="100"/>
              <w:spacing w:after="0"/>
              <w:rPr>
                <w:sz w:val="20"/>
                <w:szCs w:val="20"/>
                <w:color w:val="auto"/>
              </w:rPr>
            </w:pPr>
            <w:r>
              <w:rPr>
                <w:rFonts w:ascii="Arial" w:cs="Arial" w:eastAsia="Arial" w:hAnsi="Arial"/>
                <w:sz w:val="18"/>
                <w:szCs w:val="18"/>
                <w:color w:val="auto"/>
              </w:rPr>
              <w:t>Net Income (1)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1"/>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Property and equipment at December 31, 2019 and 2018, and depreciation expense for the years ended December 31, 2019, 2018 and 2017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Net Book Value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306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w:t>
            </w: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Vessels</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$ 1,653.5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rPr>
              <w:t>Containers and equipment</w:t>
            </w:r>
          </w:p>
        </w:tc>
        <w:tc>
          <w:tcPr>
            <w:tcW w:w="740" w:type="dxa"/>
            <w:vAlign w:val="bottom"/>
          </w:tcPr>
          <w:p>
            <w:pPr>
              <w:jc w:val="right"/>
              <w:spacing w:after="0"/>
              <w:rPr>
                <w:sz w:val="20"/>
                <w:szCs w:val="20"/>
                <w:color w:val="auto"/>
              </w:rPr>
            </w:pPr>
            <w:r>
              <w:rPr>
                <w:rFonts w:ascii="Arial" w:cs="Arial" w:eastAsia="Arial" w:hAnsi="Arial"/>
                <w:sz w:val="18"/>
                <w:szCs w:val="18"/>
                <w:color w:val="auto"/>
              </w:rPr>
              <w:t>544.5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378.8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rPr>
              <w:t>Vessel construction in progress</w:t>
            </w:r>
          </w:p>
        </w:tc>
        <w:tc>
          <w:tcPr>
            <w:tcW w:w="740" w:type="dxa"/>
            <w:vAlign w:val="bottom"/>
          </w:tcPr>
          <w:p>
            <w:pPr>
              <w:jc w:val="right"/>
              <w:spacing w:after="0"/>
              <w:rPr>
                <w:sz w:val="20"/>
                <w:szCs w:val="20"/>
                <w:color w:val="auto"/>
              </w:rPr>
            </w:pPr>
            <w:r>
              <w:rPr>
                <w:rFonts w:ascii="Arial" w:cs="Arial" w:eastAsia="Arial" w:hAnsi="Arial"/>
                <w:sz w:val="18"/>
                <w:szCs w:val="18"/>
                <w:color w:val="auto"/>
              </w:rPr>
              <w:t>488.9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construction in progress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$ 2,836.7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1,238.6</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1,598.1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1,366.6</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6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Property and equipment included assets subject to capital leases with a net book value of $0.1 million, net of accumulated depreciation of $0.7 million at December 31, 2018. There were no capital leases outstanding as of December 31, 2019. Depreciation of assets subject to capital leases recorded in the Consolidated Statement of Income and Comprehensive Income was $0.5 million and $1.5 million for the years ended December 31, 2018 and 2017, respectively.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5860" w:type="dxa"/>
            <w:vAlign w:val="bottom"/>
            <w:gridSpan w:val="2"/>
          </w:tcPr>
          <w:p>
            <w:pPr>
              <w:ind w:left="260"/>
              <w:spacing w:after="0"/>
              <w:rPr>
                <w:sz w:val="20"/>
                <w:szCs w:val="20"/>
                <w:color w:val="auto"/>
              </w:rPr>
            </w:pPr>
            <w:r>
              <w:rPr>
                <w:rFonts w:ascii="Arial" w:cs="Arial" w:eastAsia="Arial" w:hAnsi="Arial"/>
                <w:sz w:val="18"/>
                <w:szCs w:val="18"/>
                <w:b w:val="1"/>
                <w:bCs w:val="1"/>
                <w:color w:val="auto"/>
              </w:rPr>
              <w:t>GOODWILL AND INTANGIBLE ASSETS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color w:val="auto"/>
                <w:w w:val="95"/>
              </w:rPr>
              <w:t>Goodwill by segment as of December 31, 2019 and 2018 consists of the following:</w:t>
            </w:r>
          </w:p>
        </w:tc>
        <w:tc>
          <w:tcPr>
            <w:tcW w:w="200" w:type="dxa"/>
            <w:vAlign w:val="bottom"/>
          </w:tcPr>
          <w:p>
            <w:pPr>
              <w:spacing w:after="0"/>
              <w:rPr>
                <w:sz w:val="24"/>
                <w:szCs w:val="2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Ocean</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Logistics</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Transportation</w:t>
            </w:r>
          </w:p>
        </w:tc>
        <w:tc>
          <w:tcPr>
            <w:tcW w:w="9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327.</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Logistics goodwill of $105.2 million includes $78.6 million acquired as part of the acquisition of Span Intermediate, LLC (“Span Alaska”) in August 2016 that was allocated to the Span Alaska reporting unit, and $26.6 million relates to other Logistics acquisitions that were allocated to the Logistics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by segment as of December 31, 2019 and 2018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w w:val="92"/>
              </w:rPr>
              <w:t>As of December 31, 2019</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3"/>
              </w:rPr>
              <w:t>As of December 31, 2018</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Book Value</w:t>
            </w:r>
          </w:p>
        </w:tc>
        <w:tc>
          <w:tcPr>
            <w:tcW w:w="5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gridSpan w:val="3"/>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Ocean Transportation - Customer relationships</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rPr>
                <w:sz w:val="20"/>
                <w:szCs w:val="20"/>
                <w:color w:val="auto"/>
              </w:rPr>
            </w:pPr>
            <w:r>
              <w:rPr>
                <w:rFonts w:ascii="Arial" w:cs="Arial" w:eastAsia="Arial" w:hAnsi="Arial"/>
                <w:sz w:val="16"/>
                <w:szCs w:val="16"/>
                <w:color w:val="auto"/>
              </w:rPr>
              <w:t>Logistics: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ind w:left="120"/>
              <w:spacing w:after="0"/>
              <w:rPr>
                <w:sz w:val="20"/>
                <w:szCs w:val="20"/>
                <w:color w:val="auto"/>
              </w:rPr>
            </w:pPr>
            <w:r>
              <w:rPr>
                <w:rFonts w:ascii="Arial" w:cs="Arial" w:eastAsia="Arial" w:hAnsi="Arial"/>
                <w:sz w:val="16"/>
                <w:szCs w:val="16"/>
                <w:color w:val="auto"/>
              </w:rPr>
              <w:t>Trade name</w:t>
            </w:r>
          </w:p>
        </w:tc>
        <w:tc>
          <w:tcPr>
            <w:tcW w:w="56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Logistics</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gridSpan w:val="2"/>
          </w:tcPr>
          <w:p>
            <w:pPr>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Ocean Transportation intangible assets of $140.6 million relate to customer relationships acquired as part of the acquisition of Horizon Lines, Inc. (“Horizon”) on May 29, 2015, and are being amortized over 21 years. Logistics intangible assets include $79.3 million of customer relationships which are being amortized over 20 years, and $27.3 million of an indefinite life trade name, both acquired as part of the Span Alaska acquisition. The remaining Logistics customer relationships of $10.8 million are being amortized over a period of up to 13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related amortization expense for 2019, 2018 and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 of December 31, 2019, estimated amortization expense related to customer relationships intangible assets during the next five years and thereafter is as follows:</w:t>
      </w:r>
    </w:p>
    <w:tbl>
      <w:tblPr>
        <w:tblLayout w:type="fixed"/>
        <w:tblInd w:w="0" w:type="dxa"/>
        <w:tblCellMar>
          <w:top w:w="0" w:type="dxa"/>
          <w:left w:w="0" w:type="dxa"/>
          <w:bottom w:w="0" w:type="dxa"/>
          <w:right w:w="0" w:type="dxa"/>
        </w:tblCellMar>
      </w:tblPr>
      <w:tr>
        <w:trPr>
          <w:trHeight w:val="141"/>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4"/>
              </w:rPr>
              <w:t>Customer</w:t>
            </w:r>
          </w:p>
        </w:tc>
        <w:tc>
          <w:tcPr>
            <w:tcW w:w="0" w:type="dxa"/>
            <w:vAlign w:val="bottom"/>
          </w:tcPr>
          <w:p>
            <w:pPr>
              <w:spacing w:after="0"/>
              <w:rPr>
                <w:sz w:val="1"/>
                <w:szCs w:val="1"/>
                <w:color w:val="auto"/>
              </w:rPr>
            </w:pPr>
          </w:p>
        </w:tc>
      </w:tr>
      <w:tr>
        <w:trPr>
          <w:trHeight w:val="171"/>
        </w:trPr>
        <w:tc>
          <w:tcPr>
            <w:tcW w:w="7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Relationships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jc w:val="right"/>
              <w:ind w:right="7150"/>
              <w:spacing w:after="0"/>
              <w:rPr>
                <w:sz w:val="20"/>
                <w:szCs w:val="20"/>
                <w:color w:val="auto"/>
              </w:rPr>
            </w:pPr>
            <w:r>
              <w:rPr>
                <w:rFonts w:ascii="Arial" w:cs="Arial" w:eastAsia="Arial" w:hAnsi="Arial"/>
                <w:sz w:val="18"/>
                <w:szCs w:val="18"/>
                <w:color w:val="auto"/>
                <w:w w:val="79"/>
              </w:rPr>
              <w:t>2020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right"/>
              <w:ind w:right="7150"/>
              <w:spacing w:after="0"/>
              <w:rPr>
                <w:sz w:val="20"/>
                <w:szCs w:val="20"/>
                <w:color w:val="auto"/>
              </w:rPr>
            </w:pPr>
            <w:r>
              <w:rPr>
                <w:rFonts w:ascii="Arial" w:cs="Arial" w:eastAsia="Arial" w:hAnsi="Arial"/>
                <w:sz w:val="18"/>
                <w:szCs w:val="18"/>
                <w:color w:val="auto"/>
                <w:w w:val="79"/>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jc w:val="right"/>
              <w:ind w:right="7150"/>
              <w:spacing w:after="0"/>
              <w:rPr>
                <w:sz w:val="20"/>
                <w:szCs w:val="20"/>
                <w:color w:val="auto"/>
              </w:rPr>
            </w:pPr>
            <w:r>
              <w:rPr>
                <w:rFonts w:ascii="Arial" w:cs="Arial" w:eastAsia="Arial" w:hAnsi="Arial"/>
                <w:sz w:val="18"/>
                <w:szCs w:val="18"/>
                <w:color w:val="auto"/>
                <w:w w:val="79"/>
              </w:rPr>
              <w:t>2022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jc w:val="right"/>
              <w:ind w:right="7150"/>
              <w:spacing w:after="0"/>
              <w:rPr>
                <w:sz w:val="20"/>
                <w:szCs w:val="20"/>
                <w:color w:val="auto"/>
              </w:rPr>
            </w:pPr>
            <w:r>
              <w:rPr>
                <w:rFonts w:ascii="Arial" w:cs="Arial" w:eastAsia="Arial" w:hAnsi="Arial"/>
                <w:sz w:val="18"/>
                <w:szCs w:val="18"/>
                <w:color w:val="auto"/>
                <w:w w:val="84"/>
              </w:rPr>
              <w:t>2023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jc w:val="right"/>
              <w:ind w:right="7150"/>
              <w:spacing w:after="0"/>
              <w:rPr>
                <w:sz w:val="20"/>
                <w:szCs w:val="20"/>
                <w:color w:val="auto"/>
              </w:rPr>
            </w:pPr>
            <w:r>
              <w:rPr>
                <w:rFonts w:ascii="Arial" w:cs="Arial" w:eastAsia="Arial" w:hAnsi="Arial"/>
                <w:sz w:val="18"/>
                <w:szCs w:val="18"/>
                <w:color w:val="auto"/>
                <w:w w:val="79"/>
              </w:rPr>
              <w:t>2024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60" w:hanging="651"/>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Deposits into the CCF are limited by certain applicable earnings and other conditions. Such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2019 and 2018, $1.7 million and $1.0 million, respectively, of eligible accounts receivable were assigned to the CCF. Due to the nature of the assignment of eligible accounts receivable into the CCF, such assigned amounts are classified as part of accounts receivable in the Consolidated Balance Sheets. At December 31, 2019 and 2018, the amounts on deposit in the CCF invested in a money market fund, which is classified as other long-term assets in the Company’s Consolidated Balance Sheets, were nominal.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7080" w:type="dxa"/>
            <w:vAlign w:val="bottom"/>
          </w:tcPr>
          <w:p>
            <w:pPr>
              <w:ind w:left="48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gridSpan w:val="3"/>
          </w:tcPr>
          <w:p>
            <w:pPr>
              <w:spacing w:after="0"/>
              <w:rPr>
                <w:sz w:val="20"/>
                <w:szCs w:val="20"/>
                <w:color w:val="auto"/>
              </w:rPr>
            </w:pPr>
            <w:r>
              <w:rPr>
                <w:rFonts w:ascii="Arial" w:cs="Arial" w:eastAsia="Arial" w:hAnsi="Arial"/>
                <w:sz w:val="18"/>
                <w:szCs w:val="18"/>
                <w:color w:val="auto"/>
              </w:rPr>
              <w:t>At December 31, 2019 and 2018, the Company’s debt consisted of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62"/>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5.79 %, payable through 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4.16 %, payable through 2027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3.14 %, payable through 2031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4.35 %, payable through 2044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Title XI 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5.27 %, payable through 2029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maturity date of June 29, 2022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 leases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Company’s debt:</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Private Placement Term Loans</w:t>
      </w:r>
      <w:r>
        <w:rPr>
          <w:rFonts w:ascii="Arial" w:cs="Arial" w:eastAsia="Arial" w:hAnsi="Arial"/>
          <w:sz w:val="18"/>
          <w:szCs w:val="18"/>
          <w:color w:val="auto"/>
        </w:rPr>
        <w:t>: The 5.79 percent notes payable through 2020 are amortized by semi-annual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$3.5 million plus interest.</w:t>
      </w:r>
    </w:p>
    <w:p>
      <w:pPr>
        <w:spacing w:after="0" w:line="17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second quarter of 2012, the Company issued $170.0 million of unsecured notes, which funded in three tranches, $77.5 million at an interest rate of 3.66 percent, $55.0 million at an interest rate of 4.16 percent, and $37.5 million at an interest rate of 4.31 percent (the “2012 Notes”). Principal and interest are payable semi-annually. The 2012 Notes began to amortize in 2015 with aggregate semi-annual payments of $4.6 million which continued through 2016, followed by $8.4 million in 2017 through mid-year 2023, $3.8 million through mid-year 2027, and $1.2 million thereafter.</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January 2014, the Company issued $100.0 million of 30-year senior unsecured notes at an interest rate of 4.35 percent, payable semi-annually (the “2014 Notes”). The 2014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July 2015, the Company issued $75.0 million of 30-year senior unsecured notes at an interest rate of 3.92 percent, payable semi-annually (the “2015 Notes”). The 2015 Notes began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pacing w:after="0" w:line="188" w:lineRule="exact"/>
        <w:rPr>
          <w:sz w:val="20"/>
          <w:szCs w:val="20"/>
          <w:color w:val="auto"/>
        </w:rPr>
      </w:pPr>
    </w:p>
    <w:p>
      <w:pPr>
        <w:jc w:val="both"/>
        <w:ind w:right="500"/>
        <w:spacing w:after="0" w:line="288" w:lineRule="auto"/>
        <w:rPr>
          <w:sz w:val="20"/>
          <w:szCs w:val="20"/>
          <w:color w:val="auto"/>
        </w:rPr>
      </w:pPr>
      <w:r>
        <w:rPr>
          <w:rFonts w:ascii="Arial" w:cs="Arial" w:eastAsia="Arial" w:hAnsi="Arial"/>
          <w:sz w:val="16"/>
          <w:szCs w:val="16"/>
          <w:color w:val="auto"/>
        </w:rPr>
        <w:t>In September 2016, the Company issued $200.0 million of 15-year senior unsecured notes (the “Series D Notes”) at an interest rate of 3.14 percent, payable semi-annually. The Series D Notes began to amortize in 2019, with semi-annual principal payments of $6.0 million. During the years 2020 through 2023, semi-annual principal payments will be</w:t>
      </w:r>
    </w:p>
    <w:p>
      <w:pPr>
        <w:ind w:firstLine="45"/>
        <w:spacing w:after="0" w:line="261" w:lineRule="auto"/>
        <w:rPr>
          <w:sz w:val="20"/>
          <w:szCs w:val="20"/>
          <w:color w:val="auto"/>
        </w:rPr>
      </w:pPr>
      <w:r>
        <w:rPr>
          <w:rFonts w:ascii="Arial" w:cs="Arial" w:eastAsia="Arial" w:hAnsi="Arial"/>
          <w:sz w:val="18"/>
          <w:szCs w:val="18"/>
          <w:color w:val="auto"/>
        </w:rPr>
        <w:t>$9.2 million. Starting in 2024, and in each year thereafter through maturity in 2031, the semi-annual principal payments will be $7.15 million.</w:t>
      </w:r>
    </w:p>
    <w:p>
      <w:pPr>
        <w:spacing w:after="0" w:line="18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December 2016, the Company issued $75 million of 11-year senior unsecured notes at an interest rate of 3.37 percent, payable semi-annually (the "Series A Notes"). The Series A Notes will begin to amortize in 2021, with principal payments of $5.8 million in 2021 and $11.5 million per year, paid semi-annually, from 2022 through 2027.</w:t>
      </w: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Title XI Debt: </w:t>
      </w:r>
      <w:r>
        <w:rPr>
          <w:rFonts w:ascii="Arial" w:cs="Arial" w:eastAsia="Arial" w:hAnsi="Arial"/>
          <w:sz w:val="18"/>
          <w:szCs w:val="18"/>
          <w:color w:val="auto"/>
        </w:rPr>
        <w:t>In September 2003, MatNav issued $55.0 million in U.S. Government guaranteed vessel finance bonds (Title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XI) to finance the delivery of </w:t>
      </w:r>
      <w:r>
        <w:rPr>
          <w:rFonts w:ascii="Arial" w:cs="Arial" w:eastAsia="Arial" w:hAnsi="Arial"/>
          <w:sz w:val="18"/>
          <w:szCs w:val="18"/>
          <w:i w:val="1"/>
          <w:iCs w:val="1"/>
          <w:color w:val="auto"/>
        </w:rPr>
        <w:t>Manukai</w:t>
      </w:r>
      <w:r>
        <w:rPr>
          <w:rFonts w:ascii="Arial" w:cs="Arial" w:eastAsia="Arial" w:hAnsi="Arial"/>
          <w:sz w:val="18"/>
          <w:szCs w:val="18"/>
          <w:color w:val="auto"/>
        </w:rPr>
        <w:t xml:space="preserve">. The secured bonds have a final maturity in September 2028 with a coupon rate of 5.34 percent. The bonds are amortized by semi-annual payments of $1.1 million plus interest. In August 2004, MatNav issued $55.0 million of U.S. Government guaranteed vessel finance bonds (Title XI) to finance the delivery of </w:t>
      </w:r>
      <w:r>
        <w:rPr>
          <w:rFonts w:ascii="Arial" w:cs="Arial" w:eastAsia="Arial" w:hAnsi="Arial"/>
          <w:sz w:val="18"/>
          <w:szCs w:val="18"/>
          <w:i w:val="1"/>
          <w:iCs w:val="1"/>
          <w:color w:val="auto"/>
        </w:rPr>
        <w:t>Maunawili</w:t>
      </w:r>
      <w:r>
        <w:rPr>
          <w:rFonts w:ascii="Arial" w:cs="Arial" w:eastAsia="Arial" w:hAnsi="Arial"/>
          <w:sz w:val="18"/>
          <w:szCs w:val="18"/>
          <w:color w:val="auto"/>
        </w:rPr>
        <w:t>. The secured bonds have a final maturity in July 2029 with a coupon rate of 5.27 percent. The bonds are amortized by semi-annual payments of $1.1 million plus interest.</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On June 29, 2017 (the “Closing Date”), the Company entered into an amended and restated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that provides the Company with additional sources of liquidity for working capital, capital expenditures and investment opportunities, and amends and restates the Company’s previously amended and restated credit agreement (the “Credit Agreement” or the “revolving credit facility”). The Credit Agreement expires on June 29, 2022, and provides for committed aggregate borrowing of up to $650 million, with an uncommitted option to increase the aggregate borrowing by up to $250 million. The aggregate borrowing within the Credit Agreement includes a $100 million sublimit for the issuance of standby and commercial letters of credit, and a $50 million sublimit for swing line loans. The Company may prepay any amounts outstanding under the Credit Agreement without premium or penalty. All obligations of the Company under the Credit Agreement are guaranteed by Matson’s principal operating subsidiary MatNav and by certain other subsidiaries.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Depending on the Company’s consolidated net leverage ratio, borrowings under the Credit Agreement bear interest at either LIBOR plus a margin of between 1.00 percent and 1.75 percent or the base rate plus a margin of between zero percent and 0.75 percent. Letters of credit are subject to fees based on the Company’s consolidated net leverage ratio at a rate of between</w:t>
      </w:r>
    </w:p>
    <w:p>
      <w:pPr>
        <w:ind w:right="680"/>
        <w:spacing w:after="0" w:line="261" w:lineRule="auto"/>
        <w:rPr>
          <w:sz w:val="20"/>
          <w:szCs w:val="20"/>
          <w:color w:val="auto"/>
        </w:rPr>
      </w:pPr>
      <w:r>
        <w:rPr>
          <w:rFonts w:ascii="Arial" w:cs="Arial" w:eastAsia="Arial" w:hAnsi="Arial"/>
          <w:sz w:val="18"/>
          <w:szCs w:val="18"/>
          <w:color w:val="auto"/>
        </w:rPr>
        <w:t>1.00 percent and 1.75 percent. The Company also pays a commitment fee of between 0.15 percent and 0.30 percent depending on the Company’s consolidated net leverage ratio.</w:t>
      </w:r>
    </w:p>
    <w:p>
      <w:pPr>
        <w:spacing w:after="0" w:line="184"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As of December 31, 2019, the Company had $75.1 million of remaining availability under the Credit Agreement. The Company used $7.7 million of the sublimit for letters of credit outstanding as of December 31, 2019. Based on the Company’s consolidated net leverage ratio, which stipulates borrowing margins, the interest rate applicable to revolving credit facility usage was approximately 3.33 percent at December 31, 2019.</w:t>
      </w:r>
    </w:p>
    <w:p>
      <w:pPr>
        <w:spacing w:after="0" w:line="171"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i w:val="1"/>
          <w:iCs w:val="1"/>
          <w:color w:val="auto"/>
        </w:rPr>
        <w:t xml:space="preserve">Amendments to Existing Private Placement Term Loan Facilities and New Shelf Facilities (“Private Loan Facilities”):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2017, the Company and the holders of the Company’s term loans entered into amendments (collectively, the “2017 Amendments”) to each of the term loan agreements and amendments thereto, previously issued prior to the Closing Date.</w:t>
      </w:r>
    </w:p>
    <w:p>
      <w:pPr>
        <w:ind w:right="100"/>
        <w:spacing w:after="0" w:line="254" w:lineRule="auto"/>
        <w:rPr>
          <w:sz w:val="20"/>
          <w:szCs w:val="20"/>
          <w:color w:val="auto"/>
        </w:rPr>
      </w:pPr>
      <w:r>
        <w:rPr>
          <w:rFonts w:ascii="Arial" w:cs="Arial" w:eastAsia="Arial" w:hAnsi="Arial"/>
          <w:sz w:val="18"/>
          <w:szCs w:val="18"/>
          <w:color w:val="auto"/>
        </w:rPr>
        <w:t>The 2017 Amendments provide for amendments to certain covenants and other terms, including (at the Company’s option under certain circumstances) adjustments to the required consolidated leverage ratio, and, in connection with the exercise of such option, the payment of additional interest for certain pre-defined periods. Interest rates and other substantive terms remained unchanged.</w:t>
      </w:r>
    </w:p>
    <w:p>
      <w:pPr>
        <w:spacing w:after="0" w:line="1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The Company incurs interest on debt based upon the levels of outstanding borrowings throughout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related interest rates as described above. Interest rates on the private placement term loans increase when the Company elects for Special Relief Periods to the maximum consolidated leverage ratio as defined within the 2017 Amendments.</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Debt Covenants in the Private Placement Term Loans and the Revolving Credit Facility</w:t>
      </w:r>
      <w:r>
        <w:rPr>
          <w:rFonts w:ascii="Arial" w:cs="Arial" w:eastAsia="Arial" w:hAnsi="Arial"/>
          <w:sz w:val="16"/>
          <w:szCs w:val="16"/>
          <w:color w:val="auto"/>
        </w:rPr>
        <w:t>: The Credit Agreement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Loan Facilities (collectively, the “Private Debt Agreements”) contain affirmative, negative and financial covenants customary for financings of this type, including, among other things, limitations on certain other indebtedness, loans and investments, liens, mergers, asset sales, and transactions with affiliates as defined within the Private Debt Agreements. The Private Debt Agreements also contain customary events of default, including cross defaults to other material indebtedness, including the Title XI Debt (as defined below). A brief description of the principal covenants contained in the Private Debt Agreements includes, but is not limited to the following (as defined within the Agreements):</w:t>
      </w:r>
    </w:p>
    <w:p>
      <w:pPr>
        <w:spacing w:after="0" w:line="13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Minimum Consolidated Interest Coverage Ratio as of the end of any fiscal quarter is not permitted to be less than 3.50 to 1.0;</w:t>
      </w:r>
    </w:p>
    <w:p>
      <w:pPr>
        <w:spacing w:after="0" w:line="1" w:lineRule="exact"/>
        <w:rPr>
          <w:sz w:val="20"/>
          <w:szCs w:val="20"/>
          <w:color w:val="auto"/>
        </w:rPr>
      </w:pPr>
    </w:p>
    <w:p>
      <w:pPr>
        <w:ind w:left="340" w:right="40"/>
        <w:spacing w:after="0" w:line="265" w:lineRule="auto"/>
        <w:rPr>
          <w:sz w:val="20"/>
          <w:szCs w:val="20"/>
          <w:color w:val="auto"/>
        </w:rPr>
      </w:pPr>
      <w:r>
        <w:rPr>
          <w:rFonts w:ascii="Arial" w:cs="Arial" w:eastAsia="Arial" w:hAnsi="Arial"/>
          <w:sz w:val="17"/>
          <w:szCs w:val="17"/>
          <w:color w:val="auto"/>
        </w:rPr>
        <w:t>Maximum Consolidated Leverage Ratio as of the end of any fiscal quarter is not permitted to exceed 3.25 to 1.0, subject to the Company’s election of Special Relief Periods in which the Maximum Consolidated Leverage Ratio is</w:t>
      </w:r>
    </w:p>
    <w:p>
      <w:pPr>
        <w:sectPr>
          <w:pgSz w:w="11900" w:h="16838" w:orient="portrait"/>
          <w:cols w:equalWidth="0" w:num="1">
            <w:col w:w="9040"/>
          </w:cols>
          <w:pgMar w:left="1420" w:top="517" w:right="1439" w:bottom="1440" w:gutter="0" w:footer="0" w:header="0"/>
        </w:sect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775335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permitted to exceed 3.75 to 1.0 as described in the Private Debt Agreements;</w:t>
      </w:r>
    </w:p>
    <w:p>
      <w:pPr>
        <w:spacing w:after="0" w:line="18"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color w:val="auto"/>
        </w:rPr>
        <w:t>The principal amount of Priority Debt: (i) is not permitted to exceed 20 percent of Consolidated Tangible Assets at any time (subject to a reduction to 17.5 percent upon the earlier of December 31, 2017, or upon the occurrence of certain events), and; (ii) the principal amount of Priority Debt that is not Title XI Priority Debt at any time is not permitted to exceed 10 percent of Consolidated Tangible Assets.</w:t>
      </w:r>
    </w:p>
    <w:p>
      <w:pPr>
        <w:spacing w:after="0" w:line="19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Principal covenants generally will restrict the incurrence of liens except for permitted liens, which include, without limitation, liens securing Title XI Debt up to certain thresholds, as defined within the Private Debt Agreements. The Company was in compliance with these covenants as of December 31, 2019.</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Debt Covenants in the Title XI Debt Agreements: </w:t>
      </w:r>
      <w:r>
        <w:rPr>
          <w:rFonts w:ascii="Arial" w:cs="Arial" w:eastAsia="Arial" w:hAnsi="Arial"/>
          <w:sz w:val="16"/>
          <w:szCs w:val="16"/>
          <w:color w:val="auto"/>
        </w:rPr>
        <w:t>The Title XI debt agreements contain customary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as well as affirmative and negative covenants, defaults and other provisions typical for MARAD-guaranteed financings of this type, with definitions and limitations as defined within the Title XI debt agreements. These covenants include, among other things, minimum working capital and net worth requirements, limitations on certain other indebtedness, loans and investments, liens, mergers, asset sales, sale and leaseback transactions, and transactions with affiliates as defined within the Title XI debt agreements. Certain of the covenants in the Title XI debt agreements are applicable only upon and during the continuance of either (i) an event of default or (ii) the failure of MatNav to meet certain financial requirements.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Company’s capital lease obligations represent leasing of containers and other equipment, and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current and long-term debt in the Company’s Consolidated Balance Sheets. As of December 31, 2019, there were no capital lease obligations.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was unsecured, except for the Title XI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Debt Maturities: </w:t>
      </w:r>
      <w:r>
        <w:rPr>
          <w:rFonts w:ascii="Arial" w:cs="Arial" w:eastAsia="Arial" w:hAnsi="Arial"/>
          <w:sz w:val="18"/>
          <w:szCs w:val="18"/>
          <w:color w:val="auto"/>
        </w:rPr>
        <w:t>At December 31, 2019, debt maturities during the next five years and thereafter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hanging="651"/>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New Lease Accounting Standard: </w:t>
      </w:r>
      <w:r>
        <w:rPr>
          <w:rFonts w:ascii="Arial" w:cs="Arial" w:eastAsia="Arial" w:hAnsi="Arial"/>
          <w:sz w:val="18"/>
          <w:szCs w:val="18"/>
          <w:color w:val="auto"/>
        </w:rPr>
        <w:t>The Company adopted the new lease accounting standard ASC 842 on January 1,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made the following elections:</w:t>
      </w:r>
    </w:p>
    <w:p>
      <w:pPr>
        <w:spacing w:after="0" w:line="138"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Applied the transition requirements that resulted in a cumulative-effect adjustment of $4.4 million recorded to retained earnings at January 1, 2019, due to the elimination of deferred gains from the Company’s sale and leaseback transactions recorded in the Consolidated Balance Sheet as of December 31, 2018;</w:t>
      </w:r>
    </w:p>
    <w:p>
      <w:pPr>
        <w:spacing w:after="0" w:line="12" w:lineRule="exact"/>
        <w:rPr>
          <w:sz w:val="20"/>
          <w:szCs w:val="20"/>
          <w:color w:val="auto"/>
        </w:rPr>
      </w:pPr>
    </w:p>
    <w:p>
      <w:pPr>
        <w:ind w:left="340" w:right="180"/>
        <w:spacing w:after="0" w:line="250" w:lineRule="auto"/>
        <w:rPr>
          <w:sz w:val="20"/>
          <w:szCs w:val="20"/>
          <w:color w:val="auto"/>
        </w:rPr>
      </w:pPr>
      <w:r>
        <w:rPr>
          <w:rFonts w:ascii="Arial" w:cs="Arial" w:eastAsia="Arial" w:hAnsi="Arial"/>
          <w:sz w:val="18"/>
          <w:szCs w:val="18"/>
          <w:color w:val="auto"/>
        </w:rPr>
        <w:t>Elected to apply the package of practical expedient permitted under the transition guidance which allows, among other things, the historical lease classification and initial direct costs to be carried forward;</w:t>
      </w:r>
    </w:p>
    <w:p>
      <w:pPr>
        <w:ind w:left="340" w:right="240"/>
        <w:spacing w:after="0" w:line="250" w:lineRule="auto"/>
        <w:rPr>
          <w:sz w:val="20"/>
          <w:szCs w:val="20"/>
          <w:color w:val="auto"/>
        </w:rPr>
      </w:pPr>
      <w:r>
        <w:rPr>
          <w:rFonts w:ascii="Arial" w:cs="Arial" w:eastAsia="Arial" w:hAnsi="Arial"/>
          <w:sz w:val="18"/>
          <w:szCs w:val="18"/>
          <w:color w:val="auto"/>
        </w:rPr>
        <w:t>Elected the short-term lease exception which allows the Company to exclude leases with an initial term of one year or less from recognition on the Consolidated Balance Sheets;</w:t>
      </w:r>
    </w:p>
    <w:p>
      <w:pPr>
        <w:ind w:left="340" w:right="320"/>
        <w:spacing w:after="0" w:line="250" w:lineRule="auto"/>
        <w:rPr>
          <w:sz w:val="20"/>
          <w:szCs w:val="20"/>
          <w:color w:val="auto"/>
        </w:rPr>
      </w:pPr>
      <w:r>
        <w:rPr>
          <w:rFonts w:ascii="Arial" w:cs="Arial" w:eastAsia="Arial" w:hAnsi="Arial"/>
          <w:sz w:val="18"/>
          <w:szCs w:val="18"/>
          <w:color w:val="auto"/>
        </w:rPr>
        <w:t>Elected to separate non-lease components by underlying asset class for real estate and terminal leases and operations equipment leases; and</w:t>
      </w:r>
    </w:p>
    <w:p>
      <w:pPr>
        <w:ind w:left="340" w:right="480"/>
        <w:spacing w:after="0" w:line="255" w:lineRule="auto"/>
        <w:rPr>
          <w:sz w:val="20"/>
          <w:szCs w:val="20"/>
          <w:color w:val="auto"/>
        </w:rPr>
      </w:pPr>
      <w:r>
        <w:rPr>
          <w:rFonts w:ascii="Arial" w:cs="Arial" w:eastAsia="Arial" w:hAnsi="Arial"/>
          <w:sz w:val="18"/>
          <w:szCs w:val="18"/>
          <w:color w:val="auto"/>
        </w:rPr>
        <w:t>Elected to use a portfolio approach in applying discount rates to leases based upon the lease terms in the following categories: (i) one to five years; (ii) six to ten years; (iii) eleven to fifteen years; and (iv) sixteen years and greater, regardless of the type of underlying asset class.</w:t>
      </w:r>
    </w:p>
    <w:p>
      <w:pPr>
        <w:sectPr>
          <w:pgSz w:w="11900" w:h="16838" w:orient="portrait"/>
          <w:cols w:equalWidth="0" w:num="1">
            <w:col w:w="9060"/>
          </w:cols>
          <w:pgMar w:left="1420" w:top="517" w:right="141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adoption of ASC 842, the Company recorded a right-of-use asset of $251.4 million and a corresponding operating lease liability of $259.1 million at January 1, 2019. As part of the adoption, the Company recorded a net adjustment to retained earnings of $4.4 million at January 1, 2019. The adoption of ASC 842 did not have a significant impact on the Company’s current earnings, liquidity or existing debt covenant requirements. Significant assumptions and judgments made in applying the new lease accounting standard include determining the Company’s incremental borrowing rate and evaluating the probability of exercising lease options.</w:t>
      </w:r>
    </w:p>
    <w:p>
      <w:pPr>
        <w:spacing w:after="0" w:line="19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Description of Operating Leases: </w:t>
      </w:r>
      <w:r>
        <w:rPr>
          <w:rFonts w:ascii="Arial" w:cs="Arial" w:eastAsia="Arial" w:hAnsi="Arial"/>
          <w:sz w:val="16"/>
          <w:szCs w:val="16"/>
          <w:color w:val="auto"/>
        </w:rPr>
        <w:t>The Company has different types of operating leases, the specific terms and conditions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Except for the residual value guarantee described below, the Company’s leases do not contain any other residual value guarantees.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sub-lease income was nominal to the Company’s Consolidated Statements of Income and Comprehensive Income for the year ended December 31, 2019. The Company did not have any finance leases during the year ended December 31, 2019.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lease type by underlying asset class and maximum terms of the Company’s operating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Lease Type: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Vessel charter leases</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equipment and other leases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Incremental Borrowing Rate: </w:t>
      </w:r>
      <w:r>
        <w:rPr>
          <w:rFonts w:ascii="Arial" w:cs="Arial" w:eastAsia="Arial" w:hAnsi="Arial"/>
          <w:sz w:val="18"/>
          <w:szCs w:val="18"/>
          <w:color w:val="auto"/>
        </w:rPr>
        <w:t>As most of the Company’s operating leases do not provide an implicit rate, the Company uses</w:t>
      </w:r>
      <w:r>
        <w:rPr>
          <w:rFonts w:ascii="Arial" w:cs="Arial" w:eastAsia="Arial" w:hAnsi="Arial"/>
          <w:sz w:val="18"/>
          <w:szCs w:val="18"/>
          <w:i w:val="1"/>
          <w:iCs w:val="1"/>
          <w:color w:val="auto"/>
        </w:rPr>
        <w:t xml:space="preserve"> </w:t>
      </w:r>
      <w:r>
        <w:rPr>
          <w:rFonts w:ascii="Arial" w:cs="Arial" w:eastAsia="Arial" w:hAnsi="Arial"/>
          <w:sz w:val="18"/>
          <w:szCs w:val="18"/>
          <w:color w:val="auto"/>
        </w:rPr>
        <w:t>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Consolidated Statement of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year ended December 31, 2019 consisted of the following:</w:t>
      </w:r>
    </w:p>
    <w:tbl>
      <w:tblPr>
        <w:tblLayout w:type="fixed"/>
        <w:tblInd w:w="0" w:type="dxa"/>
        <w:tblCellMar>
          <w:top w:w="0" w:type="dxa"/>
          <w:left w:w="0" w:type="dxa"/>
          <w:bottom w:w="0" w:type="dxa"/>
          <w:right w:w="0" w:type="dxa"/>
        </w:tblCellMar>
      </w:tblPr>
      <w:tr>
        <w:trPr>
          <w:trHeight w:val="148"/>
        </w:trPr>
        <w:tc>
          <w:tcPr>
            <w:tcW w:w="4380" w:type="dxa"/>
            <w:vAlign w:val="bottom"/>
          </w:tcPr>
          <w:p>
            <w:pPr>
              <w:spacing w:after="0"/>
              <w:rPr>
                <w:sz w:val="12"/>
                <w:szCs w:val="12"/>
                <w:color w:val="auto"/>
              </w:rPr>
            </w:pPr>
          </w:p>
        </w:tc>
        <w:tc>
          <w:tcPr>
            <w:tcW w:w="4440" w:type="dxa"/>
            <w:vAlign w:val="bottom"/>
          </w:tcPr>
          <w:p>
            <w:pPr>
              <w:jc w:val="center"/>
              <w:ind w:left="3568"/>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40" w:type="dxa"/>
            <w:vAlign w:val="bottom"/>
          </w:tcPr>
          <w:p>
            <w:pPr>
              <w:jc w:val="center"/>
              <w:ind w:left="35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380" w:type="dxa"/>
            <w:vAlign w:val="bottom"/>
            <w:vMerge w:val="continue"/>
          </w:tcPr>
          <w:p>
            <w:pPr>
              <w:spacing w:after="0"/>
              <w:rPr>
                <w:sz w:val="16"/>
                <w:szCs w:val="16"/>
                <w:color w:val="auto"/>
              </w:rPr>
            </w:pPr>
          </w:p>
        </w:tc>
        <w:tc>
          <w:tcPr>
            <w:tcW w:w="4440" w:type="dxa"/>
            <w:vAlign w:val="bottom"/>
          </w:tcPr>
          <w:p>
            <w:pPr>
              <w:jc w:val="center"/>
              <w:ind w:left="356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74611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rPr>
          <w:sz w:val="20"/>
          <w:szCs w:val="20"/>
          <w:color w:val="auto"/>
        </w:rPr>
      </w:pPr>
      <w:r>
        <w:rPr>
          <w:rFonts w:ascii="Arial" w:cs="Arial" w:eastAsia="Arial" w:hAnsi="Arial"/>
          <w:sz w:val="16"/>
          <w:szCs w:val="16"/>
          <w:color w:val="auto"/>
        </w:rPr>
        <w:t>Operating lease cost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4611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ind w:left="892" w:hanging="892"/>
        <w:spacing w:after="0"/>
        <w:tabs>
          <w:tab w:leader="none" w:pos="892" w:val="left"/>
        </w:tabs>
        <w:numPr>
          <w:ilvl w:val="0"/>
          <w:numId w:val="45"/>
        </w:numPr>
        <w:rPr>
          <w:rFonts w:ascii="Arial" w:cs="Arial" w:eastAsia="Arial" w:hAnsi="Arial"/>
          <w:sz w:val="16"/>
          <w:szCs w:val="16"/>
          <w:color w:val="auto"/>
        </w:rPr>
      </w:pPr>
      <w:r>
        <w:rPr>
          <w:rFonts w:ascii="Arial" w:cs="Arial" w:eastAsia="Arial" w:hAnsi="Arial"/>
          <w:sz w:val="16"/>
          <w:szCs w:val="16"/>
          <w:color w:val="auto"/>
        </w:rPr>
        <w:t>71.4</w:t>
      </w:r>
    </w:p>
    <w:p>
      <w:pPr>
        <w:spacing w:after="0" w:line="30" w:lineRule="exact"/>
        <w:rPr>
          <w:rFonts w:ascii="Arial" w:cs="Arial" w:eastAsia="Arial" w:hAnsi="Arial"/>
          <w:sz w:val="16"/>
          <w:szCs w:val="16"/>
          <w:color w:val="auto"/>
        </w:rPr>
      </w:pPr>
    </w:p>
    <w:p>
      <w:pPr>
        <w:ind w:left="992"/>
        <w:spacing w:after="0"/>
        <w:rPr>
          <w:rFonts w:ascii="Arial" w:cs="Arial" w:eastAsia="Arial" w:hAnsi="Arial"/>
          <w:sz w:val="16"/>
          <w:szCs w:val="16"/>
          <w:color w:val="auto"/>
        </w:rPr>
      </w:pPr>
      <w:r>
        <w:rPr>
          <w:rFonts w:ascii="Arial" w:cs="Arial" w:eastAsia="Arial" w:hAnsi="Arial"/>
          <w:sz w:val="15"/>
          <w:szCs w:val="15"/>
          <w:color w:val="auto"/>
        </w:rPr>
        <w:t>5.9</w:t>
      </w:r>
    </w:p>
    <w:p>
      <w:pPr>
        <w:spacing w:after="0" w:line="43" w:lineRule="exact"/>
        <w:rPr>
          <w:rFonts w:ascii="Arial" w:cs="Arial" w:eastAsia="Arial" w:hAnsi="Arial"/>
          <w:sz w:val="16"/>
          <w:szCs w:val="16"/>
          <w:color w:val="auto"/>
        </w:rPr>
      </w:pPr>
    </w:p>
    <w:p>
      <w:pPr>
        <w:ind w:left="992"/>
        <w:spacing w:after="0"/>
        <w:rPr>
          <w:rFonts w:ascii="Arial" w:cs="Arial" w:eastAsia="Arial" w:hAnsi="Arial"/>
          <w:sz w:val="16"/>
          <w:szCs w:val="16"/>
          <w:color w:val="auto"/>
        </w:rPr>
      </w:pPr>
      <w:r>
        <w:rPr>
          <w:rFonts w:ascii="Arial" w:cs="Arial" w:eastAsia="Arial" w:hAnsi="Arial"/>
          <w:sz w:val="15"/>
          <w:szCs w:val="15"/>
          <w:color w:val="auto"/>
        </w:rPr>
        <w:t>0.4</w:t>
      </w:r>
    </w:p>
    <w:p>
      <w:pPr>
        <w:spacing w:after="0" w:line="44" w:lineRule="exact"/>
        <w:rPr>
          <w:sz w:val="20"/>
          <w:szCs w:val="20"/>
          <w:color w:val="auto"/>
        </w:rPr>
      </w:pPr>
    </w:p>
    <w:p>
      <w:pPr>
        <w:ind w:left="892" w:hanging="892"/>
        <w:spacing w:after="0"/>
        <w:tabs>
          <w:tab w:leader="none" w:pos="8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8058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8058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805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068" w:space="720"/>
            <w:col w:w="1272"/>
          </w:cols>
          <w:pgMar w:left="1420" w:top="517" w:right="1419" w:bottom="1440" w:gutter="0" w:footer="0" w:header="0"/>
          <w:type w:val="continuous"/>
        </w:sectPr>
      </w:pPr>
    </w:p>
    <w:p>
      <w:pPr>
        <w:spacing w:after="0" w:line="52"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i w:val="1"/>
          <w:iCs w:val="1"/>
          <w:color w:val="auto"/>
        </w:rPr>
        <w:t xml:space="preserve">Other Lease Information: </w:t>
      </w:r>
      <w:r>
        <w:rPr>
          <w:rFonts w:ascii="Arial" w:cs="Arial" w:eastAsia="Arial" w:hAnsi="Arial"/>
          <w:sz w:val="18"/>
          <w:szCs w:val="18"/>
          <w:color w:val="auto"/>
        </w:rPr>
        <w:t>Other information related to the Company’s operating leases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is as follows:</w:t>
      </w:r>
    </w:p>
    <w:tbl>
      <w:tblPr>
        <w:tblLayout w:type="fixed"/>
        <w:tblInd w:w="0" w:type="dxa"/>
        <w:tblCellMar>
          <w:top w:w="0" w:type="dxa"/>
          <w:left w:w="0" w:type="dxa"/>
          <w:bottom w:w="0" w:type="dxa"/>
          <w:right w:w="0" w:type="dxa"/>
        </w:tblCellMar>
      </w:tblPr>
      <w:tr>
        <w:trPr>
          <w:trHeight w:val="141"/>
        </w:trPr>
        <w:tc>
          <w:tcPr>
            <w:tcW w:w="7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9"/>
              <w:spacing w:after="0" w:line="141"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operating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Right of use assets obtained in the exchange for new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341"/>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operating lease term</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Weighted-average incremental borrowing rate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9060"/>
          </w:cols>
          <w:pgMar w:left="1420" w:top="517" w:right="14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at December 31, 2019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8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75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Less: Interest</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Less: Short-term portion</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gridSpan w:val="2"/>
            <w:shd w:val="clear" w:color="auto" w:fill="CCEEFF"/>
          </w:tcPr>
          <w:p>
            <w:pPr>
              <w:jc w:val="right"/>
              <w:ind w:right="12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spacing w:after="0"/>
              <w:rPr>
                <w:sz w:val="20"/>
                <w:szCs w:val="20"/>
                <w:color w:val="auto"/>
              </w:rPr>
            </w:pPr>
            <w:r>
              <w:rPr>
                <w:rFonts w:ascii="Arial" w:cs="Arial" w:eastAsia="Arial" w:hAnsi="Arial"/>
                <w:sz w:val="18"/>
                <w:szCs w:val="18"/>
                <w:color w:val="auto"/>
                <w:w w:val="97"/>
              </w:rPr>
              <w:t>Future minimum payments under operating lease agreements at December 31, 2018 are as follows: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0" w:type="dxa"/>
            <w:vAlign w:val="bottom"/>
            <w:gridSpan w:val="4"/>
          </w:tcPr>
          <w:p>
            <w:pPr>
              <w:spacing w:after="0"/>
              <w:rPr>
                <w:sz w:val="20"/>
                <w:szCs w:val="20"/>
                <w:color w:val="auto"/>
              </w:rPr>
            </w:pPr>
            <w:r>
              <w:rPr>
                <w:rFonts w:ascii="Arial" w:cs="Arial" w:eastAsia="Arial" w:hAnsi="Arial"/>
                <w:sz w:val="14"/>
                <w:szCs w:val="14"/>
                <w:b w:val="1"/>
                <w:bCs w:val="1"/>
                <w:color w:val="auto"/>
              </w:rPr>
              <w:t>Year (in millions)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Charter and Buyer-Lessor Guaranty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Vessel Charter: </w:t>
      </w:r>
      <w:r>
        <w:rPr>
          <w:rFonts w:ascii="Arial" w:cs="Arial" w:eastAsia="Arial" w:hAnsi="Arial"/>
          <w:sz w:val="18"/>
          <w:szCs w:val="18"/>
          <w:color w:val="auto"/>
        </w:rPr>
        <w:t>On November 26, 2018, a wholly-owned subsidiary of the Company entered into agreements whereby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vessel,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owned by the subsidiary, was sold for $106.0 million and subsequently leased back from the buyer-lessor under a Bareboat Charter Agreement (the “Charter”). The transaction qualified for sale and leaseback treatment under ASC 840, </w:t>
      </w:r>
      <w:r>
        <w:rPr>
          <w:rFonts w:ascii="Arial" w:cs="Arial" w:eastAsia="Arial" w:hAnsi="Arial"/>
          <w:sz w:val="18"/>
          <w:szCs w:val="18"/>
          <w:i w:val="1"/>
          <w:iCs w:val="1"/>
          <w:color w:val="auto"/>
        </w:rPr>
        <w:t>Leases</w:t>
      </w:r>
      <w:r>
        <w:rPr>
          <w:rFonts w:ascii="Arial" w:cs="Arial" w:eastAsia="Arial" w:hAnsi="Arial"/>
          <w:sz w:val="18"/>
          <w:szCs w:val="18"/>
          <w:color w:val="auto"/>
        </w:rPr>
        <w:t>, with the Charter treated as an operating lease for accounting purposes. Lease payments are approximately $3.0 million per quarter, and the base term of the Charter is five years with a two year end-of-term renewal option. Total future minimum lease payments were $47.9 million at December 31, 2019, and are included in the maturities of operating lease liabilities table at December 31, 2019.</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Prior to the expiration of the base term of the Charter, the subsidiary may, at its option, elect to: (i) purchase the vessel at the option price; (ii) exercise the option to renew the Charter for an additional two years; or (iii) remarket the vessel to sell to a third-party on behalf of the buyer-lessor. The purchase option price is $68.9 million after the base term and $58.3 million after the extended term. The Charter also includes a maximum residual value guarantee amount of $50.9 million after five years, or $47.7 million after the extended term. Proceeds from the sale of the vessel reduces the subsidiary’s residual value guarantee.</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Buyer-Lessor Guaranty: </w:t>
      </w:r>
      <w:r>
        <w:rPr>
          <w:rFonts w:ascii="Arial" w:cs="Arial" w:eastAsia="Arial" w:hAnsi="Arial"/>
          <w:sz w:val="18"/>
          <w:szCs w:val="18"/>
          <w:color w:val="auto"/>
        </w:rPr>
        <w:t>Matson, Inc. provided the buyer-lessor with a guaranty of all obligations of the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related to the Charter as defined in the guaranty agreement.</w:t>
      </w:r>
    </w:p>
    <w:p>
      <w:pPr>
        <w:spacing w:after="0" w:line="247" w:lineRule="exact"/>
        <w:rPr>
          <w:sz w:val="20"/>
          <w:szCs w:val="20"/>
          <w:color w:val="auto"/>
        </w:rPr>
      </w:pPr>
    </w:p>
    <w:p>
      <w:pPr>
        <w:ind w:left="660" w:hanging="651"/>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On December 22, 2017, the Tax Act was signed into law and included numerous changes to existing tax law,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reduction in the federal corporate income tax rate from 35 percent to 21 percent. The rate reduction and other changes took effect on January 1, 2018. Other changes such as remeasurement of deferred tax assets and liabilities were effective as of the fourth quarter of 2017.</w:t>
      </w:r>
    </w:p>
    <w:p>
      <w:pPr>
        <w:spacing w:after="0" w:line="17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 connection with the Company’s analysis of the impact of the Tax Act, the Company recorded a net tax benefit of $154.0 million related to the remeasurement and other discrete adjustments to the Company’s deferred tax assets and liabilities during the year ended December 31, 2017. In addition, the Company recorded a non-cash tax adjustment of</w:t>
      </w: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$2.9 million that increased current income taxes during the year ended December 31, 2018. This adjustment related to the application of an estimated 6.2 percent sequestration on alternative minimum tax (AMT) refunds for the years 2018 to 2021. On January 19, 2019, the Internal Revenue Service issued new guidance indicating that sequestration would not apply to refundable AMT credits. In accordance with this new guidance, the Company recorded a non-cash tax adjustment of $2.9 million that reduced current income taxes during the year ended December 31,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Income taxes for the years ended December 31, 2019, 2018 and 2017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Discrete adjustments related to the Tax Act (1)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Deferred tax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Remeasurement and discrete adjustments related to the Tax Act (2)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60" w:hanging="331"/>
        <w:spacing w:after="0" w:line="24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Current income taxes for the years ended December 31, 2019 and 2018 include a non-cash income tax benefit of $2.9 million and a non-cash income tax expense of $2.9 million, respectively, which relates to discrete adjustments as a result of applying the provisions of the Tax Act.</w:t>
      </w:r>
    </w:p>
    <w:p>
      <w:pPr>
        <w:ind w:left="340" w:right="40" w:hanging="331"/>
        <w:spacing w:after="0" w:line="384" w:lineRule="auto"/>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Deferred income taxes for the year ended December 31, 2017 includes a non-cash income tax benefit of $154.0 million, which relates to the remeasurement of the Company’s deferred tax assets and liabilities and other discrete adjustments as a result of applying the provisions of the Tax Act.</w:t>
      </w:r>
    </w:p>
    <w:p>
      <w:pPr>
        <w:spacing w:after="0" w:line="132"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color w:val="auto"/>
        </w:rPr>
        <w:t>Income taxes for the years ended December 31, 2019, 2018 and 2017 differ from amounts computed by applying the statutory federal rate to income before income taxes for the following reasons: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State income tax</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4.1 %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Foreign taxes</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0.6 %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Remeasurement and discrete adjustments related to the Tax Act (1)</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(123.0)%</w:t>
            </w: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 net</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10"/>
        </w:trPr>
        <w:tc>
          <w:tcPr>
            <w:tcW w:w="20" w:type="dxa"/>
            <w:vAlign w:val="bottom"/>
          </w:tcPr>
          <w:p>
            <w:pPr>
              <w:spacing w:after="0"/>
              <w:rPr>
                <w:sz w:val="18"/>
                <w:szCs w:val="18"/>
                <w:color w:val="auto"/>
              </w:rPr>
            </w:pPr>
          </w:p>
        </w:tc>
        <w:tc>
          <w:tcPr>
            <w:tcW w:w="6780" w:type="dxa"/>
            <w:vAlign w:val="bottom"/>
            <w:gridSpan w:val="3"/>
          </w:tcPr>
          <w:p>
            <w:pPr>
              <w:ind w:left="100"/>
              <w:spacing w:after="0"/>
              <w:rPr>
                <w:sz w:val="20"/>
                <w:szCs w:val="20"/>
                <w:color w:val="auto"/>
              </w:rPr>
            </w:pPr>
            <w:r>
              <w:rPr>
                <w:rFonts w:ascii="Arial" w:cs="Arial" w:eastAsia="Arial" w:hAnsi="Arial"/>
                <w:sz w:val="18"/>
                <w:szCs w:val="18"/>
                <w:color w:val="auto"/>
              </w:rPr>
              <w:t>Effective income tax rate</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2" w:lineRule="exact"/>
        <w:rPr>
          <w:sz w:val="20"/>
          <w:szCs w:val="20"/>
          <w:color w:val="auto"/>
        </w:rPr>
      </w:pPr>
    </w:p>
    <w:p>
      <w:pPr>
        <w:ind w:left="340" w:right="40" w:hanging="331"/>
        <w:spacing w:after="0" w:line="234"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Effective income tax rate for the years ended December 31, 2019, 2018 and 2017 includes the impact of a non-cash income tax benefit of $2.9 million, or 2.7 percent, a non-cash income tax expense of $2.9 million, or 2.0 percent, and a non-cash income tax benefit of $154.0 million, or 123.0 percent, respectively, related to the remeasurement of the Company’s deferred assets and liabilities and other discrete adjustments as a result of applying the provisions of the Tax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deferred tax liabilities at December 31, 2019 and 2018,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post-retirement plans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Multi-employer withdrawal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net operating losses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State net operating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 alternative minimum tax credits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Foreign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 differences for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Lease financing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Construction Fund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i w:val="1"/>
          <w:iCs w:val="1"/>
          <w:color w:val="auto"/>
        </w:rPr>
        <w:t xml:space="preserve">Valuation Allowance: </w:t>
      </w:r>
      <w:r>
        <w:rPr>
          <w:rFonts w:ascii="Arial" w:cs="Arial" w:eastAsia="Arial" w:hAnsi="Arial"/>
          <w:sz w:val="17"/>
          <w:szCs w:val="17"/>
          <w:color w:val="auto"/>
        </w:rPr>
        <w:t>Valuation allowances recorded against the Company’s foreign income tax net 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(“NOLs”) and a portion of the state income tax NOLs were $10.6 million and $11.5 million as of December 31, 2019 and 2018, respectively. The Company believes that it is more likely than not that the benefit from these amounts will not be realized. The Company recorded a decrease (increase) to its valuation allowance of $0.9 million, ($1.1) million and $1.7 million during the years ended December 31, 2019, 2018 and 2017, respectively.</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Net Operating Losses and Tax Credit Carryforwards: </w:t>
      </w:r>
      <w:r>
        <w:rPr>
          <w:rFonts w:ascii="Arial" w:cs="Arial" w:eastAsia="Arial" w:hAnsi="Arial"/>
          <w:sz w:val="18"/>
          <w:szCs w:val="18"/>
          <w:color w:val="auto"/>
        </w:rPr>
        <w:t>The Company’s NOLs and tax credit carryforwards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9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 Date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NOLs</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 dates beginning in 2027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U.S. State income tax NOLs (1)</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Various dates beginning in 2032</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184.5</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U.S. State alternative minimum tax credit</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 expiration date</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income tax NOLs (2)</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No expiration date</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340" w:right="160" w:hanging="331"/>
        <w:spacing w:after="0" w:line="230"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does not expect to benefit from $157.9 million and $152.0 million of U.S. State income tax NOLs as of December 31, 2019 and 2018, respectively.</w:t>
      </w:r>
    </w:p>
    <w:p>
      <w:pPr>
        <w:ind w:left="340" w:right="180" w:hanging="331"/>
        <w:spacing w:after="0" w:line="237"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has recorded a valuation allowance of $14.0 million and $18.4 million against the foreign income tax NOLs as of December 31, 2019 and 2018, respectively.</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 federal and state income tax NOLs in the Company’s filed income tax returns include unrecognized tax benefits. The deferred tax assets recognized for those NOLs are presented net of these unrecognized tax benefits. As a result of changes in tax legislation, the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ectPr>
          <w:pgSz w:w="11900" w:h="16838" w:orient="portrait"/>
          <w:cols w:equalWidth="0" w:num="1">
            <w:col w:w="9060"/>
          </w:cols>
          <w:pgMar w:left="1420" w:top="517" w:right="1419" w:bottom="1440" w:gutter="0" w:footer="0" w:header="0"/>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775335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Total unrecognized benefits represent the amount that, if recognized, would favorably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incomes taxes and effective tax rate in future periods. The Company does not expect a material change in gross unrecognized benefits in the next twelve months. A reconciliation of the beginning and ending amount of gross unrecognized tax benefits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Unrecognized Tax Benefits (in millions)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8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Changes in tax positions of prior years,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Reductions for lapse of statute of limitations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Revaluation of unrecognized tax benefits due to the Tax Act (1)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Changes in tax positions of prior years,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Reductions for lapse of statute of limitations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tax positions of prior years,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Reductions for lapse of statute of limitations</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4</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r>
    </w:tbl>
    <w:p>
      <w:pPr>
        <w:ind w:left="340" w:hanging="331"/>
        <w:spacing w:after="0" w:line="205" w:lineRule="auto"/>
        <w:tabs>
          <w:tab w:leader="none" w:pos="340" w:val="left"/>
        </w:tabs>
        <w:numPr>
          <w:ilvl w:val="0"/>
          <w:numId w:val="51"/>
        </w:numPr>
        <w:rPr>
          <w:rFonts w:ascii="Arial" w:cs="Arial" w:eastAsia="Arial" w:hAnsi="Arial"/>
          <w:sz w:val="29"/>
          <w:szCs w:val="29"/>
          <w:color w:val="auto"/>
          <w:vertAlign w:val="superscript"/>
        </w:rPr>
      </w:pPr>
      <w:r>
        <w:rPr>
          <w:rFonts w:ascii="Arial" w:cs="Arial" w:eastAsia="Arial" w:hAnsi="Arial"/>
          <w:sz w:val="14"/>
          <w:szCs w:val="14"/>
          <w:color w:val="auto"/>
        </w:rPr>
        <w:t>Amount relates to the impact of applying the Tax Act during the year ended December 31, 2017.</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Included in the balance of unrecognized tax benefits at December 31, 2019 are potential benefits of $13.5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accrued related to the balance of unrecognized tax benefits totaled $0.1 million and $0.4 million as of December 31, 2019 and 2018, respectively.</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2014. The Company is routinely involved in state, local income and excise tax audits, and foreign tax audits.</w:t>
      </w:r>
    </w:p>
    <w:p>
      <w:pPr>
        <w:spacing w:after="0" w:line="383" w:lineRule="exact"/>
        <w:rPr>
          <w:sz w:val="20"/>
          <w:szCs w:val="20"/>
          <w:color w:val="auto"/>
        </w:rPr>
      </w:pPr>
    </w:p>
    <w:p>
      <w:pPr>
        <w:ind w:left="660" w:hanging="651"/>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two funded qualified single-employer defined benefit pension plans that cover certain non-bargaining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Plan Administration, Investments and Asset Allocations: </w:t>
      </w:r>
      <w:r>
        <w:rPr>
          <w:rFonts w:ascii="Arial" w:cs="Arial" w:eastAsia="Arial" w:hAnsi="Arial"/>
          <w:sz w:val="16"/>
          <w:szCs w:val="16"/>
          <w:color w:val="auto"/>
        </w:rPr>
        <w:t>The Company has a Benefits Investment Committee that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with investment advisors to establish investment policies, direct investments and select investment options for the qualified plans.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67"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target and actual asset allocations at December 31,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gridSpan w:val="3"/>
          </w:tcPr>
          <w:p>
            <w:pPr>
              <w:spacing w:after="0"/>
              <w:rPr>
                <w:sz w:val="20"/>
                <w:szCs w:val="20"/>
                <w:color w:val="auto"/>
              </w:rPr>
            </w:pPr>
            <w:r>
              <w:rPr>
                <w:rFonts w:ascii="Arial" w:cs="Arial" w:eastAsia="Arial" w:hAnsi="Arial"/>
                <w:sz w:val="14"/>
                <w:szCs w:val="14"/>
                <w:b w:val="1"/>
                <w:bCs w:val="1"/>
                <w:color w:val="auto"/>
              </w:rPr>
              <w:t>Asset Categories</w:t>
            </w:r>
          </w:p>
        </w:tc>
        <w:tc>
          <w:tcPr>
            <w:tcW w:w="6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8"/>
              </w:rPr>
              <w:t>Target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6 %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20" w:type="dxa"/>
            <w:vAlign w:val="bottom"/>
          </w:tcPr>
          <w:p>
            <w:pPr>
              <w:spacing w:after="0"/>
              <w:rPr>
                <w:sz w:val="18"/>
                <w:szCs w:val="18"/>
                <w:color w:val="auto"/>
              </w:rPr>
            </w:pP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and to a lesser extent, private equity investments in technology companies. All assets within specific funds are allocated to the target asset allocation of the fund.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Actual Return on Plan Assets</w:t>
            </w:r>
          </w:p>
        </w:tc>
        <w:tc>
          <w:tcPr>
            <w:tcW w:w="12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Returns</w:t>
            </w:r>
          </w:p>
        </w:tc>
      </w:tr>
      <w:tr>
        <w:trPr>
          <w:trHeight w:val="210"/>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One-year return</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Three-year return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9.5 %</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Five-year return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Long-term average return (since plan inception in 1989)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8.4 %</w:t>
            </w: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exchanges.</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Fixed Income Securities: </w:t>
      </w:r>
      <w:r>
        <w:rPr>
          <w:rFonts w:ascii="Arial" w:cs="Arial" w:eastAsia="Arial" w:hAnsi="Arial"/>
          <w:sz w:val="17"/>
          <w:szCs w:val="17"/>
          <w:color w:val="auto"/>
        </w:rPr>
        <w:t>Corporate bonds and U.S. government treasury and agency securities are valued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Real Estate and Private Equity Funds: </w:t>
      </w:r>
      <w:r>
        <w:rPr>
          <w:rFonts w:ascii="Arial" w:cs="Arial" w:eastAsia="Arial" w:hAnsi="Arial"/>
          <w:sz w:val="17"/>
          <w:szCs w:val="17"/>
          <w:color w:val="auto"/>
        </w:rPr>
        <w:t>The fair value of real estate and private equity funds are determined by the issuer</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their net asset value (“NAV”). NAV is determined by dividing the fund’s net assets, as recorded in the fund’s audited financial statements, by the number of units outstanding at the valuation date. Fair value for underlying investments in real estate is determined through independent property appraisals. Fair value of underlying investments in private equity funds is determined based on information provided by the general partner taking into consideration the purchase price of the underlying securities, developments concerning the investee company subsequent to the acquisition of the investment, financial data and projections of the investee company provided by the general partner, and such other factors as the general partner deems relevant.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pension plan assets at December 31, 2019 and 2018 by asset category,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gridSpan w:val="18"/>
          </w:tcPr>
          <w:p>
            <w:pPr>
              <w:ind w:left="20"/>
              <w:spacing w:after="0"/>
              <w:rPr>
                <w:sz w:val="20"/>
                <w:szCs w:val="20"/>
                <w:color w:val="auto"/>
              </w:rPr>
            </w:pPr>
            <w:r>
              <w:rPr>
                <w:rFonts w:ascii="Arial" w:cs="Arial" w:eastAsia="Arial" w:hAnsi="Arial"/>
                <w:sz w:val="14"/>
                <w:szCs w:val="14"/>
                <w:b w:val="1"/>
                <w:bCs w:val="1"/>
                <w:color w:val="auto"/>
              </w:rPr>
              <w:t>Fair Value Measurements at December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7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Investment grade U.S. 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High-yield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4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c>
          <w:tcPr>
            <w:tcW w:w="6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gridSpan w:val="4"/>
          </w:tcPr>
          <w:p>
            <w:pPr>
              <w:spacing w:after="0"/>
              <w:rPr>
                <w:sz w:val="20"/>
                <w:szCs w:val="20"/>
                <w:color w:val="auto"/>
              </w:rPr>
            </w:pPr>
            <w:r>
              <w:rPr>
                <w:rFonts w:ascii="Arial" w:cs="Arial" w:eastAsia="Arial" w:hAnsi="Arial"/>
                <w:sz w:val="18"/>
                <w:szCs w:val="18"/>
                <w:color w:val="auto"/>
              </w:rPr>
              <w:t>Total plan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19"/>
          </w:tcPr>
          <w:p>
            <w:pPr>
              <w:ind w:left="480"/>
              <w:spacing w:after="0"/>
              <w:rPr>
                <w:sz w:val="20"/>
                <w:szCs w:val="20"/>
                <w:color w:val="auto"/>
              </w:rPr>
            </w:pPr>
            <w:r>
              <w:rPr>
                <w:rFonts w:ascii="Arial" w:cs="Arial" w:eastAsia="Arial" w:hAnsi="Arial"/>
                <w:sz w:val="14"/>
                <w:szCs w:val="14"/>
                <w:b w:val="1"/>
                <w:bCs w:val="1"/>
                <w:color w:val="auto"/>
              </w:rPr>
              <w:t>Fair Value Measurements at December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7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grade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High-yield U.S. 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3"/>
            <w:vMerge w:val="restart"/>
          </w:tcPr>
          <w:p>
            <w:pPr>
              <w:ind w:left="200"/>
              <w:spacing w:after="0"/>
              <w:rPr>
                <w:sz w:val="20"/>
                <w:szCs w:val="20"/>
                <w:color w:val="auto"/>
              </w:rPr>
            </w:pPr>
            <w:r>
              <w:rPr>
                <w:rFonts w:ascii="Arial" w:cs="Arial" w:eastAsia="Arial" w:hAnsi="Arial"/>
                <w:sz w:val="18"/>
                <w:szCs w:val="18"/>
                <w:color w:val="auto"/>
              </w:rPr>
              <w:t>Investment measured at NAV (1)</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bottom w:val="single" w:sz="8" w:color="CCEEFF"/>
            </w:tcBorders>
            <w:gridSpan w:val="3"/>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plan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00" w:hanging="331"/>
        <w:spacing w:after="0" w:line="253"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Real estate and private equity funds for which fair value is measured using the NAV per share as a practical expedient are not leveled within the fair value hierarchy and are included as a reconciling item to total plan assets.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The Company’s funding policy is to contribute cash to its pension plans so that it meets at least the minimum contribution requirements. In 2019 and 2017, the Company contributed $10.0 million and $3.0 million, respectively, in pension contributions in these plans. There was no pension contribution to these plans in 2018.</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ectPr>
          <w:pgSz w:w="11900" w:h="16838" w:orient="portrait"/>
          <w:cols w:equalWidth="0" w:num="1">
            <w:col w:w="9060"/>
          </w:cols>
          <w:pgMar w:left="1420" w:top="517" w:right="141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funded qualified defined benefit pension plans and the unfunded post-retirement benefit plans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are shown below:</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restart"/>
          </w:tcPr>
          <w:p>
            <w:pPr>
              <w:jc w:val="right"/>
              <w:ind w:right="91"/>
              <w:spacing w:after="0"/>
              <w:rPr>
                <w:sz w:val="20"/>
                <w:szCs w:val="20"/>
                <w:color w:val="auto"/>
              </w:rPr>
            </w:pPr>
            <w:r>
              <w:rPr>
                <w:rFonts w:ascii="Arial" w:cs="Arial" w:eastAsia="Arial" w:hAnsi="Arial"/>
                <w:sz w:val="14"/>
                <w:szCs w:val="14"/>
                <w:b w:val="1"/>
                <w:bCs w:val="1"/>
                <w:color w:val="auto"/>
                <w:w w:val="93"/>
              </w:rPr>
              <w:t>Pension Benefits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232.1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 participants’ contributions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Actuarial (gain)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 net of subsidies received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Expenses paid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Employer contributions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Benefits paid, net of subsidies received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 paid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194.8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and Recognized Liability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Qualified pension and post-retirement benefits plans liabilities recognized in the Consolidated Balance Sheets and expenses recognized in accumulated other comprehensive income (loss) at December 31, 2019 and 2018 were as follows:</w:t>
      </w:r>
    </w:p>
    <w:tbl>
      <w:tblPr>
        <w:tblLayout w:type="fixed"/>
        <w:tblInd w:w="0" w:type="dxa"/>
        <w:tblCellMar>
          <w:top w:w="0" w:type="dxa"/>
          <w:left w:w="0" w:type="dxa"/>
          <w:bottom w:w="0" w:type="dxa"/>
          <w:right w:w="0" w:type="dxa"/>
        </w:tblCellMar>
      </w:tblPr>
      <w:tr>
        <w:trPr>
          <w:trHeight w:val="140"/>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1"/>
              </w:rPr>
              <w:t>Pension Benefits</w:t>
            </w:r>
          </w:p>
        </w:tc>
        <w:tc>
          <w:tcPr>
            <w:tcW w:w="140" w:type="dxa"/>
            <w:vAlign w:val="bottom"/>
          </w:tcPr>
          <w:p>
            <w:pPr>
              <w:spacing w:after="0"/>
              <w:rPr>
                <w:sz w:val="12"/>
                <w:szCs w:val="12"/>
                <w:color w:val="auto"/>
              </w:rPr>
            </w:pPr>
          </w:p>
        </w:tc>
        <w:tc>
          <w:tcPr>
            <w:tcW w:w="1320" w:type="dxa"/>
            <w:vAlign w:val="bottom"/>
            <w:gridSpan w:val="5"/>
          </w:tcPr>
          <w:p>
            <w:pPr>
              <w:jc w:val="center"/>
              <w:ind w:right="200"/>
              <w:spacing w:after="0" w:line="140"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3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(46.1)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(56.0)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(21.0)</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(55.2)</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(26.0)</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Net loss, net of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credit, net of taxes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for qualified defined benefit pension plans with an accumulated benefit obligation in excess of plan assets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is shown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238.3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60"/>
              <w:spacing w:after="0"/>
              <w:rPr>
                <w:sz w:val="20"/>
                <w:szCs w:val="20"/>
                <w:color w:val="auto"/>
              </w:rPr>
            </w:pPr>
            <w:r>
              <w:rPr>
                <w:rFonts w:ascii="Arial" w:cs="Arial" w:eastAsia="Arial" w:hAnsi="Arial"/>
                <w:sz w:val="18"/>
                <w:szCs w:val="18"/>
                <w:color w:val="auto"/>
                <w:w w:val="97"/>
              </w:rPr>
              <w:t>237.9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192.2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estimated net loss and prior service credit for the qualified pension plans that will be amortized from accumulated other comprehensive income (loss) is a net periodic cost of $1.5 million, net of tax, in 2020. The estimated net loss and prior service credit for the post-retirement benefit plans that will be amortized from accumulated other comprehensive income (loss) is a net periodic benefit credit of $2.3 million, net of tax, in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pacing w:after="0" w:line="17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Components of the net periodic benefit cost and other amounts recognized in other comprehensive income (loss) for the qualified pension plans and the post-retirement benefit plans during 2019, 2018 and 2017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7"/>
          </w:tcPr>
          <w:p>
            <w:pPr>
              <w:jc w:val="center"/>
              <w:ind w:left="273"/>
              <w:spacing w:after="0"/>
              <w:rPr>
                <w:sz w:val="20"/>
                <w:szCs w:val="20"/>
                <w:color w:val="auto"/>
              </w:rPr>
            </w:pPr>
            <w:r>
              <w:rPr>
                <w:rFonts w:ascii="Arial" w:cs="Arial" w:eastAsia="Arial" w:hAnsi="Arial"/>
                <w:sz w:val="14"/>
                <w:szCs w:val="14"/>
                <w:b w:val="1"/>
                <w:bCs w:val="1"/>
                <w:color w:val="auto"/>
                <w:w w:val="88"/>
              </w:rPr>
              <w:t>Pension Benefits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(13.5)</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Changes in Plan Assets and Benefit Obligations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in Other Comprehensive Income, net of tax:</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Net loss (gain)</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520" w:type="dxa"/>
            <w:vAlign w:val="bottom"/>
            <w:gridSpan w:val="2"/>
          </w:tcPr>
          <w:p>
            <w:pPr>
              <w:spacing w:after="0" w:line="182" w:lineRule="exact"/>
              <w:rPr>
                <w:sz w:val="20"/>
                <w:szCs w:val="20"/>
                <w:color w:val="auto"/>
              </w:rPr>
            </w:pPr>
            <w:r>
              <w:rPr>
                <w:rFonts w:ascii="Arial" w:cs="Arial" w:eastAsia="Arial" w:hAnsi="Arial"/>
                <w:sz w:val="18"/>
                <w:szCs w:val="18"/>
                <w:color w:val="auto"/>
              </w:rPr>
              <w:t>Total recognized in net periodic benefit cost and other</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to determine benefit information during 2019, 2018 and 2017 were as follows: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center"/>
              <w:ind w:right="110"/>
              <w:spacing w:after="0"/>
              <w:rPr>
                <w:sz w:val="20"/>
                <w:szCs w:val="20"/>
                <w:color w:val="auto"/>
              </w:rPr>
            </w:pPr>
            <w:r>
              <w:rPr>
                <w:rFonts w:ascii="Arial" w:cs="Arial" w:eastAsia="Arial" w:hAnsi="Arial"/>
                <w:sz w:val="14"/>
                <w:szCs w:val="14"/>
                <w:b w:val="1"/>
                <w:bCs w:val="1"/>
                <w:color w:val="auto"/>
                <w:w w:val="88"/>
              </w:rPr>
              <w:t>Pension Benefits</w:t>
            </w:r>
          </w:p>
        </w:tc>
        <w:tc>
          <w:tcPr>
            <w:tcW w:w="60" w:type="dxa"/>
            <w:vAlign w:val="bottom"/>
          </w:tcPr>
          <w:p>
            <w:pPr>
              <w:spacing w:after="0"/>
              <w:rPr>
                <w:sz w:val="14"/>
                <w:szCs w:val="14"/>
                <w:color w:val="auto"/>
              </w:rPr>
            </w:pPr>
          </w:p>
        </w:tc>
        <w:tc>
          <w:tcPr>
            <w:tcW w:w="202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1"/>
              </w:rPr>
              <w:t>Post-retirement Benefits</w:t>
            </w: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96"/>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r>
      <w:tr>
        <w:trPr>
          <w:trHeight w:val="210"/>
        </w:trPr>
        <w:tc>
          <w:tcPr>
            <w:tcW w:w="48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Discount rate (1)</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3.40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3.80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3.50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3.90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Expected return on plan assets</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w w:val="96"/>
              </w:rPr>
              <w:t>7.50 %</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7.50 %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7.75 %</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Rate of compensation increase</w:t>
            </w:r>
          </w:p>
        </w:tc>
        <w:tc>
          <w:tcPr>
            <w:tcW w:w="6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6"/>
              </w:rPr>
              <w:t>3.00 %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3.00 %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3.00 %</w:t>
            </w:r>
          </w:p>
        </w:tc>
        <w:tc>
          <w:tcPr>
            <w:tcW w:w="7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3.00 %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3.00 %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3.00 %</w:t>
            </w:r>
          </w:p>
        </w:tc>
      </w:tr>
      <w:tr>
        <w:trPr>
          <w:trHeight w:val="216"/>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Initial health care cost trend rate: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Pre-65 group</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7"/>
            <w:shd w:val="clear" w:color="auto" w:fill="CCEEFF"/>
          </w:tcPr>
          <w:p>
            <w:pPr>
              <w:jc w:val="right"/>
              <w:ind w:right="10"/>
              <w:spacing w:after="0"/>
              <w:rPr>
                <w:sz w:val="20"/>
                <w:szCs w:val="20"/>
                <w:color w:val="auto"/>
              </w:rPr>
            </w:pPr>
            <w:r>
              <w:rPr>
                <w:rFonts w:ascii="Arial" w:cs="Arial" w:eastAsia="Arial" w:hAnsi="Arial"/>
                <w:sz w:val="18"/>
                <w:szCs w:val="18"/>
                <w:color w:val="auto"/>
              </w:rPr>
              <w:t>5.70 %  6.00 %  6.30 %</w:t>
            </w:r>
          </w:p>
        </w:tc>
      </w:tr>
      <w:tr>
        <w:trPr>
          <w:trHeight w:val="216"/>
        </w:trPr>
        <w:tc>
          <w:tcPr>
            <w:tcW w:w="5040" w:type="dxa"/>
            <w:vAlign w:val="bottom"/>
            <w:gridSpan w:val="2"/>
          </w:tcPr>
          <w:p>
            <w:pPr>
              <w:ind w:left="320"/>
              <w:spacing w:after="0"/>
              <w:rPr>
                <w:sz w:val="20"/>
                <w:szCs w:val="20"/>
                <w:color w:val="auto"/>
              </w:rPr>
            </w:pPr>
            <w:r>
              <w:rPr>
                <w:rFonts w:ascii="Arial" w:cs="Arial" w:eastAsia="Arial" w:hAnsi="Arial"/>
                <w:sz w:val="18"/>
                <w:szCs w:val="18"/>
                <w:color w:val="auto"/>
              </w:rPr>
              <w:t>Post-65 group</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7"/>
          </w:tcPr>
          <w:p>
            <w:pPr>
              <w:jc w:val="right"/>
              <w:ind w:right="10"/>
              <w:spacing w:after="0"/>
              <w:rPr>
                <w:sz w:val="20"/>
                <w:szCs w:val="20"/>
                <w:color w:val="auto"/>
              </w:rPr>
            </w:pPr>
            <w:r>
              <w:rPr>
                <w:rFonts w:ascii="Arial" w:cs="Arial" w:eastAsia="Arial" w:hAnsi="Arial"/>
                <w:sz w:val="18"/>
                <w:szCs w:val="18"/>
                <w:color w:val="auto"/>
              </w:rPr>
              <w:t>5.90 %  6.30 %  6.80 %</w:t>
            </w:r>
          </w:p>
        </w:tc>
      </w:tr>
      <w:tr>
        <w:trPr>
          <w:trHeight w:val="216"/>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Ultimate health care cost trend rate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4.40 %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4.40 %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4.40 %</w:t>
            </w:r>
          </w:p>
        </w:tc>
      </w:tr>
      <w:tr>
        <w:trPr>
          <w:trHeight w:val="216"/>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Year ultimate health care cost trend rate is reached: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Pre-65 group</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2037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2037</w:t>
            </w:r>
          </w:p>
        </w:tc>
        <w:tc>
          <w:tcPr>
            <w:tcW w:w="260" w:type="dxa"/>
            <w:vAlign w:val="bottom"/>
            <w:shd w:val="clear" w:color="auto" w:fill="CCEEFF"/>
          </w:tcPr>
          <w:p>
            <w:pPr>
              <w:spacing w:after="0"/>
              <w:rPr>
                <w:sz w:val="18"/>
                <w:szCs w:val="18"/>
                <w:color w:val="auto"/>
              </w:rPr>
            </w:pPr>
          </w:p>
        </w:tc>
      </w:tr>
      <w:tr>
        <w:trPr>
          <w:trHeight w:val="230"/>
        </w:trPr>
        <w:tc>
          <w:tcPr>
            <w:tcW w:w="5040" w:type="dxa"/>
            <w:vAlign w:val="bottom"/>
            <w:gridSpan w:val="2"/>
          </w:tcPr>
          <w:p>
            <w:pPr>
              <w:ind w:left="320"/>
              <w:spacing w:after="0"/>
              <w:rPr>
                <w:sz w:val="20"/>
                <w:szCs w:val="20"/>
                <w:color w:val="auto"/>
              </w:rPr>
            </w:pPr>
            <w:r>
              <w:rPr>
                <w:rFonts w:ascii="Arial" w:cs="Arial" w:eastAsia="Arial" w:hAnsi="Arial"/>
                <w:sz w:val="18"/>
                <w:szCs w:val="18"/>
                <w:color w:val="auto"/>
              </w:rPr>
              <w:t>Post-65 group</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2036</w:t>
            </w: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2036</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2036</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340" w:right="540" w:hanging="331"/>
        <w:spacing w:after="0" w:line="25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Company derives a single equivalent rate utilizing a yield curve constructed from a portfolio of high-quality corporate bonds with various maturities.</w:t>
      </w:r>
    </w:p>
    <w:p>
      <w:pPr>
        <w:spacing w:after="0" w:line="16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the assumed health care cost trend rate were increased or decreased one percentage point, the accumulated post-retirement benefit obligation, as of December 31, 2019, 2018 and 2017 and the net periodic post-retirement benefit cost for 2019, 2018 and 2017, would have increased or decreased as follows:</w:t>
      </w:r>
    </w:p>
    <w:p>
      <w:pPr>
        <w:jc w:val="center"/>
        <w:ind w:left="5160"/>
        <w:spacing w:after="0" w:line="231" w:lineRule="auto"/>
        <w:rPr>
          <w:sz w:val="20"/>
          <w:szCs w:val="20"/>
          <w:color w:val="auto"/>
        </w:rPr>
      </w:pPr>
      <w:r>
        <w:rPr>
          <w:rFonts w:ascii="Arial" w:cs="Arial" w:eastAsia="Arial" w:hAnsi="Arial"/>
          <w:sz w:val="14"/>
          <w:szCs w:val="14"/>
          <w:b w:val="1"/>
          <w:bCs w:val="1"/>
          <w:color w:val="auto"/>
        </w:rPr>
        <w:t>Post-retirement Benefits</w:t>
      </w:r>
    </w:p>
    <w:p>
      <w:pPr>
        <w:jc w:val="center"/>
        <w:ind w:left="5160"/>
        <w:spacing w:after="0" w:line="232" w:lineRule="auto"/>
        <w:rPr>
          <w:sz w:val="20"/>
          <w:szCs w:val="20"/>
          <w:color w:val="auto"/>
        </w:rPr>
      </w:pPr>
      <w:r>
        <w:rPr>
          <w:rFonts w:ascii="Arial" w:cs="Arial" w:eastAsia="Arial" w:hAnsi="Arial"/>
          <w:sz w:val="14"/>
          <w:szCs w:val="14"/>
          <w:b w:val="1"/>
          <w:bCs w:val="1"/>
          <w:color w:val="auto"/>
        </w:rPr>
        <w:t>One Percentage Point</w:t>
      </w:r>
    </w:p>
    <w:tbl>
      <w:tblPr>
        <w:tblLayout w:type="fixed"/>
        <w:tblInd w:w="0" w:type="dxa"/>
        <w:tblCellMar>
          <w:top w:w="0" w:type="dxa"/>
          <w:left w:w="0" w:type="dxa"/>
          <w:bottom w:w="0" w:type="dxa"/>
          <w:right w:w="0" w:type="dxa"/>
        </w:tblCellMar>
      </w:tblPr>
      <w:tr>
        <w:trPr>
          <w:trHeight w:val="142"/>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w w:val="98"/>
              </w:rPr>
              <w:t>Increase</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w w:val="96"/>
              </w:rPr>
              <w:t>Decrease</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on total of service cost and interest cost components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 (2.6)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1">
            <w:col w:w="9060"/>
          </w:cols>
          <w:pgMar w:left="1420" w:top="517" w:right="141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Non-qualified Pension Plans: </w:t>
      </w:r>
      <w:r>
        <w:rPr>
          <w:rFonts w:ascii="Arial" w:cs="Arial" w:eastAsia="Arial" w:hAnsi="Arial"/>
          <w:sz w:val="16"/>
          <w:szCs w:val="16"/>
          <w:color w:val="auto"/>
        </w:rPr>
        <w:t>The Company has non-qualified supplemental pension plans covering certain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2019 and 2018 are as follows:</w:t>
      </w:r>
    </w:p>
    <w:tbl>
      <w:tblPr>
        <w:tblLayout w:type="fixed"/>
        <w:tblInd w:w="0" w:type="dxa"/>
        <w:tblCellMar>
          <w:top w:w="0" w:type="dxa"/>
          <w:left w:w="0" w:type="dxa"/>
          <w:bottom w:w="0" w:type="dxa"/>
          <w:right w:w="0" w:type="dxa"/>
        </w:tblCellMar>
      </w:tblPr>
      <w:tr>
        <w:trPr>
          <w:trHeight w:val="144"/>
        </w:trPr>
        <w:tc>
          <w:tcPr>
            <w:tcW w:w="6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5"/>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Non-qualified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Pension Benefits</w:t>
            </w:r>
          </w:p>
        </w:tc>
        <w:tc>
          <w:tcPr>
            <w:tcW w:w="0" w:type="dxa"/>
            <w:vAlign w:val="bottom"/>
          </w:tcPr>
          <w:p>
            <w:pPr>
              <w:spacing w:after="0"/>
              <w:rPr>
                <w:sz w:val="1"/>
                <w:szCs w:val="1"/>
                <w:color w:val="auto"/>
              </w:rPr>
            </w:pPr>
          </w:p>
        </w:tc>
      </w:tr>
      <w:tr>
        <w:trPr>
          <w:trHeight w:val="17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Non-current liabilities, net</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net of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Prior service credit, net of taxes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Discount rates of 2.8 percent and 4.0 percent were used in determining the 2019 and 2018 non-qualified pension plan obligations, respectively. The estimated net loss and prior service credit for the non-qualified pension plans that will be amortized from accumulated other comprehensive income (loss) in 2020 is nominal.</w:t>
      </w:r>
    </w:p>
    <w:p>
      <w:pPr>
        <w:spacing w:after="0" w:line="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as of December 31, 2019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3"/>
              </w:rPr>
              <w:t>Non-qualified</w:t>
            </w:r>
          </w:p>
        </w:tc>
        <w:tc>
          <w:tcPr>
            <w:tcW w:w="14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Post-retirement</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5"/>
              </w:rPr>
              <w:t>Pension</w:t>
            </w: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Benefits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2021</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2023</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2025-2029</w:t>
            </w:r>
          </w:p>
        </w:tc>
        <w:tc>
          <w:tcPr>
            <w:tcW w:w="3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Net of plan participants’ contributions and Medicare Part D subsidies.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Defined Contribution Plans: </w:t>
      </w:r>
      <w:r>
        <w:rPr>
          <w:rFonts w:ascii="Arial" w:cs="Arial" w:eastAsia="Arial" w:hAnsi="Arial"/>
          <w:sz w:val="18"/>
          <w:szCs w:val="18"/>
          <w:color w:val="auto"/>
        </w:rPr>
        <w:t>The Company sponsors defined contribution plans that qualify under Sections 401(a) and</w:t>
      </w:r>
      <w:r>
        <w:rPr>
          <w:rFonts w:ascii="Arial" w:cs="Arial" w:eastAsia="Arial" w:hAnsi="Arial"/>
          <w:sz w:val="18"/>
          <w:szCs w:val="18"/>
          <w:i w:val="1"/>
          <w:iCs w:val="1"/>
          <w:color w:val="auto"/>
        </w:rPr>
        <w:t xml:space="preserve"> </w:t>
      </w:r>
      <w:r>
        <w:rPr>
          <w:rFonts w:ascii="Arial" w:cs="Arial" w:eastAsia="Arial" w:hAnsi="Arial"/>
          <w:sz w:val="18"/>
          <w:szCs w:val="18"/>
          <w:color w:val="auto"/>
        </w:rPr>
        <w:t>401(k) of the Internal Revenue Code. The Company may make discretionary matching contributions equal to a specified percentage of each participant’s 401(k) contributions and makes other non-discretionary contributions. For the year ended December 31, 2019, the Company provided discretionary matching contributions of up to 3 percent of eligible employee compensation. The Company’s matching contributions expensed in 2019, 2018 and 2017 were $2.9 million, $2.4 million and $2.4 million, respectively.</w:t>
      </w:r>
    </w:p>
    <w:p>
      <w:pPr>
        <w:spacing w:after="0" w:line="19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2019, 2018 and 2017 were $0.5 million, $1.4 million and $2.3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21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Company contributes to multi-employer defined benefit pension plans under the terms of collective-bargaining agreements that cover its bargaining unit employees. Contributions are generally based on amounts paid for union labor</w:t>
      </w: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or cargo volume. The risks of participating in multi-employer plans are different from single-employer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2019, the Company’s estimated benefit plan withdrawal obligations were $266.7 million. Except as described in Note 12, no withdrawal obligations have been recorded by the Company in the Consolidated Balance Sheets at December 31, 2019 and 2018, as the Company has no present intention of withdrawing from and does not anticipate termination of any of these plans.</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2019 and 2018 is for the plan’s year-end at December 31, 2019 and 2018, respectively. The zone status is based on information that the Company received from the plan and is certified by the plan’s actuary. Among other factors, plans in the red zone are generally less than 65 percent funded; plans in the orange zone are both a) less than 80 percent funded and b) have an accumulated/expected funding deficiency in any of the next six plan years, net of any amortization extensions; plans in the yellow zone meet either one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Pension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Protection Act</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Zone as of</w:t>
            </w: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FIP/RP Status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8"/>
          </w:tcPr>
          <w:p>
            <w:pPr>
              <w:jc w:val="center"/>
              <w:spacing w:after="0" w:line="122" w:lineRule="exact"/>
              <w:rPr>
                <w:sz w:val="20"/>
                <w:szCs w:val="20"/>
                <w:color w:val="auto"/>
              </w:rPr>
            </w:pPr>
            <w:r>
              <w:rPr>
                <w:rFonts w:ascii="Arial" w:cs="Arial" w:eastAsia="Arial" w:hAnsi="Arial"/>
                <w:sz w:val="11"/>
                <w:szCs w:val="11"/>
                <w:b w:val="1"/>
                <w:bCs w:val="1"/>
                <w:color w:val="auto"/>
                <w:w w:val="89"/>
              </w:rPr>
              <w:t>Contributions of Matson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0"/>
              </w:rPr>
              <w:t>EIN/Pension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Pending/</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90"/>
              </w:rPr>
              <w:t>(in millions)</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Surcharge</w:t>
            </w:r>
          </w:p>
        </w:tc>
        <w:tc>
          <w:tcPr>
            <w:tcW w:w="6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9"/>
              </w:rPr>
              <w:t>Expiration</w:t>
            </w:r>
          </w:p>
        </w:tc>
        <w:tc>
          <w:tcPr>
            <w:tcW w:w="0" w:type="dxa"/>
            <w:vAlign w:val="bottom"/>
          </w:tcPr>
          <w:p>
            <w:pPr>
              <w:spacing w:after="0"/>
              <w:rPr>
                <w:sz w:val="1"/>
                <w:szCs w:val="1"/>
                <w:color w:val="auto"/>
              </w:rPr>
            </w:pPr>
          </w:p>
        </w:tc>
      </w:tr>
      <w:tr>
        <w:trPr>
          <w:trHeight w:val="115"/>
        </w:trPr>
        <w:tc>
          <w:tcPr>
            <w:tcW w:w="256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Pension Funds</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Plan Number</w:t>
            </w:r>
          </w:p>
        </w:tc>
        <w:tc>
          <w:tcPr>
            <w:tcW w:w="380" w:type="dxa"/>
            <w:vAlign w:val="bottom"/>
            <w:gridSpan w:val="2"/>
          </w:tcPr>
          <w:p>
            <w:pPr>
              <w:jc w:val="center"/>
              <w:ind w:left="21"/>
              <w:spacing w:after="0" w:line="115" w:lineRule="exact"/>
              <w:rPr>
                <w:sz w:val="20"/>
                <w:szCs w:val="20"/>
                <w:color w:val="auto"/>
              </w:rPr>
            </w:pPr>
            <w:r>
              <w:rPr>
                <w:rFonts w:ascii="Arial" w:cs="Arial" w:eastAsia="Arial" w:hAnsi="Arial"/>
                <w:sz w:val="11"/>
                <w:szCs w:val="11"/>
                <w:b w:val="1"/>
                <w:bCs w:val="1"/>
                <w:color w:val="auto"/>
                <w:w w:val="84"/>
              </w:rPr>
              <w:t>Notes</w:t>
            </w:r>
          </w:p>
        </w:tc>
        <w:tc>
          <w:tcPr>
            <w:tcW w:w="100" w:type="dxa"/>
            <w:vAlign w:val="bottom"/>
          </w:tcPr>
          <w:p>
            <w:pPr>
              <w:spacing w:after="0"/>
              <w:rPr>
                <w:sz w:val="10"/>
                <w:szCs w:val="10"/>
                <w:color w:val="auto"/>
              </w:rPr>
            </w:pPr>
          </w:p>
        </w:tc>
        <w:tc>
          <w:tcPr>
            <w:tcW w:w="380" w:type="dxa"/>
            <w:vAlign w:val="bottom"/>
          </w:tcPr>
          <w:p>
            <w:pPr>
              <w:jc w:val="right"/>
              <w:ind w:right="39"/>
              <w:spacing w:after="0" w:line="115"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38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78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8"/>
              </w:rPr>
              <w:t>Implemented</w:t>
            </w: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Contributor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8"/>
              <w:spacing w:after="0" w:line="115" w:lineRule="exact"/>
              <w:rPr>
                <w:sz w:val="20"/>
                <w:szCs w:val="20"/>
                <w:color w:val="auto"/>
              </w:rPr>
            </w:pPr>
            <w:r>
              <w:rPr>
                <w:rFonts w:ascii="Arial" w:cs="Arial" w:eastAsia="Arial" w:hAnsi="Arial"/>
                <w:sz w:val="11"/>
                <w:szCs w:val="11"/>
                <w:b w:val="1"/>
                <w:bCs w:val="1"/>
                <w:color w:val="auto"/>
                <w:w w:val="89"/>
              </w:rPr>
              <w:t>2018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2017</w:t>
            </w:r>
          </w:p>
        </w:tc>
        <w:tc>
          <w:tcPr>
            <w:tcW w:w="120" w:type="dxa"/>
            <w:vAlign w:val="bottom"/>
          </w:tcPr>
          <w:p>
            <w:pPr>
              <w:spacing w:after="0"/>
              <w:rPr>
                <w:sz w:val="10"/>
                <w:szCs w:val="10"/>
                <w:color w:val="auto"/>
              </w:rPr>
            </w:pPr>
          </w:p>
        </w:tc>
        <w:tc>
          <w:tcPr>
            <w:tcW w:w="62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8"/>
              </w:rPr>
              <w:t>Imposed</w:t>
            </w:r>
          </w:p>
        </w:tc>
        <w:tc>
          <w:tcPr>
            <w:tcW w:w="640" w:type="dxa"/>
            <w:vAlign w:val="bottom"/>
            <w:gridSpan w:val="2"/>
          </w:tcPr>
          <w:p>
            <w:pPr>
              <w:jc w:val="center"/>
              <w:ind w:right="40"/>
              <w:spacing w:after="0" w:line="115" w:lineRule="exact"/>
              <w:rPr>
                <w:sz w:val="20"/>
                <w:szCs w:val="20"/>
                <w:color w:val="auto"/>
              </w:rPr>
            </w:pPr>
            <w:r>
              <w:rPr>
                <w:rFonts w:ascii="Arial" w:cs="Arial" w:eastAsia="Arial" w:hAnsi="Arial"/>
                <w:sz w:val="11"/>
                <w:szCs w:val="11"/>
                <w:b w:val="1"/>
                <w:bCs w:val="1"/>
                <w:color w:val="auto"/>
                <w:w w:val="89"/>
              </w:rPr>
              <w:t>Date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98"/>
              </w:rPr>
              <w:t>American Radio Association Pension Fund</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13-6161999-001</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Green</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Implemented</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0"/>
              </w:rPr>
              <w:t>Yes</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No</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6/15/2028</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w w:val="95"/>
              </w:rPr>
              <w:t>Hawaii Terminals Multiemployer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20-0389370-001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82"/>
              </w:rPr>
              <w:t>Orange</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5"/>
              </w:rPr>
              <w:t>Hawaii Stevedoring Multiemployer Retirement</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Plan</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99-0314293-001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Yellow</w:t>
            </w:r>
          </w:p>
        </w:tc>
        <w:tc>
          <w:tcPr>
            <w:tcW w:w="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No</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6/30/2022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rPr>
              <w:t>Master, Mates and Pilots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13-6372630-001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1"/>
              </w:rPr>
              <w:t>6/15/2027,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40" w:type="dxa"/>
            <w:vAlign w:val="bottom"/>
            <w:gridSpan w:val="3"/>
          </w:tcPr>
          <w:p>
            <w:pPr>
              <w:spacing w:after="0" w:line="121" w:lineRule="exact"/>
              <w:rPr>
                <w:sz w:val="20"/>
                <w:szCs w:val="20"/>
                <w:color w:val="auto"/>
              </w:rPr>
            </w:pPr>
            <w:r>
              <w:rPr>
                <w:rFonts w:ascii="Arial" w:cs="Arial" w:eastAsia="Arial" w:hAnsi="Arial"/>
                <w:sz w:val="13"/>
                <w:szCs w:val="13"/>
                <w:color w:val="auto"/>
                <w:w w:val="95"/>
              </w:rPr>
              <w:t>Masters, Mates and Pilots Adjustable Pension</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gridSpan w:val="4"/>
          </w:tcPr>
          <w:p>
            <w:pPr>
              <w:spacing w:after="0"/>
              <w:rPr>
                <w:sz w:val="20"/>
                <w:szCs w:val="20"/>
                <w:color w:val="auto"/>
              </w:rPr>
            </w:pPr>
            <w:r>
              <w:rPr>
                <w:rFonts w:ascii="Arial" w:cs="Arial" w:eastAsia="Arial" w:hAnsi="Arial"/>
                <w:sz w:val="13"/>
                <w:szCs w:val="13"/>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color w:val="auto"/>
                <w:w w:val="88"/>
              </w:rPr>
              <w:t>37-1719247-001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2"/>
          </w:tcPr>
          <w:p>
            <w:pPr>
              <w:jc w:val="right"/>
              <w:ind w:right="59"/>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38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6/15/2027,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rPr>
              <w:t>MEBA Pension Trust - Defined Benefit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51-6029896-001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1"/>
              </w:rPr>
              <w:t>6/15/2022,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rPr>
              <w:t>OCU Trust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26-1574440-001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MFOW Supplementary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94-6201677-001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rPr>
              <w:t>SIU Pacific District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94-6061923-001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Alaska Teamster - Employer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92-6003463-024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3"/>
              </w:rPr>
              <w:t>Red</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0"/>
              </w:rPr>
              <w:t>Yes</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6/30/2020,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1"/>
              </w:rPr>
              <w:t>6/30/2021,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6/30/2022,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All Alaska Longshore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91-6085352-001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w w:val="90"/>
              </w:rPr>
              <w:t>Western Conference of Teamsters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91-6145047-001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3/31/2023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9"/>
              </w:rPr>
              <w:t>Western Conference of Teamsters Supplemental</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95-3746907-001</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rPr>
              <w:t>Benefit Trust</w:t>
            </w:r>
          </w:p>
        </w:tc>
        <w:tc>
          <w:tcPr>
            <w:tcW w:w="8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Green</w:t>
            </w:r>
          </w:p>
        </w:tc>
        <w:tc>
          <w:tcPr>
            <w:tcW w:w="3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No</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62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3/31/2023</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tcPr>
          <w:p>
            <w:pPr>
              <w:spacing w:after="0" w:line="135" w:lineRule="exact"/>
              <w:rPr>
                <w:sz w:val="20"/>
                <w:szCs w:val="20"/>
                <w:color w:val="auto"/>
              </w:rPr>
            </w:pPr>
            <w:r>
              <w:rPr>
                <w:rFonts w:ascii="Arial" w:cs="Arial" w:eastAsia="Arial" w:hAnsi="Arial"/>
                <w:sz w:val="13"/>
                <w:szCs w:val="13"/>
                <w:color w:val="auto"/>
              </w:rPr>
              <w:t>OPEIU Local 153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13-2864289-001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3"/>
              </w:rPr>
              <w:t>Red</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6"/>
              </w:rPr>
              <w:t>11/09/2020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Seafarers Pension Trust</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13-6100329-001</w:t>
            </w:r>
          </w:p>
        </w:tc>
        <w:tc>
          <w:tcPr>
            <w:tcW w:w="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8"/>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No</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gridSpan w:val="3"/>
          </w:tcPr>
          <w:p>
            <w:pPr>
              <w:ind w:left="200"/>
              <w:spacing w:after="0" w:line="129" w:lineRule="exact"/>
              <w:rPr>
                <w:sz w:val="20"/>
                <w:szCs w:val="20"/>
                <w:color w:val="auto"/>
              </w:rPr>
            </w:pPr>
            <w:r>
              <w:rPr>
                <w:rFonts w:ascii="Arial" w:cs="Arial" w:eastAsia="Arial" w:hAnsi="Arial"/>
                <w:sz w:val="13"/>
                <w:szCs w:val="13"/>
                <w:color w:val="auto"/>
              </w:rPr>
              <w:t>Total</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27.3</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25.5</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24.4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1"/>
        <w:spacing w:after="0"/>
        <w:tabs>
          <w:tab w:leader="none" w:pos="3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Plan is not subject to the PPA funding requirements under IRS Section 432 as the Plan was not in effect on July 16, 2006.</w:t>
      </w:r>
    </w:p>
    <w:p>
      <w:pPr>
        <w:spacing w:after="0" w:line="3" w:lineRule="exact"/>
        <w:rPr>
          <w:rFonts w:ascii="Arial" w:cs="Arial" w:eastAsia="Arial" w:hAnsi="Arial"/>
          <w:sz w:val="11"/>
          <w:szCs w:val="11"/>
          <w:color w:val="auto"/>
        </w:rPr>
      </w:pPr>
    </w:p>
    <w:p>
      <w:pPr>
        <w:ind w:left="340" w:right="220" w:hanging="331"/>
        <w:spacing w:after="0" w:line="230" w:lineRule="auto"/>
        <w:tabs>
          <w:tab w:leader="none" w:pos="3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ind w:left="340" w:hanging="331"/>
        <w:spacing w:after="0"/>
        <w:tabs>
          <w:tab w:leader="none" w:pos="3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the expiration date of the collective bargaining agreement.</w:t>
      </w:r>
    </w:p>
    <w:p>
      <w:pPr>
        <w:spacing w:after="0" w:line="1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 These plans are not subject to the PBGC plan termination and withdrawal liability provisions of ERISA applicable to multi-employer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defined benefit pension plans. Contributions to these multi-employer postretirement health and other benefits were $32.8 million, $30.0 million and $27.0 million in 2019, 2018 and 2017, respectively.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Multi-employer Defined Contribution Plans: </w:t>
      </w:r>
      <w:r>
        <w:rPr>
          <w:rFonts w:ascii="Arial" w:cs="Arial" w:eastAsia="Arial" w:hAnsi="Arial"/>
          <w:sz w:val="18"/>
          <w:szCs w:val="18"/>
          <w:color w:val="auto"/>
        </w:rPr>
        <w:t>The Company contributes to six multi-employer defined contribution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These plans are not subject to the withdrawal liability provisions of ERISA or the PBGC applicable to multi-employer defined benefit pension plans. Contributions made to these plans by the Company were $5.3 million, $4.8 million and $5.0 million in 2019, 2018 and 2017, respectively.</w:t>
      </w:r>
    </w:p>
    <w:p>
      <w:pPr>
        <w:spacing w:after="0" w:line="399" w:lineRule="exact"/>
        <w:rPr>
          <w:sz w:val="20"/>
          <w:szCs w:val="20"/>
          <w:color w:val="auto"/>
        </w:rPr>
      </w:pPr>
    </w:p>
    <w:p>
      <w:pPr>
        <w:ind w:left="660" w:hanging="651"/>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remaining future undiscounted payments due to the ILA-PRSSA pension fund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multi-employer withdrawal liability</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multi-employer withdrawal liability (see Note 2)</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multi-employer withdrawal liability (see Note 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the Company assumed a partial withdrawal liability related to the Local 153 Fund of the OPEIU. The partial withdrawal liability resulted from a decline in the number of contribution base units related to the Local 153 Fund caused by Horizon terminating all of its operations in Puerto Rico during the first quarter of 2015. The Company included the partial withdrawal liability of $6.7 million within other liabilities in the Consolidated Balance Sheets as of December 31, 2019 and 2018.</w:t>
      </w:r>
    </w:p>
    <w:p>
      <w:pPr>
        <w:spacing w:after="0" w:line="198" w:lineRule="exact"/>
        <w:rPr>
          <w:sz w:val="20"/>
          <w:szCs w:val="20"/>
          <w:color w:val="auto"/>
        </w:rPr>
      </w:pPr>
    </w:p>
    <w:p>
      <w:pPr>
        <w:ind w:left="660" w:hanging="651"/>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net of tax,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Post-</w:t>
            </w:r>
          </w:p>
        </w:tc>
        <w:tc>
          <w:tcPr>
            <w:tcW w:w="12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Pension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Qualified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2"/>
            <w:vMerge w:val="continue"/>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Pension</w:t>
            </w: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5060" w:type="dxa"/>
            <w:vAlign w:val="bottom"/>
            <w:gridSpan w:val="3"/>
            <w:vMerge w:val="continue"/>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Benefits</w:t>
            </w: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Benefits</w:t>
            </w: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Benefits</w:t>
            </w:r>
          </w:p>
        </w:tc>
        <w:tc>
          <w:tcPr>
            <w:tcW w:w="640" w:type="dxa"/>
            <w:vAlign w:val="bottom"/>
            <w:gridSpan w:val="3"/>
            <w:vMerge w:val="continue"/>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120"/>
              <w:spacing w:after="0"/>
              <w:rPr>
                <w:sz w:val="20"/>
                <w:szCs w:val="20"/>
                <w:color w:val="auto"/>
              </w:rPr>
            </w:pPr>
            <w:r>
              <w:rPr>
                <w:rFonts w:ascii="Arial" w:cs="Arial" w:eastAsia="Arial" w:hAnsi="Arial"/>
                <w:sz w:val="18"/>
                <w:szCs w:val="18"/>
                <w:color w:val="auto"/>
              </w:rPr>
              <w:t>Reclassification adjustment related to the Tax Act (1)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60" w:type="dxa"/>
            <w:vAlign w:val="bottom"/>
            <w:gridSpan w:val="3"/>
          </w:tcPr>
          <w:p>
            <w:pPr>
              <w:ind w:left="120"/>
              <w:spacing w:after="0"/>
              <w:rPr>
                <w:sz w:val="20"/>
                <w:szCs w:val="20"/>
                <w:color w:val="auto"/>
              </w:rPr>
            </w:pPr>
            <w:r>
              <w:rPr>
                <w:rFonts w:ascii="Arial" w:cs="Arial" w:eastAsia="Arial" w:hAnsi="Arial"/>
                <w:sz w:val="18"/>
                <w:szCs w:val="18"/>
                <w:color w:val="auto"/>
              </w:rPr>
              <w:t>Amortization of net loss (gain)</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120"/>
              <w:spacing w:after="0"/>
              <w:rPr>
                <w:sz w:val="20"/>
                <w:szCs w:val="20"/>
                <w:color w:val="auto"/>
              </w:rPr>
            </w:pPr>
            <w:r>
              <w:rPr>
                <w:rFonts w:ascii="Arial" w:cs="Arial" w:eastAsia="Arial" w:hAnsi="Arial"/>
                <w:sz w:val="18"/>
                <w:szCs w:val="18"/>
                <w:color w:val="auto"/>
              </w:rPr>
              <w:t>Amortization of prior service cost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(0.1)</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120"/>
              <w:spacing w:after="0"/>
              <w:rPr>
                <w:sz w:val="20"/>
                <w:szCs w:val="20"/>
                <w:color w:val="auto"/>
              </w:rPr>
            </w:pPr>
            <w:r>
              <w:rPr>
                <w:rFonts w:ascii="Arial" w:cs="Arial" w:eastAsia="Arial" w:hAnsi="Arial"/>
                <w:sz w:val="18"/>
                <w:szCs w:val="18"/>
                <w:color w:val="auto"/>
              </w:rPr>
              <w:t>Other adjustments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(0.6)</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40" w:hanging="331"/>
        <w:spacing w:after="0" w:line="236"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applying the Tax Act in accordance with ASU 2018-02.</w:t>
      </w:r>
    </w:p>
    <w:p>
      <w:pPr>
        <w:sectPr>
          <w:pgSz w:w="11900" w:h="16838" w:orient="portrait"/>
          <w:cols w:equalWidth="0" w:num="1">
            <w:col w:w="9060"/>
          </w:cols>
          <w:pgMar w:left="1420" w:top="517" w:right="141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774065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Other comprehensive income (loss) in the Consolidated Statements of Income and Comprehensive Income is shown net of tax benefit (expense) of $(0.3) million, $0.2 million and $(4.4) million for the years ended December 2019, 2018 and 2017, respectively.</w:t>
      </w:r>
    </w:p>
    <w:p>
      <w:pPr>
        <w:spacing w:after="0" w:line="380" w:lineRule="exact"/>
        <w:rPr>
          <w:sz w:val="20"/>
          <w:szCs w:val="20"/>
          <w:color w:val="auto"/>
        </w:rPr>
      </w:pPr>
    </w:p>
    <w:p>
      <w:pPr>
        <w:ind w:left="660" w:hanging="651"/>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right="540"/>
        <w:spacing w:after="0" w:line="279" w:lineRule="auto"/>
        <w:rPr>
          <w:sz w:val="20"/>
          <w:szCs w:val="20"/>
          <w:color w:val="auto"/>
        </w:rPr>
      </w:pPr>
      <w:r>
        <w:rPr>
          <w:rFonts w:ascii="Arial" w:cs="Arial" w:eastAsia="Arial" w:hAnsi="Arial"/>
          <w:sz w:val="17"/>
          <w:szCs w:val="17"/>
          <w:color w:val="auto"/>
        </w:rPr>
        <w:t>Basic earnings per share are determined by dividing net 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2019, 2018 and 2017.</w:t>
      </w:r>
    </w:p>
    <w:p>
      <w:pPr>
        <w:spacing w:after="0" w:line="15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years ended December 31, 2019, 2018 and 2017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Year Ended December 31, 2019</w:t>
            </w:r>
          </w:p>
        </w:tc>
        <w:tc>
          <w:tcPr>
            <w:tcW w:w="22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 2018</w:t>
            </w:r>
          </w:p>
        </w:tc>
        <w:tc>
          <w:tcPr>
            <w:tcW w:w="21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Year Ended December 31, 2017</w:t>
            </w:r>
          </w:p>
        </w:tc>
      </w:tr>
      <w:tr>
        <w:trPr>
          <w:trHeight w:val="129"/>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97"/>
              </w:rPr>
              <w:t>Per</w:t>
            </w: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Per</w:t>
            </w: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Per</w:t>
            </w:r>
          </w:p>
        </w:tc>
        <w:tc>
          <w:tcPr>
            <w:tcW w:w="40" w:type="dxa"/>
            <w:vAlign w:val="bottom"/>
          </w:tcPr>
          <w:p>
            <w:pPr>
              <w:spacing w:after="0"/>
              <w:rPr>
                <w:sz w:val="11"/>
                <w:szCs w:val="11"/>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Share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w:t>
            </w:r>
          </w:p>
        </w:tc>
      </w:tr>
      <w:tr>
        <w:trPr>
          <w:trHeight w:val="16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Basic:</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$ 82.7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$ 231.0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7"/>
                <w:szCs w:val="17"/>
                <w:color w:val="auto"/>
              </w:rPr>
              <w:t>Effect of Dilutive Securities: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(0.02)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10"/>
        </w:trPr>
        <w:tc>
          <w:tcPr>
            <w:tcW w:w="3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Diluted:</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$ 231.0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hanging="651"/>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share-based compensation plans which are described as follows:</w:t>
      </w:r>
    </w:p>
    <w:p>
      <w:pPr>
        <w:spacing w:after="0" w:line="225"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i w:val="1"/>
          <w:iCs w:val="1"/>
          <w:color w:val="auto"/>
        </w:rPr>
        <w:t xml:space="preserve">2016 Incentive Compensation Plan: </w:t>
      </w:r>
      <w:r>
        <w:rPr>
          <w:rFonts w:ascii="Arial" w:cs="Arial" w:eastAsia="Arial" w:hAnsi="Arial"/>
          <w:sz w:val="17"/>
          <w:szCs w:val="17"/>
          <w:color w:val="auto"/>
        </w:rPr>
        <w:t>The 2016 Incentive Compensation Plan (the “2016 Plan”) serves as a successor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2007 Incentive Compensation Plan and all other predecessor plans. No further grants will be made under the predecessor stock option plans. Under the 2016 Plan, 2.5 million shares of common stock were reserved for issuance. Shareholders approved the 2016 Plan at the 2016 Annual Meeting of Shareholders.</w:t>
      </w:r>
    </w:p>
    <w:p>
      <w:pPr>
        <w:spacing w:after="0" w:line="17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2016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19"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no less than 100 percent of the fair market value (defined as the closing market price) of the Company’s common stock on the date of the grant. Options generally become exercisable ratably over three years and have a maximum contractual term of 10 years.</w:t>
      </w:r>
    </w:p>
    <w:p>
      <w:pPr>
        <w:spacing w:after="0" w:line="119"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i w:val="1"/>
          <w:iCs w:val="1"/>
          <w:color w:val="auto"/>
        </w:rPr>
        <w:t xml:space="preserve">Stock Issuance Program </w:t>
      </w:r>
      <w:r>
        <w:rPr>
          <w:rFonts w:ascii="Arial" w:cs="Arial" w:eastAsia="Arial" w:hAnsi="Arial"/>
          <w:sz w:val="18"/>
          <w:szCs w:val="18"/>
          <w:color w:val="auto"/>
        </w:rPr>
        <w:t>— Under the Stock Issuance Program, shares of common stock,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7" w:lineRule="exact"/>
        <w:rPr>
          <w:sz w:val="20"/>
          <w:szCs w:val="20"/>
          <w:color w:val="auto"/>
        </w:rPr>
      </w:pPr>
    </w:p>
    <w:p>
      <w:pPr>
        <w:ind w:right="960"/>
        <w:spacing w:after="0" w:line="259" w:lineRule="auto"/>
        <w:rPr>
          <w:sz w:val="20"/>
          <w:szCs w:val="20"/>
          <w:color w:val="auto"/>
        </w:rPr>
      </w:pPr>
      <w:r>
        <w:rPr>
          <w:rFonts w:ascii="Arial" w:cs="Arial" w:eastAsia="Arial" w:hAnsi="Arial"/>
          <w:sz w:val="18"/>
          <w:szCs w:val="18"/>
          <w:i w:val="1"/>
          <w:iCs w:val="1"/>
          <w:color w:val="auto"/>
        </w:rPr>
        <w:t xml:space="preserve">Automatic Grant Program </w:t>
      </w:r>
      <w:r>
        <w:rPr>
          <w:rFonts w:ascii="Arial" w:cs="Arial" w:eastAsia="Arial" w:hAnsi="Arial"/>
          <w:sz w:val="18"/>
          <w:szCs w:val="18"/>
          <w:color w:val="auto"/>
        </w:rPr>
        <w:t>— At each annual shareholder meeting, non-employee directors will receive an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92" w:lineRule="exact"/>
        <w:rPr>
          <w:sz w:val="20"/>
          <w:szCs w:val="20"/>
          <w:color w:val="auto"/>
        </w:rPr>
      </w:pPr>
    </w:p>
    <w:p>
      <w:pPr>
        <w:ind w:right="900"/>
        <w:spacing w:after="0" w:line="264" w:lineRule="auto"/>
        <w:rPr>
          <w:sz w:val="20"/>
          <w:szCs w:val="20"/>
          <w:color w:val="auto"/>
        </w:rPr>
      </w:pPr>
      <w:r>
        <w:rPr>
          <w:rFonts w:ascii="Arial" w:cs="Arial" w:eastAsia="Arial" w:hAnsi="Arial"/>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ectPr>
          <w:pgSz w:w="11900" w:h="16838" w:orient="portrait"/>
          <w:cols w:equalWidth="0" w:num="1">
            <w:col w:w="9540"/>
          </w:cols>
          <w:pgMar w:left="1420" w:top="517" w:right="939" w:bottom="1440" w:gutter="0" w:footer="0" w:header="0"/>
        </w:sectPr>
      </w:pPr>
    </w:p>
    <w:p>
      <w:pPr>
        <w:spacing w:after="0" w:line="87"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40"/>
          </w:cols>
          <w:pgMar w:left="1420" w:top="517" w:right="9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Share-based compensation expense and other information related to share-based awards for the years ended December 31, 2019, 2018 and 2017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Share-based compensation expense, net of estimated forfeitures (in millions)</w:t>
            </w:r>
          </w:p>
        </w:tc>
        <w:tc>
          <w:tcPr>
            <w:tcW w:w="100" w:type="dxa"/>
            <w:vAlign w:val="bottom"/>
          </w:tcPr>
          <w:p>
            <w:pPr>
              <w:spacing w:after="0"/>
              <w:rPr>
                <w:sz w:val="14"/>
                <w:szCs w:val="14"/>
                <w:color w:val="auto"/>
              </w:rPr>
            </w:pPr>
          </w:p>
        </w:tc>
        <w:tc>
          <w:tcPr>
            <w:tcW w:w="2020" w:type="dxa"/>
            <w:vAlign w:val="bottom"/>
            <w:gridSpan w:val="8"/>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Intrinsic value of options exercised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 realized upon stock vesting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Fair value of stock vested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of December 31, 2019, there was no unrecognized compensation cost related to non-vested stock options. As of December 31, 2019, unrecognized compensation cost related to non-vested restricted stock units and performance-based equity awards was $11.7 million. Unrecognized compensation cost is expected to be recognized over a weighted average period of approximately 1.7 years.</w:t>
      </w:r>
    </w:p>
    <w:p>
      <w:pPr>
        <w:spacing w:after="0" w:line="9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Stock option activity for the year ended December 31, 2019 was as follows (in thousands, except weighted average exercise price and weighted average contractual life):</w:t>
      </w:r>
    </w:p>
    <w:tbl>
      <w:tblPr>
        <w:tblLayout w:type="fixed"/>
        <w:tblInd w:w="0" w:type="dxa"/>
        <w:tblCellMar>
          <w:top w:w="0" w:type="dxa"/>
          <w:left w:w="0" w:type="dxa"/>
          <w:bottom w:w="0" w:type="dxa"/>
          <w:right w:w="0" w:type="dxa"/>
        </w:tblCellMar>
      </w:tblPr>
      <w:tr>
        <w:trPr>
          <w:trHeight w:val="141"/>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1"/>
              </w:rPr>
              <w:t>Weighted</w:t>
            </w:r>
          </w:p>
        </w:tc>
        <w:tc>
          <w:tcPr>
            <w:tcW w:w="9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1"/>
              </w:rPr>
              <w:t>Weighted</w:t>
            </w: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2007 Plan</w:t>
            </w: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18.12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2019</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following table summarizes non-vested restricted stock unit activity through December 31, 2019 (in thousands, except weighted average grant-date fair value amounts):</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2007 Plan</w:t>
            </w:r>
          </w:p>
        </w:tc>
        <w:tc>
          <w:tcPr>
            <w:tcW w:w="8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2"/>
              </w:rPr>
              <w:t>2016 Plan</w:t>
            </w:r>
          </w:p>
        </w:tc>
        <w:tc>
          <w:tcPr>
            <w:tcW w:w="8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1"/>
              </w:rPr>
              <w:t>Weighted</w:t>
            </w:r>
          </w:p>
        </w:tc>
      </w:tr>
      <w:tr>
        <w:trPr>
          <w:trHeight w:val="149"/>
        </w:trPr>
        <w:tc>
          <w:tcPr>
            <w:tcW w:w="22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71"/>
        </w:trPr>
        <w:tc>
          <w:tcPr>
            <w:tcW w:w="2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Stock Units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Stock Units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Stock Units</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Date Fair Value</w:t>
            </w:r>
          </w:p>
        </w:tc>
      </w:tr>
      <w:tr>
        <w:trPr>
          <w:trHeight w:val="210"/>
        </w:trPr>
        <w:tc>
          <w:tcPr>
            <w:tcW w:w="5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33.65</w:t>
            </w:r>
          </w:p>
        </w:tc>
        <w:tc>
          <w:tcPr>
            <w:tcW w:w="60" w:type="dxa"/>
            <w:vAlign w:val="bottom"/>
          </w:tcPr>
          <w:p>
            <w:pPr>
              <w:spacing w:after="0"/>
              <w:rPr>
                <w:sz w:val="18"/>
                <w:szCs w:val="18"/>
                <w:color w:val="auto"/>
              </w:rPr>
            </w:pPr>
          </w:p>
        </w:tc>
      </w:tr>
      <w:tr>
        <w:trPr>
          <w:trHeight w:val="216"/>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Settlement of Performance Shares (1)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Vested</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34.36</w:t>
            </w:r>
          </w:p>
        </w:tc>
        <w:tc>
          <w:tcPr>
            <w:tcW w:w="60" w:type="dxa"/>
            <w:vAlign w:val="bottom"/>
          </w:tcPr>
          <w:p>
            <w:pPr>
              <w:spacing w:after="0"/>
              <w:rPr>
                <w:sz w:val="18"/>
                <w:szCs w:val="18"/>
                <w:color w:val="auto"/>
              </w:rPr>
            </w:pPr>
          </w:p>
        </w:tc>
      </w:tr>
      <w:tr>
        <w:trPr>
          <w:trHeight w:val="216"/>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Canceled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60" w:type="dxa"/>
            <w:vAlign w:val="bottom"/>
            <w:shd w:val="clear" w:color="auto" w:fill="CCEEFF"/>
          </w:tcPr>
          <w:p>
            <w:pPr>
              <w:spacing w:after="0"/>
              <w:rPr>
                <w:sz w:val="18"/>
                <w:szCs w:val="18"/>
                <w:color w:val="auto"/>
              </w:rPr>
            </w:pPr>
          </w:p>
        </w:tc>
      </w:tr>
      <w:tr>
        <w:trPr>
          <w:trHeight w:val="210"/>
        </w:trPr>
        <w:tc>
          <w:tcPr>
            <w:tcW w:w="5360" w:type="dxa"/>
            <w:vAlign w:val="bottom"/>
            <w:gridSpan w:val="3"/>
          </w:tcPr>
          <w:p>
            <w:pPr>
              <w:spacing w:after="0"/>
              <w:rPr>
                <w:sz w:val="20"/>
                <w:szCs w:val="20"/>
                <w:color w:val="auto"/>
              </w:rPr>
            </w:pPr>
            <w:r>
              <w:rPr>
                <w:rFonts w:ascii="Arial" w:cs="Arial" w:eastAsia="Arial" w:hAnsi="Arial"/>
                <w:sz w:val="18"/>
                <w:szCs w:val="18"/>
                <w:color w:val="auto"/>
              </w:rPr>
              <w:t>Outstanding at December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33.39</w:t>
            </w:r>
          </w:p>
        </w:tc>
        <w:tc>
          <w:tcPr>
            <w:tcW w:w="60" w:type="dxa"/>
            <w:vAlign w:val="bottom"/>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76" w:lineRule="exact"/>
        <w:rPr>
          <w:sz w:val="20"/>
          <w:szCs w:val="20"/>
          <w:color w:val="auto"/>
        </w:rPr>
      </w:pPr>
    </w:p>
    <w:p>
      <w:pPr>
        <w:ind w:left="340" w:hanging="331"/>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2016 Performance Shares paid out below target.</w:t>
      </w:r>
    </w:p>
    <w:p>
      <w:pPr>
        <w:spacing w:after="0" w:line="200" w:lineRule="exact"/>
        <w:rPr>
          <w:sz w:val="20"/>
          <w:szCs w:val="20"/>
          <w:color w:val="auto"/>
        </w:rPr>
      </w:pPr>
    </w:p>
    <w:p>
      <w:pPr>
        <w:spacing w:after="0" w:line="220" w:lineRule="exact"/>
        <w:rPr>
          <w:sz w:val="20"/>
          <w:szCs w:val="20"/>
          <w:color w:val="auto"/>
        </w:rPr>
      </w:pPr>
    </w:p>
    <w:p>
      <w:pPr>
        <w:ind w:left="660" w:hanging="651"/>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fair value of the Company’s financial instruments as of December 31, 2019 and 2018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w w:val="95"/>
              </w:rPr>
              <w:t>Quoted Prices in</w:t>
            </w:r>
          </w:p>
        </w:tc>
        <w:tc>
          <w:tcPr>
            <w:tcW w:w="20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Significant</w:t>
            </w: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2"/>
                <w:szCs w:val="12"/>
                <w:color w:val="auto"/>
              </w:rPr>
            </w:pPr>
          </w:p>
        </w:tc>
        <w:tc>
          <w:tcPr>
            <w:tcW w:w="9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 (Level 2)</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Inputs (Level 3)</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31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7"/>
              </w:rPr>
              <w:t>Fair Value Measurements at December 31, 2019</w:t>
            </w: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379.1</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379.1</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Fixed rate debt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579.3</w:t>
            </w:r>
          </w:p>
        </w:tc>
        <w:tc>
          <w:tcPr>
            <w:tcW w:w="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585.9</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585.9</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4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Arial" w:cs="Arial" w:eastAsia="Arial" w:hAnsi="Arial"/>
                <w:sz w:val="14"/>
                <w:szCs w:val="14"/>
                <w:b w:val="1"/>
                <w:bCs w:val="1"/>
                <w:color w:val="auto"/>
                <w:w w:val="98"/>
              </w:rPr>
              <w:t>Fair Value Measurements at December 31, 2018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gridSpan w:val="4"/>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235.0</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Fixed rate debt</w:t>
            </w:r>
          </w:p>
        </w:tc>
        <w:tc>
          <w:tcPr>
            <w:tcW w:w="280" w:type="dxa"/>
            <w:vAlign w:val="bottom"/>
            <w:gridSpan w:val="4"/>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621.4</w:t>
            </w:r>
          </w:p>
        </w:tc>
        <w:tc>
          <w:tcPr>
            <w:tcW w:w="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584.5</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584.5</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651"/>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Commitments and contractual obligations, excluding debt obligations (see Note 8), lease commitments (see Note 9), pension and post-retirement plan commitments, and multi-employer bargaining plan withdrawal obligations (see Note 11 and 12), are as follows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Contractual Obligations (in millions)</w:t>
            </w: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Bonds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construction obligations (3)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8"/>
                <w:szCs w:val="18"/>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Vendor and other obligations (4)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340" w:hanging="331"/>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Standby letters of credit are required for the Company’s uninsured workers’ compensation and other insurance programs, and other needs.</w:t>
      </w:r>
    </w:p>
    <w:p>
      <w:pPr>
        <w:ind w:left="340" w:hanging="331"/>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Bonds are required for U.S. Customs and other related matters.</w:t>
      </w:r>
    </w:p>
    <w:p>
      <w:pPr>
        <w:ind w:left="340" w:hanging="331"/>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Vessel construction obligations represent remaining contractual obligations entered into for the construction of new vessels.</w:t>
      </w:r>
    </w:p>
    <w:p>
      <w:pPr>
        <w:ind w:left="340" w:right="200" w:hanging="331"/>
        <w:spacing w:after="0" w:line="237"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Vendor and other obligations include: (i) non-cancellable contractual capital project obligations (excluding vessel construction obligations); (ii) dry-docking related obligations; and (iii) other contractual obligations.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Contingencies and other litigation related matters are described as follows: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1"/>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by quarter for 2019 and 2018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0"/>
          </w:tcPr>
          <w:p>
            <w:pPr>
              <w:jc w:val="right"/>
              <w:ind w:right="71"/>
              <w:spacing w:after="0"/>
              <w:rPr>
                <w:sz w:val="20"/>
                <w:szCs w:val="20"/>
                <w:color w:val="auto"/>
              </w:rPr>
            </w:pPr>
            <w:r>
              <w:rPr>
                <w:rFonts w:ascii="Arial" w:cs="Arial" w:eastAsia="Arial" w:hAnsi="Arial"/>
                <w:sz w:val="14"/>
                <w:szCs w:val="14"/>
                <w:b w:val="1"/>
                <w:bCs w:val="1"/>
                <w:color w:val="auto"/>
                <w:w w:val="93"/>
              </w:rPr>
              <w:t>Quarters in the Year Ended December 31, 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51"/>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151"/>
              <w:spacing w:after="0"/>
              <w:rPr>
                <w:sz w:val="20"/>
                <w:szCs w:val="20"/>
                <w:color w:val="auto"/>
              </w:rPr>
            </w:pPr>
            <w:r>
              <w:rPr>
                <w:rFonts w:ascii="Arial" w:cs="Arial" w:eastAsia="Arial" w:hAnsi="Arial"/>
                <w:sz w:val="14"/>
                <w:szCs w:val="14"/>
                <w:b w:val="1"/>
                <w:bCs w:val="1"/>
                <w:color w:val="auto"/>
              </w:rPr>
              <w:t>Q3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437.2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532.4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557.9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572.1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ind w:right="71"/>
              <w:spacing w:after="0"/>
              <w:rPr>
                <w:sz w:val="20"/>
                <w:szCs w:val="20"/>
                <w:color w:val="auto"/>
              </w:rPr>
            </w:pPr>
            <w:r>
              <w:rPr>
                <w:rFonts w:ascii="Arial" w:cs="Arial" w:eastAsia="Arial" w:hAnsi="Arial"/>
                <w:sz w:val="14"/>
                <w:szCs w:val="14"/>
                <w:b w:val="1"/>
                <w:bCs w:val="1"/>
                <w:color w:val="auto"/>
                <w:w w:val="93"/>
              </w:rPr>
              <w:t>Quarters in the Year Ended December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51"/>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151"/>
              <w:spacing w:after="0"/>
              <w:rPr>
                <w:sz w:val="20"/>
                <w:szCs w:val="20"/>
                <w:color w:val="auto"/>
              </w:rPr>
            </w:pPr>
            <w:r>
              <w:rPr>
                <w:rFonts w:ascii="Arial" w:cs="Arial" w:eastAsia="Arial" w:hAnsi="Arial"/>
                <w:sz w:val="14"/>
                <w:szCs w:val="14"/>
                <w:b w:val="1"/>
                <w:bCs w:val="1"/>
                <w:color w:val="auto"/>
              </w:rPr>
              <w:t>Q3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406.6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437.3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511.4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557.1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589.4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following infrequent transactions impacted the Company’s quarterly segment results during the years ended December 31,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40" w:type="dxa"/>
            <w:vAlign w:val="bottom"/>
            <w:gridSpan w:val="12"/>
          </w:tcPr>
          <w:p>
            <w:pPr>
              <w:ind w:left="40"/>
              <w:spacing w:after="0"/>
              <w:rPr>
                <w:sz w:val="20"/>
                <w:szCs w:val="20"/>
                <w:color w:val="auto"/>
              </w:rPr>
            </w:pPr>
            <w:r>
              <w:rPr>
                <w:rFonts w:ascii="Arial" w:cs="Arial" w:eastAsia="Arial" w:hAnsi="Arial"/>
                <w:sz w:val="14"/>
                <w:szCs w:val="14"/>
                <w:b w:val="1"/>
                <w:bCs w:val="1"/>
                <w:color w:val="auto"/>
                <w:w w:val="95"/>
              </w:rPr>
              <w:t>Quarters in the Year Ended December 31, 2019</w:t>
            </w: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Q1</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taxes - Discrete adjustments related to the Tax Act (1)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40" w:type="dxa"/>
            <w:vAlign w:val="bottom"/>
            <w:gridSpan w:val="12"/>
          </w:tcPr>
          <w:p>
            <w:pPr>
              <w:ind w:left="40"/>
              <w:spacing w:after="0"/>
              <w:rPr>
                <w:sz w:val="20"/>
                <w:szCs w:val="20"/>
                <w:color w:val="auto"/>
              </w:rPr>
            </w:pPr>
            <w:r>
              <w:rPr>
                <w:rFonts w:ascii="Arial" w:cs="Arial" w:eastAsia="Arial" w:hAnsi="Arial"/>
                <w:sz w:val="14"/>
                <w:szCs w:val="14"/>
                <w:b w:val="1"/>
                <w:bCs w:val="1"/>
                <w:color w:val="auto"/>
                <w:w w:val="95"/>
              </w:rPr>
              <w:t>Quarters in the Year Ended December 31, 2018</w:t>
            </w: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Q1</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taxes - Discrete adjustments related to the Tax Act (1)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1"/>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relate to discrete adjustments as a result of applying the Tax Act during the years ended December 31, 2019 and 2018.</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page 37 for management’s annual report on internal control over financial reporting, which is incorporated herein by reference.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page 38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2019, that have materially affected, or are reasonably likely to materially affect,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00" w:hanging="643"/>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color w:val="auto"/>
        </w:rPr>
        <w:t>The information about the Directors of Matson required under this item will be included under the section captioned “Election of Directors” in Matson’s Proxy Statement for the 2020 Annual Meeting of Shareholders to be filed with the SEC within 120 days of the fiscal year ended December 31, 2019 (“Matson’s 2020 Proxy Statement”), which section is incorporated herein by reference.</w:t>
      </w:r>
    </w:p>
    <w:p>
      <w:pPr>
        <w:spacing w:after="0" w:line="183" w:lineRule="exact"/>
        <w:rPr>
          <w:sz w:val="20"/>
          <w:szCs w:val="20"/>
          <w:color w:val="auto"/>
        </w:rPr>
      </w:pPr>
    </w:p>
    <w:p>
      <w:pPr>
        <w:ind w:left="1300" w:hanging="643"/>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99"/>
        <w:spacing w:after="0" w:line="342" w:lineRule="auto"/>
        <w:rPr>
          <w:sz w:val="20"/>
          <w:szCs w:val="20"/>
          <w:color w:val="auto"/>
        </w:rPr>
      </w:pPr>
      <w:r>
        <w:rPr>
          <w:rFonts w:ascii="Arial" w:cs="Arial" w:eastAsia="Arial" w:hAnsi="Arial"/>
          <w:sz w:val="16"/>
          <w:szCs w:val="16"/>
          <w:color w:val="auto"/>
        </w:rPr>
        <w:t>The information about the executive officers of Matson required under this item will be included under the subsection captioned “Executive Officers” in Matson’s 2020 Proxy Statement, which subsection is incorporated herein by reference.</w:t>
      </w:r>
    </w:p>
    <w:p>
      <w:pPr>
        <w:spacing w:after="0" w:line="120" w:lineRule="exact"/>
        <w:rPr>
          <w:sz w:val="20"/>
          <w:szCs w:val="20"/>
          <w:color w:val="auto"/>
        </w:rPr>
      </w:pPr>
    </w:p>
    <w:p>
      <w:pPr>
        <w:ind w:left="1300" w:hanging="643"/>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399"/>
        <w:spacing w:after="0" w:line="259" w:lineRule="auto"/>
        <w:rPr>
          <w:sz w:val="20"/>
          <w:szCs w:val="20"/>
          <w:color w:val="auto"/>
        </w:rPr>
      </w:pPr>
      <w:r>
        <w:rPr>
          <w:rFonts w:ascii="Arial" w:cs="Arial" w:eastAsia="Arial" w:hAnsi="Arial"/>
          <w:sz w:val="18"/>
          <w:szCs w:val="18"/>
          <w:color w:val="auto"/>
        </w:rPr>
        <w:t>The information about the Audit Committee of the Matson Board of Directors and compliance with Section 16(a) of the Exchange Act, will be included under the subsections captioned “Board of Directors and Committees of Board” and “Delinquent Section 16(a) Reports” in Matson’s 2020 Proxy Statement, which subsections are incorporated herein by reference.</w:t>
      </w:r>
    </w:p>
    <w:p>
      <w:pPr>
        <w:spacing w:after="0" w:line="183" w:lineRule="exact"/>
        <w:rPr>
          <w:sz w:val="20"/>
          <w:szCs w:val="20"/>
          <w:color w:val="auto"/>
        </w:rPr>
      </w:pPr>
    </w:p>
    <w:p>
      <w:pPr>
        <w:ind w:left="1300" w:hanging="643"/>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39"/>
        <w:spacing w:after="0" w:line="342" w:lineRule="auto"/>
        <w:rPr>
          <w:sz w:val="20"/>
          <w:szCs w:val="20"/>
          <w:color w:val="auto"/>
        </w:rPr>
      </w:pPr>
      <w:r>
        <w:rPr>
          <w:rFonts w:ascii="Arial" w:cs="Arial" w:eastAsia="Arial" w:hAnsi="Arial"/>
          <w:sz w:val="16"/>
          <w:szCs w:val="16"/>
          <w:color w:val="auto"/>
        </w:rPr>
        <w:t>The information about Matson’s Code of Ethics required under this item will be included under the subsection captioned “Code of Ethics” in Matson’s 2020 Proxy Statement, which subsection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The information required under this item will be included under the section captioned “Executive Compensation” and the subsections captioned “Compensation of Directors” and “Pay Risk Assessment” in Matson’s 2020 Proxy Statement, which section and subsections are incorporated herein by reference.</w:t>
      </w:r>
    </w:p>
    <w:p>
      <w:pPr>
        <w:spacing w:after="0" w:line="177" w:lineRule="exact"/>
        <w:rPr>
          <w:sz w:val="20"/>
          <w:szCs w:val="20"/>
          <w:color w:val="auto"/>
        </w:rPr>
      </w:pPr>
    </w:p>
    <w:p>
      <w:pPr>
        <w:ind w:right="10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79"/>
        <w:spacing w:after="0" w:line="286" w:lineRule="auto"/>
        <w:rPr>
          <w:sz w:val="20"/>
          <w:szCs w:val="20"/>
          <w:color w:val="auto"/>
        </w:rPr>
      </w:pPr>
      <w:r>
        <w:rPr>
          <w:rFonts w:ascii="Arial" w:cs="Arial" w:eastAsia="Arial" w:hAnsi="Arial"/>
          <w:sz w:val="17"/>
          <w:szCs w:val="17"/>
          <w:color w:val="auto"/>
        </w:rPr>
        <w:t>The information required under this item will be included under the section captioned “Security Ownership of Certain Shareholders” and the subsections captioned “Security Ownership of Directors and Executive Officers” in Matson’s 2020 Proxy Statement, which section and subsections are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information required under this item will be included in the section captioned “Election of Directors” and the subsection captioned “Certain Relationships and Transactions” in Matson’s 2020 Proxy Statement, which section and subsection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539"/>
        <w:spacing w:after="0" w:line="312" w:lineRule="auto"/>
        <w:rPr>
          <w:sz w:val="20"/>
          <w:szCs w:val="20"/>
          <w:color w:val="auto"/>
        </w:rPr>
      </w:pPr>
      <w:r>
        <w:rPr>
          <w:rFonts w:ascii="Arial" w:cs="Arial" w:eastAsia="Arial" w:hAnsi="Arial"/>
          <w:sz w:val="16"/>
          <w:szCs w:val="16"/>
          <w:color w:val="auto"/>
        </w:rPr>
        <w:t>The information concerning principal accountant fees and services required under this item will be included under the sections captioned “Audit Committee Report” and “Ratification of Appointment of Independent Registered Public Accounting Firm” in Matson’s 2020 Proxy Statement, which sections are incorporated herein by reference.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60" w:hanging="651"/>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660" w:hanging="651"/>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Except as described below, all schedules are omitted because of the absence of the conditions under which they are required or because the information called for is included in the Consolidated Financial Statements or notes thereto.</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2019, the Company’s investment in SSAT exceeded the 10.0 percent and 20.0 percent thresholds in at least one of the tests under Rule 3-09 and Rule 4-08(g) of Regulation S-X, and as such the audited financial statements of SSAT are required to be filed as financial statement schedules herein within 90 days of SSAT’s fiscal year end, which is January 31. Accordingly, the financial statements of SSAT will be filed via an amendment to this Annual Report on Form 10-K on or before April 30, 2020.</w:t>
      </w:r>
    </w:p>
    <w:p>
      <w:pPr>
        <w:spacing w:after="0" w:line="184" w:lineRule="exact"/>
        <w:rPr>
          <w:sz w:val="20"/>
          <w:szCs w:val="20"/>
          <w:color w:val="auto"/>
        </w:rPr>
      </w:pPr>
    </w:p>
    <w:p>
      <w:pPr>
        <w:ind w:left="660" w:hanging="651"/>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Exhibits not filed herewith are incorporated by reference to the exhibit number and previous filing shown in parentheses. All previous exhibits were filed with the Securities and Exchange Commission in Washington, D.C.</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208" w:lineRule="exact"/>
        <w:rPr>
          <w:sz w:val="20"/>
          <w:szCs w:val="20"/>
          <w:color w:val="auto"/>
        </w:rPr>
      </w:pPr>
    </w:p>
    <w:p>
      <w:pPr>
        <w:ind w:left="1100" w:hanging="1090"/>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770"/>
              <w:spacing w:after="0"/>
              <w:rPr>
                <w:sz w:val="20"/>
                <w:szCs w:val="20"/>
                <w:color w:val="auto"/>
              </w:rPr>
            </w:pPr>
            <w:r>
              <w:rPr>
                <w:rFonts w:ascii="Arial" w:cs="Arial" w:eastAsia="Arial" w:hAnsi="Arial"/>
                <w:sz w:val="18"/>
                <w:szCs w:val="18"/>
                <w:color w:val="auto"/>
                <w:w w:val="87"/>
              </w:rPr>
              <w:t>2.1</w:t>
            </w:r>
          </w:p>
        </w:tc>
        <w:tc>
          <w:tcPr>
            <w:tcW w:w="7880" w:type="dxa"/>
            <w:vAlign w:val="bottom"/>
            <w:tcBorders>
              <w:bottom w:val="single" w:sz="8" w:color="0000EE"/>
            </w:tcBorders>
            <w:gridSpan w:val="14"/>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Agreement and Plan of Merger, dated as of November 11, 2014, by and among Matson Navigation Company,</w:t>
              </w:r>
            </w:hyperlink>
          </w:p>
        </w:tc>
        <w:tc>
          <w:tcPr>
            <w:tcW w:w="80" w:type="dxa"/>
            <w:vAlign w:val="bottom"/>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76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 Hogan Acquisition Inc. and Horizon Lines, Inc. (incorporated by reference to Exhibit 2.1 of Matson’s</w:t>
              </w:r>
            </w:hyperlink>
          </w:p>
        </w:tc>
        <w:tc>
          <w:tcPr>
            <w:tcW w:w="28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Form 8-K dated November 11, 2014).</w:t>
              </w:r>
            </w:hyperlink>
          </w:p>
        </w:tc>
        <w:tc>
          <w:tcPr>
            <w:tcW w:w="5240" w:type="dxa"/>
            <w:vAlign w:val="bottom"/>
            <w:gridSpan w:val="13"/>
          </w:tcPr>
          <w:p>
            <w:pPr>
              <w:spacing w:after="0"/>
              <w:rPr>
                <w:sz w:val="17"/>
                <w:szCs w:val="17"/>
                <w:color w:val="auto"/>
              </w:rPr>
            </w:pPr>
          </w:p>
        </w:tc>
      </w:tr>
      <w:tr>
        <w:trPr>
          <w:trHeight w:val="412"/>
        </w:trPr>
        <w:tc>
          <w:tcPr>
            <w:tcW w:w="1100" w:type="dxa"/>
            <w:vAlign w:val="bottom"/>
          </w:tcPr>
          <w:p>
            <w:pPr>
              <w:jc w:val="right"/>
              <w:ind w:right="770"/>
              <w:spacing w:after="0"/>
              <w:rPr>
                <w:sz w:val="20"/>
                <w:szCs w:val="20"/>
                <w:color w:val="auto"/>
              </w:rPr>
            </w:pPr>
            <w:r>
              <w:rPr>
                <w:rFonts w:ascii="Arial" w:cs="Arial" w:eastAsia="Arial" w:hAnsi="Arial"/>
                <w:sz w:val="18"/>
                <w:szCs w:val="18"/>
                <w:color w:val="auto"/>
                <w:w w:val="87"/>
              </w:rPr>
              <w:t>2.2</w:t>
            </w:r>
          </w:p>
        </w:tc>
        <w:tc>
          <w:tcPr>
            <w:tcW w:w="7720" w:type="dxa"/>
            <w:vAlign w:val="bottom"/>
            <w:tcBorders>
              <w:bottom w:val="single" w:sz="8" w:color="0000EE"/>
            </w:tcBorders>
            <w:gridSpan w:val="11"/>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Amendment No. 1 to Agreement and Plan of Merger, dated as of February 13, 2015, by and among Matson</w:t>
              </w:r>
            </w:hyperlink>
          </w:p>
        </w:tc>
        <w:tc>
          <w:tcPr>
            <w:tcW w:w="24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Navigation Company, Inc., Hogan Acquisition Inc. and Horizon Lines, Inc. (incorporated by reference to</w:t>
              </w:r>
            </w:hyperlink>
          </w:p>
        </w:tc>
        <w:tc>
          <w:tcPr>
            <w:tcW w:w="40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3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Exhibit 2.1 of Matson’s Form 8-K dated February 17, 2015).</w:t>
              </w:r>
            </w:hyperlink>
          </w:p>
        </w:tc>
        <w:tc>
          <w:tcPr>
            <w:tcW w:w="3600" w:type="dxa"/>
            <w:vAlign w:val="bottom"/>
            <w:gridSpan w:val="12"/>
          </w:tcPr>
          <w:p>
            <w:pPr>
              <w:spacing w:after="0"/>
              <w:rPr>
                <w:sz w:val="17"/>
                <w:szCs w:val="17"/>
                <w:color w:val="auto"/>
              </w:rPr>
            </w:pPr>
          </w:p>
        </w:tc>
      </w:tr>
      <w:tr>
        <w:trPr>
          <w:trHeight w:val="412"/>
        </w:trPr>
        <w:tc>
          <w:tcPr>
            <w:tcW w:w="1100" w:type="dxa"/>
            <w:vAlign w:val="bottom"/>
          </w:tcPr>
          <w:p>
            <w:pPr>
              <w:jc w:val="right"/>
              <w:ind w:right="770"/>
              <w:spacing w:after="0"/>
              <w:rPr>
                <w:sz w:val="20"/>
                <w:szCs w:val="20"/>
                <w:color w:val="auto"/>
              </w:rPr>
            </w:pPr>
            <w:r>
              <w:rPr>
                <w:rFonts w:ascii="Arial" w:cs="Arial" w:eastAsia="Arial" w:hAnsi="Arial"/>
                <w:sz w:val="18"/>
                <w:szCs w:val="18"/>
                <w:color w:val="auto"/>
                <w:w w:val="87"/>
              </w:rPr>
              <w:t>2.3</w:t>
            </w:r>
          </w:p>
        </w:tc>
        <w:tc>
          <w:tcPr>
            <w:tcW w:w="7960" w:type="dxa"/>
            <w:vAlign w:val="bottom"/>
            <w:tcBorders>
              <w:bottom w:val="single" w:sz="8" w:color="0000EE"/>
            </w:tcBorders>
            <w:gridSpan w:val="15"/>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Contribution, Assumption and Purchase Agreement, dated as of November 11, 2014, by and among The Pasha</w:t>
              </w:r>
            </w:hyperlink>
          </w:p>
        </w:tc>
      </w:tr>
      <w:tr>
        <w:trPr>
          <w:trHeight w:val="196"/>
        </w:trPr>
        <w:tc>
          <w:tcPr>
            <w:tcW w:w="1100" w:type="dxa"/>
            <w:vAlign w:val="bottom"/>
          </w:tcPr>
          <w:p>
            <w:pPr>
              <w:spacing w:after="0"/>
              <w:rPr>
                <w:sz w:val="17"/>
                <w:szCs w:val="17"/>
                <w:color w:val="auto"/>
              </w:rPr>
            </w:pPr>
          </w:p>
        </w:tc>
        <w:tc>
          <w:tcPr>
            <w:tcW w:w="7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Group, SR Holding LLC, Horizon Lines, Inc. and Sunrise Operations LLC (incorporated by reference to</w:t>
              </w:r>
            </w:hyperlink>
          </w:p>
        </w:tc>
        <w:tc>
          <w:tcPr>
            <w:tcW w:w="44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Exhibit 2.2 of Horizon Lines, Inc.’s Form 8-K dated November 13, 2014).</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100" w:type="dxa"/>
            <w:vAlign w:val="bottom"/>
          </w:tcPr>
          <w:p>
            <w:pPr>
              <w:jc w:val="right"/>
              <w:ind w:right="770"/>
              <w:spacing w:after="0"/>
              <w:rPr>
                <w:sz w:val="20"/>
                <w:szCs w:val="20"/>
                <w:color w:val="auto"/>
              </w:rPr>
            </w:pPr>
            <w:r>
              <w:rPr>
                <w:rFonts w:ascii="Arial" w:cs="Arial" w:eastAsia="Arial" w:hAnsi="Arial"/>
                <w:sz w:val="18"/>
                <w:szCs w:val="18"/>
                <w:color w:val="auto"/>
                <w:w w:val="87"/>
              </w:rPr>
              <w:t>2.4</w:t>
            </w:r>
          </w:p>
        </w:tc>
        <w:tc>
          <w:tcPr>
            <w:tcW w:w="7740" w:type="dxa"/>
            <w:vAlign w:val="bottom"/>
            <w:tcBorders>
              <w:bottom w:val="single" w:sz="8" w:color="0000EE"/>
            </w:tcBorders>
            <w:gridSpan w:val="12"/>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Amendment No. 1 to the Contribution, Assumption and Purchase Agreement, dated as of May 29, 2015, by</w:t>
              </w:r>
            </w:hyperlink>
          </w:p>
        </w:tc>
        <w:tc>
          <w:tcPr>
            <w:tcW w:w="22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and among The Pasha Group, SR Holding LLC, Horizon Lines, Inc. and Sunrise Operations LLC</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5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w w:val="97"/>
              </w:rPr>
            </w:pPr>
            <w:hyperlink r:id="rId102">
              <w:r>
                <w:rPr>
                  <w:rFonts w:ascii="Arial" w:cs="Arial" w:eastAsia="Arial" w:hAnsi="Arial"/>
                  <w:sz w:val="18"/>
                  <w:szCs w:val="18"/>
                  <w:color w:val="0000EE"/>
                  <w:w w:val="97"/>
                </w:rPr>
                <w:t>(incorporated by reference to Exhibit 2.2 of Matson’s Form 10-Q for the quarter ended June 30, 2015).</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100" w:type="dxa"/>
            <w:vAlign w:val="bottom"/>
          </w:tcPr>
          <w:p>
            <w:pPr>
              <w:jc w:val="right"/>
              <w:ind w:right="770"/>
              <w:spacing w:after="0"/>
              <w:rPr>
                <w:sz w:val="20"/>
                <w:szCs w:val="20"/>
                <w:color w:val="auto"/>
              </w:rPr>
            </w:pPr>
            <w:r>
              <w:rPr>
                <w:rFonts w:ascii="Arial" w:cs="Arial" w:eastAsia="Arial" w:hAnsi="Arial"/>
                <w:sz w:val="18"/>
                <w:szCs w:val="18"/>
                <w:color w:val="auto"/>
                <w:w w:val="87"/>
              </w:rPr>
              <w:t>2.5</w:t>
            </w:r>
          </w:p>
        </w:tc>
        <w:tc>
          <w:tcPr>
            <w:tcW w:w="7960" w:type="dxa"/>
            <w:vAlign w:val="bottom"/>
            <w:gridSpan w:val="15"/>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Membership Interest Purchase Agreement, dated as of July 18, 2016, by and between Matson Logistics, Inc.</w:t>
              </w:r>
            </w:hyperlink>
          </w:p>
        </w:tc>
      </w:tr>
      <w:tr>
        <w:trPr>
          <w:trHeight w:val="196"/>
        </w:trPr>
        <w:tc>
          <w:tcPr>
            <w:tcW w:w="1100" w:type="dxa"/>
            <w:vAlign w:val="bottom"/>
          </w:tcPr>
          <w:p>
            <w:pPr>
              <w:spacing w:after="0"/>
              <w:rPr>
                <w:sz w:val="17"/>
                <w:szCs w:val="17"/>
                <w:color w:val="auto"/>
              </w:rPr>
            </w:pPr>
          </w:p>
        </w:tc>
        <w:tc>
          <w:tcPr>
            <w:tcW w:w="778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and Span Holdings, LLC (incorporated by reference to Exhibit 2.1 of Matson’s Form 8-K dated July 19,</w:t>
              </w:r>
            </w:hyperlink>
          </w:p>
        </w:tc>
        <w:tc>
          <w:tcPr>
            <w:tcW w:w="18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3">
              <w:r>
                <w:rPr>
                  <w:rFonts w:ascii="Arial" w:cs="Arial" w:eastAsia="Arial" w:hAnsi="Arial"/>
                  <w:sz w:val="18"/>
                  <w:szCs w:val="18"/>
                  <w:color w:val="0000EE"/>
                  <w:w w:val="86"/>
                </w:rPr>
                <w:t>2016).</w:t>
              </w:r>
            </w:hyperlink>
          </w:p>
        </w:tc>
        <w:tc>
          <w:tcPr>
            <w:tcW w:w="22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29" w:lineRule="exact"/>
        <w:rPr>
          <w:sz w:val="20"/>
          <w:szCs w:val="20"/>
          <w:color w:val="auto"/>
        </w:rPr>
      </w:pPr>
    </w:p>
    <w:p>
      <w:pPr>
        <w:ind w:left="1100" w:hanging="1090"/>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770"/>
              <w:spacing w:after="0"/>
              <w:rPr>
                <w:sz w:val="20"/>
                <w:szCs w:val="20"/>
                <w:color w:val="auto"/>
              </w:rPr>
            </w:pPr>
            <w:r>
              <w:rPr>
                <w:rFonts w:ascii="Arial" w:cs="Arial" w:eastAsia="Arial" w:hAnsi="Arial"/>
                <w:sz w:val="18"/>
                <w:szCs w:val="18"/>
                <w:color w:val="auto"/>
                <w:w w:val="87"/>
              </w:rPr>
              <w:t>3.1</w:t>
            </w:r>
          </w:p>
        </w:tc>
        <w:tc>
          <w:tcPr>
            <w:tcW w:w="7820" w:type="dxa"/>
            <w:vAlign w:val="bottom"/>
            <w:tcBorders>
              <w:bottom w:val="single" w:sz="8" w:color="0000EE"/>
            </w:tcBorders>
            <w:gridSpan w:val="2"/>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Amended and Restated Articles of Incorporation of Matson, Inc. (incorporated by reference to Exhibit 3.1 of</w:t>
              </w:r>
            </w:hyperlink>
          </w:p>
        </w:tc>
      </w:tr>
      <w:tr>
        <w:trPr>
          <w:trHeight w:val="196"/>
        </w:trPr>
        <w:tc>
          <w:tcPr>
            <w:tcW w:w="1100" w:type="dxa"/>
            <w:vAlign w:val="bottom"/>
          </w:tcPr>
          <w:p>
            <w:pPr>
              <w:spacing w:after="0"/>
              <w:rPr>
                <w:sz w:val="17"/>
                <w:szCs w:val="17"/>
                <w:color w:val="auto"/>
              </w:rPr>
            </w:pPr>
          </w:p>
        </w:tc>
        <w:tc>
          <w:tcPr>
            <w:tcW w:w="7820" w:type="dxa"/>
            <w:vAlign w:val="bottom"/>
            <w:gridSpan w:val="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Matson’s Form 10-Q for the quarter ended June 30, 2012).</w:t>
              </w:r>
            </w:hyperlink>
          </w:p>
        </w:tc>
      </w:tr>
      <w:tr>
        <w:trPr>
          <w:trHeight w:val="20"/>
        </w:trPr>
        <w:tc>
          <w:tcPr>
            <w:tcW w:w="1100" w:type="dxa"/>
            <w:vAlign w:val="bottom"/>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7600" w:type="dxa"/>
            <w:vAlign w:val="bottom"/>
            <w:tcBorders>
              <w:bottom w:val="single" w:sz="8" w:color="0000EE"/>
            </w:tcBorders>
            <w:gridSpan w:val="18"/>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Articles of Amendment to Change Corporate Name (incorporated by reference to Exhibit 4.2 of Matson’s</w:t>
              </w:r>
            </w:hyperlink>
          </w:p>
        </w:tc>
        <w:tc>
          <w:tcPr>
            <w:tcW w:w="360" w:type="dxa"/>
            <w:vAlign w:val="bottom"/>
            <w:gridSpan w:val="10"/>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Form S-8 dated October 26, 2012).</w:t>
              </w:r>
            </w:hyperlink>
          </w:p>
        </w:tc>
        <w:tc>
          <w:tcPr>
            <w:tcW w:w="5440" w:type="dxa"/>
            <w:vAlign w:val="bottom"/>
            <w:gridSpan w:val="2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3.3</w:t>
            </w:r>
          </w:p>
        </w:tc>
        <w:tc>
          <w:tcPr>
            <w:tcW w:w="7420" w:type="dxa"/>
            <w:vAlign w:val="bottom"/>
            <w:tcBorders>
              <w:bottom w:val="single" w:sz="8" w:color="0000EE"/>
            </w:tcBorders>
            <w:gridSpan w:val="16"/>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Amended and Restated Bylaws of Matson, Inc. (as amended as of November 6, 2013) (incorporated by</w:t>
              </w:r>
            </w:hyperlink>
          </w:p>
        </w:tc>
        <w:tc>
          <w:tcPr>
            <w:tcW w:w="540" w:type="dxa"/>
            <w:vAlign w:val="bottom"/>
            <w:gridSpan w:val="1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reference to Exhibit 3.1 of Matson’s Form 10-Q for the quarter ended September 30, 2013).</w:t>
              </w:r>
            </w:hyperlink>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4**</w:t>
            </w:r>
          </w:p>
        </w:tc>
        <w:tc>
          <w:tcPr>
            <w:tcW w:w="2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Description of Registered Securities.</w:t>
              </w:r>
            </w:hyperlink>
          </w:p>
        </w:tc>
        <w:tc>
          <w:tcPr>
            <w:tcW w:w="3940" w:type="dxa"/>
            <w:vAlign w:val="bottom"/>
            <w:tcBorders>
              <w:top w:val="single" w:sz="8" w:color="0000EE"/>
            </w:tcBorders>
            <w:gridSpan w:val="5"/>
          </w:tcPr>
          <w:p>
            <w:pPr>
              <w:spacing w:after="0"/>
              <w:rPr>
                <w:sz w:val="24"/>
                <w:szCs w:val="24"/>
                <w:color w:val="auto"/>
              </w:rPr>
            </w:pPr>
          </w:p>
        </w:tc>
        <w:tc>
          <w:tcPr>
            <w:tcW w:w="1380" w:type="dxa"/>
            <w:vAlign w:val="bottom"/>
            <w:gridSpan w:val="19"/>
          </w:tcPr>
          <w:p>
            <w:pPr>
              <w:spacing w:after="0"/>
              <w:rPr>
                <w:sz w:val="24"/>
                <w:szCs w:val="24"/>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w:t>
            </w:r>
          </w:p>
        </w:tc>
        <w:tc>
          <w:tcPr>
            <w:tcW w:w="7960" w:type="dxa"/>
            <w:vAlign w:val="bottom"/>
            <w:gridSpan w:val="28"/>
          </w:tcPr>
          <w:p>
            <w:pPr>
              <w:spacing w:after="0"/>
              <w:rPr>
                <w:sz w:val="20"/>
                <w:szCs w:val="20"/>
                <w:color w:val="auto"/>
              </w:rPr>
            </w:pPr>
            <w:r>
              <w:rPr>
                <w:rFonts w:ascii="Arial" w:cs="Arial" w:eastAsia="Arial" w:hAnsi="Arial"/>
                <w:sz w:val="18"/>
                <w:szCs w:val="18"/>
                <w:color w:val="auto"/>
              </w:rPr>
              <w:t>Material contracts.</w:t>
            </w: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7860" w:type="dxa"/>
            <w:vAlign w:val="bottom"/>
            <w:tcBorders>
              <w:bottom w:val="single" w:sz="8" w:color="0000EE"/>
            </w:tcBorders>
            <w:gridSpan w:val="25"/>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Credit Agreement among Matson, Inc., Bank of America, N.A., as the Agent, and the</w:t>
              </w:r>
            </w:hyperlink>
          </w:p>
        </w:tc>
        <w:tc>
          <w:tcPr>
            <w:tcW w:w="10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lenders thereto, dated as of June 29, 2017 (incorporated by reference to Exhibit 10.1 of Matson’s Form 8-K</w:t>
              </w:r>
            </w:hyperlink>
          </w:p>
        </w:tc>
      </w:tr>
      <w:tr>
        <w:trPr>
          <w:trHeight w:val="196"/>
        </w:trPr>
        <w:tc>
          <w:tcPr>
            <w:tcW w:w="110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8">
              <w:r>
                <w:rPr>
                  <w:rFonts w:ascii="Arial" w:cs="Arial" w:eastAsia="Arial" w:hAnsi="Arial"/>
                  <w:sz w:val="18"/>
                  <w:szCs w:val="18"/>
                  <w:color w:val="0000EE"/>
                  <w:w w:val="86"/>
                </w:rPr>
                <w:t>dated June 30, 2017).</w:t>
              </w:r>
            </w:hyperlink>
          </w:p>
        </w:tc>
        <w:tc>
          <w:tcPr>
            <w:tcW w:w="6160" w:type="dxa"/>
            <w:vAlign w:val="bottom"/>
            <w:tcBorders>
              <w:top w:val="single" w:sz="8" w:color="0000EE"/>
            </w:tcBorders>
            <w:gridSpan w:val="19"/>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7960" w:type="dxa"/>
            <w:vAlign w:val="bottom"/>
            <w:gridSpan w:val="28"/>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Amendment to Note Purchase Agreement among Matson, Inc. and the purchasers named therein, dated as of</w:t>
              </w:r>
            </w:hyperlink>
          </w:p>
        </w:tc>
      </w:tr>
      <w:tr>
        <w:trPr>
          <w:trHeight w:val="196"/>
        </w:trPr>
        <w:tc>
          <w:tcPr>
            <w:tcW w:w="11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June 29, 2017 (incorporated by reference to Exhibit 10.2 of Matson’s Form 8-K dated June 30, 2017).</w:t>
              </w:r>
            </w:hyperlink>
          </w:p>
        </w:tc>
        <w:tc>
          <w:tcPr>
            <w:tcW w:w="460" w:type="dxa"/>
            <w:vAlign w:val="bottom"/>
            <w:tcBorders>
              <w:top w:val="single" w:sz="8" w:color="0000EE"/>
            </w:tcBorders>
            <w:gridSpan w:val="9"/>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7960" w:type="dxa"/>
            <w:vAlign w:val="bottom"/>
            <w:gridSpan w:val="28"/>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Amendment to Note Purchase Agreement among Matson, Inc. and the purchasers named therein, dated as of</w:t>
              </w:r>
            </w:hyperlink>
          </w:p>
        </w:tc>
      </w:tr>
      <w:tr>
        <w:trPr>
          <w:trHeight w:val="196"/>
        </w:trPr>
        <w:tc>
          <w:tcPr>
            <w:tcW w:w="110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June 29, 2017 (incorporated by reference to Exhibit 10.3 of Matson’s Form 8-K dated June 30, 2017).</w:t>
              </w:r>
            </w:hyperlink>
          </w:p>
        </w:tc>
        <w:tc>
          <w:tcPr>
            <w:tcW w:w="480" w:type="dxa"/>
            <w:vAlign w:val="bottom"/>
            <w:tcBorders>
              <w:top w:val="single" w:sz="8" w:color="0000EE"/>
            </w:tcBorders>
            <w:gridSpan w:val="10"/>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7220" w:type="dxa"/>
            <w:vAlign w:val="bottom"/>
            <w:tcBorders>
              <w:bottom w:val="single" w:sz="8" w:color="0000EE"/>
            </w:tcBorders>
            <w:gridSpan w:val="12"/>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Amendment to Third Amended and Restated Note Purchase Agreement among Matson, Inc. and the</w:t>
              </w:r>
            </w:hyperlink>
          </w:p>
        </w:tc>
        <w:tc>
          <w:tcPr>
            <w:tcW w:w="740" w:type="dxa"/>
            <w:vAlign w:val="bottom"/>
            <w:gridSpan w:val="1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purchasers named therein, dated as of June 29, 2017 (incorporated by reference to Exhibit 10.4 of Matson’s</w:t>
              </w:r>
            </w:hyperlink>
          </w:p>
        </w:tc>
      </w:tr>
      <w:tr>
        <w:trPr>
          <w:trHeight w:val="196"/>
        </w:trPr>
        <w:tc>
          <w:tcPr>
            <w:tcW w:w="110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Form 8-K dated June 30, 2017).</w:t>
              </w:r>
            </w:hyperlink>
          </w:p>
        </w:tc>
        <w:tc>
          <w:tcPr>
            <w:tcW w:w="5420" w:type="dxa"/>
            <w:vAlign w:val="bottom"/>
            <w:tcBorders>
              <w:top w:val="single" w:sz="8" w:color="0000EE"/>
            </w:tcBorders>
            <w:gridSpan w:val="19"/>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7960" w:type="dxa"/>
            <w:vAlign w:val="bottom"/>
            <w:gridSpan w:val="2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Amendment to Note Purchase Agreement among Matson, Inc. and the purchasers named therein, dated as of</w:t>
              </w:r>
            </w:hyperlink>
          </w:p>
        </w:tc>
      </w:tr>
      <w:tr>
        <w:trPr>
          <w:trHeight w:val="196"/>
        </w:trPr>
        <w:tc>
          <w:tcPr>
            <w:tcW w:w="11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June 29, 2017 (incorporated by reference to Exhibit 10.5 of Matson’s Form 8-K dated June 30, 2017).</w:t>
              </w:r>
            </w:hyperlink>
          </w:p>
        </w:tc>
        <w:tc>
          <w:tcPr>
            <w:tcW w:w="460" w:type="dxa"/>
            <w:vAlign w:val="bottom"/>
            <w:tcBorders>
              <w:top w:val="single" w:sz="8" w:color="0000EE"/>
            </w:tcBorders>
            <w:gridSpan w:val="9"/>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7640" w:type="dxa"/>
            <w:vAlign w:val="bottom"/>
            <w:tcBorders>
              <w:bottom w:val="single" w:sz="8" w:color="0000EE"/>
            </w:tcBorders>
            <w:gridSpan w:val="19"/>
          </w:tcPr>
          <w:p>
            <w:pPr>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Note Purchase Agreement among Matson, Inc. and the purchasers party thereto, dated as of December 21,</w:t>
              </w:r>
            </w:hyperlink>
          </w:p>
        </w:tc>
        <w:tc>
          <w:tcPr>
            <w:tcW w:w="32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2016 (incorporated by reference to Exhibit 10.1 of Matson’s Form 8-K dated December 22, 2016).</w:t>
              </w:r>
            </w:hyperlink>
          </w:p>
        </w:tc>
      </w:tr>
      <w:tr>
        <w:trPr>
          <w:trHeight w:val="20"/>
        </w:trPr>
        <w:tc>
          <w:tcPr>
            <w:tcW w:w="1100" w:type="dxa"/>
            <w:vAlign w:val="bottom"/>
          </w:tcPr>
          <w:p>
            <w:pPr>
              <w:spacing w:after="0" w:line="20" w:lineRule="exact"/>
              <w:rPr>
                <w:sz w:val="1"/>
                <w:szCs w:val="1"/>
                <w:color w:val="auto"/>
              </w:rPr>
            </w:pPr>
          </w:p>
        </w:tc>
        <w:tc>
          <w:tcPr>
            <w:tcW w:w="3440" w:type="dxa"/>
            <w:vAlign w:val="bottom"/>
            <w:gridSpan w:val="5"/>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7380" w:type="dxa"/>
            <w:vAlign w:val="bottom"/>
            <w:tcBorders>
              <w:bottom w:val="single" w:sz="8" w:color="0000EE"/>
            </w:tcBorders>
            <w:gridSpan w:val="15"/>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Third Amended and Restated Note Purchase and Private Shelf Agreement among Matson, Inc. and the</w:t>
              </w:r>
            </w:hyperlink>
          </w:p>
        </w:tc>
        <w:tc>
          <w:tcPr>
            <w:tcW w:w="58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purchasers party thereto, dated as of September 14, 2016 (incorporated by reference to Exhibit 10.1 of</w:t>
              </w:r>
            </w:hyperlink>
          </w:p>
        </w:tc>
      </w:tr>
      <w:tr>
        <w:trPr>
          <w:trHeight w:val="196"/>
        </w:trPr>
        <w:tc>
          <w:tcPr>
            <w:tcW w:w="11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Matson’s Form 8-K dated September 14, 2016).</w:t>
              </w:r>
            </w:hyperlink>
          </w:p>
        </w:tc>
        <w:tc>
          <w:tcPr>
            <w:tcW w:w="3900" w:type="dxa"/>
            <w:vAlign w:val="bottom"/>
            <w:tcBorders>
              <w:top w:val="single" w:sz="8" w:color="0000EE"/>
            </w:tcBorders>
            <w:gridSpan w:val="9"/>
          </w:tcPr>
          <w:p>
            <w:pPr>
              <w:spacing w:after="0"/>
              <w:rPr>
                <w:sz w:val="17"/>
                <w:szCs w:val="17"/>
                <w:color w:val="auto"/>
              </w:rPr>
            </w:pPr>
          </w:p>
        </w:tc>
        <w:tc>
          <w:tcPr>
            <w:tcW w:w="620" w:type="dxa"/>
            <w:vAlign w:val="bottom"/>
            <w:gridSpan w:val="1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7600" w:type="dxa"/>
            <w:vAlign w:val="bottom"/>
            <w:tcBorders>
              <w:bottom w:val="single" w:sz="8" w:color="0000EE"/>
            </w:tcBorders>
            <w:gridSpan w:val="18"/>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Note Purchase Agreement among Matson, Inc. and the purchasers party thereto, dated as of July 30, 2015</w:t>
              </w:r>
            </w:hyperlink>
          </w:p>
        </w:tc>
        <w:tc>
          <w:tcPr>
            <w:tcW w:w="36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(incorporated by reference to Exhibit 10.1 of Matson’s Form 8-K dated August 3, 2015).</w:t>
              </w:r>
            </w:hyperlink>
          </w:p>
        </w:tc>
      </w:tr>
      <w:tr>
        <w:trPr>
          <w:trHeight w:val="20"/>
        </w:trPr>
        <w:tc>
          <w:tcPr>
            <w:tcW w:w="1100" w:type="dxa"/>
            <w:vAlign w:val="bottom"/>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7960" w:type="dxa"/>
            <w:vAlign w:val="bottom"/>
            <w:gridSpan w:val="28"/>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Amendment to the Note Purchase Agreement among Matson, Inc. and the purchasers party thereto, dated as</w:t>
              </w:r>
            </w:hyperlink>
          </w:p>
        </w:tc>
      </w:tr>
      <w:tr>
        <w:trPr>
          <w:trHeight w:val="196"/>
        </w:trPr>
        <w:tc>
          <w:tcPr>
            <w:tcW w:w="1100" w:type="dxa"/>
            <w:vAlign w:val="bottom"/>
          </w:tcPr>
          <w:p>
            <w:pPr>
              <w:spacing w:after="0"/>
              <w:rPr>
                <w:sz w:val="17"/>
                <w:szCs w:val="17"/>
                <w:color w:val="auto"/>
              </w:rPr>
            </w:pPr>
          </w:p>
        </w:tc>
        <w:tc>
          <w:tcPr>
            <w:tcW w:w="776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of July 30, 2015 (incorporated by reference to Exhibit 10.3 of Matson’s Form 8-K dated August 3, 2015).</w:t>
              </w:r>
            </w:hyperlink>
          </w:p>
        </w:tc>
        <w:tc>
          <w:tcPr>
            <w:tcW w:w="200" w:type="dxa"/>
            <w:vAlign w:val="bottom"/>
            <w:gridSpan w:val="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7880" w:type="dxa"/>
            <w:vAlign w:val="bottom"/>
            <w:tcBorders>
              <w:bottom w:val="single" w:sz="8" w:color="0000EE"/>
            </w:tcBorders>
            <w:gridSpan w:val="26"/>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First Amendment to Note Purchase Agreement among Matson, Inc. and the purchasers party thereto, dated as</w:t>
              </w:r>
            </w:hyperlink>
          </w:p>
        </w:tc>
        <w:tc>
          <w:tcPr>
            <w:tcW w:w="8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8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of October 1, 2015 (incorporated by reference to Exhibit 10.1 of Matson’s Form 8-K dated October 2, 2015).</w:t>
              </w:r>
            </w:hyperlink>
          </w:p>
        </w:tc>
        <w:tc>
          <w:tcPr>
            <w:tcW w:w="12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7960" w:type="dxa"/>
            <w:vAlign w:val="bottom"/>
            <w:gridSpan w:val="28"/>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Note Purchase Agreement among Matson, Inc. and the purchasers party thereto, dated as of November 5,</w:t>
              </w:r>
            </w:hyperlink>
          </w:p>
        </w:tc>
      </w:tr>
      <w:tr>
        <w:trPr>
          <w:trHeight w:val="196"/>
        </w:trPr>
        <w:tc>
          <w:tcPr>
            <w:tcW w:w="1100" w:type="dxa"/>
            <w:vAlign w:val="bottom"/>
          </w:tcPr>
          <w:p>
            <w:pPr>
              <w:spacing w:after="0"/>
              <w:rPr>
                <w:sz w:val="17"/>
                <w:szCs w:val="17"/>
                <w:color w:val="auto"/>
              </w:rPr>
            </w:pPr>
          </w:p>
        </w:tc>
        <w:tc>
          <w:tcPr>
            <w:tcW w:w="758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2013 (incorporated by reference to Exhibit 10.1 of Matson’s Form 8-K dated January 29, 2014).</w:t>
              </w:r>
            </w:hyperlink>
          </w:p>
        </w:tc>
        <w:tc>
          <w:tcPr>
            <w:tcW w:w="380" w:type="dxa"/>
            <w:vAlign w:val="bottom"/>
            <w:gridSpan w:val="11"/>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7960" w:type="dxa"/>
            <w:vAlign w:val="bottom"/>
            <w:gridSpan w:val="28"/>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Amended and Restated Limited Liability Company Agreement of SSA Terminals, LLC by and between SSA</w:t>
              </w:r>
            </w:hyperlink>
          </w:p>
        </w:tc>
      </w:tr>
      <w:tr>
        <w:trPr>
          <w:trHeight w:val="20"/>
        </w:trPr>
        <w:tc>
          <w:tcPr>
            <w:tcW w:w="1100" w:type="dxa"/>
            <w:vAlign w:val="bottom"/>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gridSpan w:val="1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8"/>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Ventures, Inc. and Matson Ventures, Inc., dated as of April 24, 2002 (certain portions of this exhibit have been</w:t>
              </w:r>
            </w:hyperlink>
          </w:p>
        </w:tc>
      </w:tr>
      <w:tr>
        <w:trPr>
          <w:trHeight w:val="196"/>
        </w:trPr>
        <w:tc>
          <w:tcPr>
            <w:tcW w:w="1100" w:type="dxa"/>
            <w:vAlign w:val="bottom"/>
          </w:tcPr>
          <w:p>
            <w:pPr>
              <w:spacing w:after="0"/>
              <w:rPr>
                <w:sz w:val="17"/>
                <w:szCs w:val="17"/>
                <w:color w:val="auto"/>
              </w:rPr>
            </w:pPr>
          </w:p>
        </w:tc>
        <w:tc>
          <w:tcPr>
            <w:tcW w:w="7920" w:type="dxa"/>
            <w:vAlign w:val="bottom"/>
            <w:tcBorders>
              <w:top w:val="single" w:sz="8" w:color="0000EE"/>
            </w:tcBorders>
            <w:gridSpan w:val="27"/>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omitted pursuant to a confidential treatment request submitted to the Commission) (incorporated by reference</w:t>
              </w:r>
            </w:hyperlink>
          </w:p>
        </w:tc>
        <w:tc>
          <w:tcPr>
            <w:tcW w:w="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to Exhibit 10.1 of Matson’s Form 10-Q for the quarter ended June 30, 2012).</w:t>
              </w:r>
            </w:hyperlink>
          </w:p>
        </w:tc>
        <w:tc>
          <w:tcPr>
            <w:tcW w:w="2360" w:type="dxa"/>
            <w:vAlign w:val="bottom"/>
            <w:tcBorders>
              <w:top w:val="single" w:sz="8" w:color="0000EE"/>
            </w:tcBorders>
            <w:gridSpan w:val="20"/>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7960" w:type="dxa"/>
            <w:vAlign w:val="bottom"/>
            <w:gridSpan w:val="28"/>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Parent Company Agreement, dated as of April 24, 2002, by and among SSA Pacific Terminals, Inc., formerly</w:t>
              </w:r>
            </w:hyperlink>
          </w:p>
        </w:tc>
      </w:tr>
      <w:tr>
        <w:trPr>
          <w:trHeight w:val="196"/>
        </w:trPr>
        <w:tc>
          <w:tcPr>
            <w:tcW w:w="1100" w:type="dxa"/>
            <w:vAlign w:val="bottom"/>
          </w:tcPr>
          <w:p>
            <w:pPr>
              <w:spacing w:after="0"/>
              <w:rPr>
                <w:sz w:val="17"/>
                <w:szCs w:val="17"/>
                <w:color w:val="auto"/>
              </w:rPr>
            </w:pPr>
          </w:p>
        </w:tc>
        <w:tc>
          <w:tcPr>
            <w:tcW w:w="7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known as Stevedoring Services of America, Inc., SSA Ventures, Inc., Matson Navigation</w:t>
              </w:r>
            </w:hyperlink>
          </w:p>
        </w:tc>
        <w:tc>
          <w:tcPr>
            <w:tcW w:w="80" w:type="dxa"/>
            <w:vAlign w:val="bottom"/>
            <w:gridSpan w:val="2"/>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5520" w:type="dxa"/>
            <w:vAlign w:val="bottom"/>
            <w:tcBorders>
              <w:top w:val="single" w:sz="8" w:color="0000EE"/>
            </w:tcBorders>
            <w:gridSpan w:val="6"/>
          </w:tcPr>
          <w:p>
            <w:pPr>
              <w:ind w:left="3340"/>
              <w:spacing w:after="0"/>
              <w:rPr>
                <w:sz w:val="20"/>
                <w:szCs w:val="20"/>
                <w:color w:val="auto"/>
              </w:rPr>
            </w:pPr>
            <w:r>
              <w:rPr>
                <w:rFonts w:ascii="Arial" w:cs="Arial" w:eastAsia="Arial" w:hAnsi="Arial"/>
                <w:sz w:val="18"/>
                <w:szCs w:val="18"/>
                <w:color w:val="auto"/>
              </w:rPr>
              <w:t>76</w:t>
            </w:r>
          </w:p>
        </w:tc>
        <w:tc>
          <w:tcPr>
            <w:tcW w:w="8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209"/>
        </w:trPr>
        <w:tc>
          <w:tcPr>
            <w:tcW w:w="1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7820" w:type="dxa"/>
            <w:vAlign w:val="bottom"/>
            <w:tcBorders>
              <w:bottom w:val="single" w:sz="8" w:color="0000EE"/>
            </w:tcBorders>
            <w:gridSpan w:val="2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Company, Inc. and Matson Ventures, Inc. (incorporated by reference to Exhibit 10.2 of Matson’s Form 10-Q</w:t>
              </w:r>
            </w:hyperlink>
          </w:p>
        </w:tc>
        <w:tc>
          <w:tcPr>
            <w:tcW w:w="10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for the quarter ended June 30, 2012).</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Borders>
              <w:bottom w:val="single" w:sz="8" w:color="0000EE"/>
            </w:tcBorders>
            <w:gridSpan w:val="17"/>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Security Agreement between Matson Navigation Company, Inc. and the United States of America, with</w:t>
              </w:r>
            </w:hyperlink>
          </w:p>
        </w:tc>
        <w:tc>
          <w:tcPr>
            <w:tcW w:w="46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 xml:space="preserve">respect to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55 million of Title XI ship financing bonds, dated July 29, 2004 (incorporated by reference to</w:t>
              </w:r>
            </w:hyperlink>
          </w:p>
        </w:tc>
        <w:tc>
          <w:tcPr>
            <w:tcW w:w="34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6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Exhibit 10.a.(xxvi) of Alexander &amp; Baldwin, Inc.’s Form 10-Q for the quarter ended September 30, 2004).</w:t>
              </w:r>
            </w:hyperlink>
          </w:p>
        </w:tc>
        <w:tc>
          <w:tcPr>
            <w:tcW w:w="24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7920" w:type="dxa"/>
            <w:vAlign w:val="bottom"/>
            <w:gridSpan w:val="30"/>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Amendment No. 1 dated September 21, 2007, to Security Agreement between Matson Navigation Company,</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 xml:space="preserve">Inc. and the United States of America, with respect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55 million of Title XI ship financing bonds, dated July</w:t>
              </w:r>
            </w:hyperlink>
          </w:p>
        </w:tc>
      </w:tr>
      <w:tr>
        <w:trPr>
          <w:trHeight w:val="196"/>
        </w:trPr>
        <w:tc>
          <w:tcPr>
            <w:tcW w:w="110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29, 2004 (incorporated by reference to Exhibit 10.a.(xxx) of Alexander &amp; Baldwin, Inc.’s Form 10-Q for the</w:t>
              </w:r>
            </w:hyperlink>
          </w:p>
        </w:tc>
      </w:tr>
      <w:tr>
        <w:trPr>
          <w:trHeight w:val="196"/>
        </w:trPr>
        <w:tc>
          <w:tcPr>
            <w:tcW w:w="1100" w:type="dxa"/>
            <w:vAlign w:val="bottom"/>
          </w:tcPr>
          <w:p>
            <w:pPr>
              <w:spacing w:after="0"/>
              <w:rPr>
                <w:sz w:val="17"/>
                <w:szCs w:val="17"/>
                <w:color w:val="auto"/>
              </w:rPr>
            </w:pPr>
          </w:p>
        </w:tc>
        <w:tc>
          <w:tcPr>
            <w:tcW w:w="78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quarter ended September 30, 2007).</w:t>
              </w:r>
            </w:hyperlink>
          </w:p>
        </w:tc>
        <w:tc>
          <w:tcPr>
            <w:tcW w:w="100" w:type="dxa"/>
            <w:vAlign w:val="bottom"/>
            <w:gridSpan w:val="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7920" w:type="dxa"/>
            <w:vAlign w:val="bottom"/>
            <w:gridSpan w:val="30"/>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Matson, Inc. 2007 Incentive Compensation Plan, amended and restated, effective January 29, 2015</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(incorporated by reference to Exhibit 10.13 of Matson’s Form 10-K for the year ended December 31, 2014).</w:t>
              </w:r>
            </w:hyperlink>
          </w:p>
        </w:tc>
        <w:tc>
          <w:tcPr>
            <w:tcW w:w="14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7900" w:type="dxa"/>
            <w:vAlign w:val="bottom"/>
            <w:tcBorders>
              <w:bottom w:val="single" w:sz="8" w:color="0000EE"/>
            </w:tcBorders>
            <w:gridSpan w:val="29"/>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Notice of Stock Option Grant (incorporated by reference to Exhibit 99.2 to Matson’s Form S-8 dated</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October 26, 2012).</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7920" w:type="dxa"/>
            <w:vAlign w:val="bottom"/>
            <w:tcBorders>
              <w:bottom w:val="single" w:sz="8" w:color="0000EE"/>
            </w:tcBorders>
            <w:gridSpan w:val="30"/>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Form of Stock Option Agreement for Non-Executive Employees (incorporated by reference to Exhibit 99.3 of</w:t>
              </w:r>
            </w:hyperlink>
          </w:p>
        </w:tc>
      </w:tr>
      <w:tr>
        <w:trPr>
          <w:trHeight w:val="196"/>
        </w:trPr>
        <w:tc>
          <w:tcPr>
            <w:tcW w:w="110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Matson’s Form S-8 dated October 26, 2012).</w:t>
              </w:r>
            </w:hyperlink>
          </w:p>
        </w:tc>
        <w:tc>
          <w:tcPr>
            <w:tcW w:w="4680" w:type="dxa"/>
            <w:vAlign w:val="bottom"/>
            <w:gridSpan w:val="2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7560" w:type="dxa"/>
            <w:vAlign w:val="bottom"/>
            <w:tcBorders>
              <w:bottom w:val="single" w:sz="8" w:color="0000EE"/>
            </w:tcBorders>
            <w:gridSpan w:val="18"/>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Stock Option Agreement for Executive Employees (incorporated by reference to Exhibit 99.4 of</w:t>
              </w:r>
            </w:hyperlink>
          </w:p>
        </w:tc>
        <w:tc>
          <w:tcPr>
            <w:tcW w:w="360" w:type="dxa"/>
            <w:vAlign w:val="bottom"/>
            <w:gridSpan w:val="1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Matson’s Form S-8 dated October 26, 2012).</w:t>
              </w:r>
            </w:hyperlink>
          </w:p>
        </w:tc>
        <w:tc>
          <w:tcPr>
            <w:tcW w:w="4680" w:type="dxa"/>
            <w:vAlign w:val="bottom"/>
            <w:gridSpan w:val="2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7920" w:type="dxa"/>
            <w:vAlign w:val="bottom"/>
            <w:gridSpan w:val="30"/>
          </w:tcPr>
          <w:p>
            <w:pPr>
              <w:spacing w:after="0"/>
              <w:rPr>
                <w:rFonts w:ascii="Arial" w:cs="Arial" w:eastAsia="Arial" w:hAnsi="Arial"/>
                <w:sz w:val="18"/>
                <w:szCs w:val="18"/>
                <w:color w:val="0000EE"/>
                <w:w w:val="98"/>
              </w:rPr>
            </w:pPr>
            <w:hyperlink r:id="rId127">
              <w:r>
                <w:rPr>
                  <w:rFonts w:ascii="Arial" w:cs="Arial" w:eastAsia="Arial" w:hAnsi="Arial"/>
                  <w:sz w:val="18"/>
                  <w:szCs w:val="18"/>
                  <w:color w:val="0000EE"/>
                  <w:w w:val="98"/>
                </w:rPr>
                <w:t>Form of Amended and Restated Restricted Stock Unit Award Agreement for Non-Employee Directors</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6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(Deferral Election) (incorporated by reference to Exhibit 10.21 of Matson’s Form 10-K for the year ended</w:t>
              </w:r>
            </w:hyperlink>
          </w:p>
        </w:tc>
        <w:tc>
          <w:tcPr>
            <w:tcW w:w="30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December 31, 2013).</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7880" w:type="dxa"/>
            <w:vAlign w:val="bottom"/>
            <w:tcBorders>
              <w:bottom w:val="single" w:sz="8" w:color="0000EE"/>
            </w:tcBorders>
            <w:gridSpan w:val="28"/>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Form of Anti-Dilution Adjustment Amendment to Restricted Stock Unit Award Agreements (incorporated by</w:t>
              </w:r>
            </w:hyperlink>
          </w:p>
        </w:tc>
        <w:tc>
          <w:tcPr>
            <w:tcW w:w="4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5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reference to Exhibit 99.10 of Matson’s Form S-8 dated October 26, 2012).</w:t>
              </w:r>
            </w:hyperlink>
          </w:p>
        </w:tc>
        <w:tc>
          <w:tcPr>
            <w:tcW w:w="2580" w:type="dxa"/>
            <w:vAlign w:val="bottom"/>
            <w:gridSpan w:val="2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10.22*</w:t>
            </w:r>
          </w:p>
        </w:tc>
        <w:tc>
          <w:tcPr>
            <w:tcW w:w="7660" w:type="dxa"/>
            <w:vAlign w:val="bottom"/>
            <w:tcBorders>
              <w:bottom w:val="single" w:sz="8" w:color="0000EE"/>
            </w:tcBorders>
            <w:gridSpan w:val="23"/>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Form of Anti-Dilution Adjustment Amendment to Stock Option Agreements (incorporated by reference to</w:t>
              </w:r>
            </w:hyperlink>
          </w:p>
        </w:tc>
        <w:tc>
          <w:tcPr>
            <w:tcW w:w="260" w:type="dxa"/>
            <w:vAlign w:val="bottom"/>
            <w:gridSpan w:val="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Exhibit 99.11 of Matson’s Form S-8 dated October 26, 2012).</w:t>
              </w:r>
            </w:hyperlink>
          </w:p>
        </w:tc>
        <w:tc>
          <w:tcPr>
            <w:tcW w:w="3480" w:type="dxa"/>
            <w:vAlign w:val="bottom"/>
            <w:gridSpan w:val="2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10.23*</w:t>
            </w:r>
          </w:p>
        </w:tc>
        <w:tc>
          <w:tcPr>
            <w:tcW w:w="7680" w:type="dxa"/>
            <w:vAlign w:val="bottom"/>
            <w:tcBorders>
              <w:bottom w:val="single" w:sz="8" w:color="0000EE"/>
            </w:tcBorders>
            <w:gridSpan w:val="24"/>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Stock Option Assumption Agreement (incorporated by reference to Exhibit 99.4 of Post-Effective</w:t>
              </w:r>
            </w:hyperlink>
          </w:p>
        </w:tc>
        <w:tc>
          <w:tcPr>
            <w:tcW w:w="24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5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Amendment No. 2 to Alexander &amp; Baldwin, Inc.’s Form S-8 dated June 6, 2012).</w:t>
              </w:r>
            </w:hyperlink>
          </w:p>
        </w:tc>
        <w:tc>
          <w:tcPr>
            <w:tcW w:w="2060" w:type="dxa"/>
            <w:vAlign w:val="bottom"/>
            <w:gridSpan w:val="1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10.24*</w:t>
            </w:r>
          </w:p>
        </w:tc>
        <w:tc>
          <w:tcPr>
            <w:tcW w:w="7600" w:type="dxa"/>
            <w:vAlign w:val="bottom"/>
            <w:tcBorders>
              <w:bottom w:val="single" w:sz="8" w:color="0000EE"/>
            </w:tcBorders>
            <w:gridSpan w:val="20"/>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Special Form of Stock Option Assumption Agreement (incorporated by reference to Exhibit 99.6 of Post-</w:t>
              </w:r>
            </w:hyperlink>
          </w:p>
        </w:tc>
        <w:tc>
          <w:tcPr>
            <w:tcW w:w="32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Effective Amendment No. 2 to Alexander &amp; Baldwin, Inc.’s Form S-8 dated June 6, 2012).</w:t>
              </w:r>
            </w:hyperlink>
          </w:p>
        </w:tc>
      </w:tr>
      <w:tr>
        <w:trPr>
          <w:trHeight w:val="20"/>
        </w:trPr>
        <w:tc>
          <w:tcPr>
            <w:tcW w:w="1100" w:type="dxa"/>
            <w:vAlign w:val="bottom"/>
          </w:tcPr>
          <w:p>
            <w:pPr>
              <w:spacing w:after="0" w:line="20" w:lineRule="exact"/>
              <w:rPr>
                <w:sz w:val="1"/>
                <w:szCs w:val="1"/>
                <w:color w:val="auto"/>
              </w:rPr>
            </w:pPr>
          </w:p>
        </w:tc>
        <w:tc>
          <w:tcPr>
            <w:tcW w:w="324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10.25*</w:t>
            </w:r>
          </w:p>
        </w:tc>
        <w:tc>
          <w:tcPr>
            <w:tcW w:w="7920" w:type="dxa"/>
            <w:vAlign w:val="bottom"/>
            <w:gridSpan w:val="30"/>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Matson, Inc. Deferred Compensation Plan for Outside Directors (incorporated by reference to Exhibit 10.34</w:t>
              </w:r>
            </w:hyperlink>
          </w:p>
        </w:tc>
      </w:tr>
      <w:tr>
        <w:trPr>
          <w:trHeight w:val="196"/>
        </w:trPr>
        <w:tc>
          <w:tcPr>
            <w:tcW w:w="1100" w:type="dxa"/>
            <w:vAlign w:val="bottom"/>
          </w:tcPr>
          <w:p>
            <w:pPr>
              <w:spacing w:after="0"/>
              <w:rPr>
                <w:sz w:val="17"/>
                <w:szCs w:val="17"/>
                <w:color w:val="auto"/>
              </w:rPr>
            </w:pPr>
          </w:p>
        </w:tc>
        <w:tc>
          <w:tcPr>
            <w:tcW w:w="77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of Matson’s Form 10-K for the year ended December 31, 2012).</w:t>
              </w:r>
            </w:hyperlink>
          </w:p>
        </w:tc>
        <w:tc>
          <w:tcPr>
            <w:tcW w:w="160" w:type="dxa"/>
            <w:vAlign w:val="bottom"/>
            <w:gridSpan w:val="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24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10.26*</w:t>
            </w:r>
          </w:p>
        </w:tc>
        <w:tc>
          <w:tcPr>
            <w:tcW w:w="7920" w:type="dxa"/>
            <w:vAlign w:val="bottom"/>
            <w:gridSpan w:val="30"/>
          </w:tcPr>
          <w:p>
            <w:pPr>
              <w:spacing w:after="0"/>
              <w:rPr>
                <w:rFonts w:ascii="Arial" w:cs="Arial" w:eastAsia="Arial" w:hAnsi="Arial"/>
                <w:sz w:val="18"/>
                <w:szCs w:val="18"/>
                <w:color w:val="0000EE"/>
                <w:w w:val="98"/>
              </w:rPr>
            </w:pPr>
            <w:hyperlink r:id="rId133">
              <w:r>
                <w:rPr>
                  <w:rFonts w:ascii="Arial" w:cs="Arial" w:eastAsia="Arial" w:hAnsi="Arial"/>
                  <w:sz w:val="18"/>
                  <w:szCs w:val="18"/>
                  <w:color w:val="0000EE"/>
                  <w:w w:val="98"/>
                </w:rPr>
                <w:t>Matson, Inc. Excess Benefits Plan, amended and restated effective August 27, 2014 (incorporated by</w:t>
              </w:r>
            </w:hyperlink>
          </w:p>
        </w:tc>
      </w:tr>
      <w:tr>
        <w:trPr>
          <w:trHeight w:val="196"/>
        </w:trPr>
        <w:tc>
          <w:tcPr>
            <w:tcW w:w="110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reference to Exhibit 10.1 of Matson’s Form 8-K dated August 28, 2014).</w:t>
              </w:r>
            </w:hyperlink>
          </w:p>
        </w:tc>
        <w:tc>
          <w:tcPr>
            <w:tcW w:w="2020" w:type="dxa"/>
            <w:vAlign w:val="bottom"/>
            <w:tcBorders>
              <w:top w:val="single" w:sz="8" w:color="0000EE"/>
            </w:tcBorders>
            <w:gridSpan w:val="7"/>
          </w:tcPr>
          <w:p>
            <w:pPr>
              <w:spacing w:after="0"/>
              <w:rPr>
                <w:sz w:val="17"/>
                <w:szCs w:val="17"/>
                <w:color w:val="auto"/>
              </w:rPr>
            </w:pPr>
          </w:p>
        </w:tc>
        <w:tc>
          <w:tcPr>
            <w:tcW w:w="680" w:type="dxa"/>
            <w:vAlign w:val="bottom"/>
            <w:gridSpan w:val="1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10.27*</w:t>
            </w:r>
          </w:p>
        </w:tc>
        <w:tc>
          <w:tcPr>
            <w:tcW w:w="7160" w:type="dxa"/>
            <w:vAlign w:val="bottom"/>
            <w:tcBorders>
              <w:bottom w:val="single" w:sz="8" w:color="0000EE"/>
            </w:tcBorders>
            <w:gridSpan w:val="14"/>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Form of Letter Agreement entered into with certain executive officers (incorporated by reference to</w:t>
              </w:r>
            </w:hyperlink>
          </w:p>
        </w:tc>
        <w:tc>
          <w:tcPr>
            <w:tcW w:w="760" w:type="dxa"/>
            <w:vAlign w:val="bottom"/>
            <w:gridSpan w:val="1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56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Exhibit 10.45 of Matson’s Form 10-K for the year ended December 31, 2012).</w:t>
              </w:r>
            </w:hyperlink>
          </w:p>
        </w:tc>
        <w:tc>
          <w:tcPr>
            <w:tcW w:w="2280" w:type="dxa"/>
            <w:vAlign w:val="bottom"/>
            <w:gridSpan w:val="2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10.28*</w:t>
            </w:r>
          </w:p>
        </w:tc>
        <w:tc>
          <w:tcPr>
            <w:tcW w:w="7640" w:type="dxa"/>
            <w:vAlign w:val="bottom"/>
            <w:tcBorders>
              <w:bottom w:val="single" w:sz="8" w:color="0000EE"/>
            </w:tcBorders>
            <w:gridSpan w:val="22"/>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Schedule identifying executive officers who have entered into Form of Letter Agreement (incorporated by</w:t>
              </w:r>
            </w:hyperlink>
          </w:p>
        </w:tc>
        <w:tc>
          <w:tcPr>
            <w:tcW w:w="28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5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reference to Exhibit 10.42 of Matson’s Form 10-K for the year ended December 31, 2014).</w:t>
              </w:r>
            </w:hyperlink>
          </w:p>
        </w:tc>
        <w:tc>
          <w:tcPr>
            <w:tcW w:w="1360" w:type="dxa"/>
            <w:vAlign w:val="bottom"/>
            <w:gridSpan w:val="1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10.29*</w:t>
            </w:r>
          </w:p>
        </w:tc>
        <w:tc>
          <w:tcPr>
            <w:tcW w:w="7920" w:type="dxa"/>
            <w:vAlign w:val="bottom"/>
            <w:gridSpan w:val="30"/>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Form of Letter Agreement entered into with executive officer (incorporated by reference to Exhibit 10.1 of</w:t>
              </w:r>
            </w:hyperlink>
          </w:p>
        </w:tc>
      </w:tr>
      <w:tr>
        <w:trPr>
          <w:trHeight w:val="196"/>
        </w:trPr>
        <w:tc>
          <w:tcPr>
            <w:tcW w:w="1100" w:type="dxa"/>
            <w:vAlign w:val="bottom"/>
          </w:tcPr>
          <w:p>
            <w:pPr>
              <w:spacing w:after="0"/>
              <w:rPr>
                <w:sz w:val="17"/>
                <w:szCs w:val="17"/>
                <w:color w:val="auto"/>
              </w:rPr>
            </w:pPr>
          </w:p>
        </w:tc>
        <w:tc>
          <w:tcPr>
            <w:tcW w:w="7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Matson’s Form 8-K dated October 24, 2014).</w:t>
              </w:r>
            </w:hyperlink>
          </w:p>
        </w:tc>
        <w:tc>
          <w:tcPr>
            <w:tcW w:w="240" w:type="dxa"/>
            <w:vAlign w:val="bottom"/>
            <w:gridSpan w:val="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39"/>
          </w:cols>
          <w:pgMar w:left="1420" w:top="517" w:right="1440"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10.30*,**</w:t>
            </w:r>
          </w:p>
        </w:tc>
        <w:tc>
          <w:tcPr>
            <w:tcW w:w="7960" w:type="dxa"/>
            <w:vAlign w:val="bottom"/>
            <w:gridSpan w:val="2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Letter Agreement Counter Party.</w:t>
              </w:r>
            </w:hyperlink>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10.31*</w:t>
            </w:r>
          </w:p>
        </w:tc>
        <w:tc>
          <w:tcPr>
            <w:tcW w:w="7740" w:type="dxa"/>
            <w:vAlign w:val="bottom"/>
            <w:tcBorders>
              <w:bottom w:val="single" w:sz="8" w:color="0000EE"/>
            </w:tcBorders>
            <w:gridSpan w:val="17"/>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Matson, Inc. Executive Severance Plan (incorporated by reference to Exhibit 10.47 of Matson’s Form 10-K</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for the year ended December 31, 2012).</w:t>
              </w:r>
            </w:hyperlink>
          </w:p>
        </w:tc>
        <w:tc>
          <w:tcPr>
            <w:tcW w:w="5100" w:type="dxa"/>
            <w:vAlign w:val="bottom"/>
            <w:gridSpan w:val="2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10.32*</w:t>
            </w:r>
          </w:p>
        </w:tc>
        <w:tc>
          <w:tcPr>
            <w:tcW w:w="7960" w:type="dxa"/>
            <w:vAlign w:val="bottom"/>
            <w:gridSpan w:val="25"/>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Matson, Inc. Deferred Compensation Plan (incorporated by reference to Exhibit 10.51 of Matson’s Form 10-K</w:t>
              </w:r>
            </w:hyperlink>
          </w:p>
        </w:tc>
      </w:tr>
      <w:tr>
        <w:trPr>
          <w:trHeight w:val="196"/>
        </w:trPr>
        <w:tc>
          <w:tcPr>
            <w:tcW w:w="11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for the year ended December 31, 2012).</w:t>
              </w:r>
            </w:hyperlink>
          </w:p>
        </w:tc>
        <w:tc>
          <w:tcPr>
            <w:tcW w:w="508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10.33</w:t>
            </w:r>
          </w:p>
        </w:tc>
        <w:tc>
          <w:tcPr>
            <w:tcW w:w="7740" w:type="dxa"/>
            <w:vAlign w:val="bottom"/>
            <w:tcBorders>
              <w:bottom w:val="single" w:sz="8" w:color="0000EE"/>
            </w:tcBorders>
            <w:gridSpan w:val="17"/>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Shipbuilding Contract, by and between Aker Philadelphia Shipyard, Inc. and Matson Navigation Company,</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Inc., dated as of November 6, 2013 (certain portions of this exhibit have been omitted pursuant to a</w:t>
              </w:r>
            </w:hyperlink>
          </w:p>
        </w:tc>
        <w:tc>
          <w:tcPr>
            <w:tcW w:w="820" w:type="dxa"/>
            <w:vAlign w:val="bottom"/>
            <w:gridSpan w:val="1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confidential treatment request submitted to the Commission) (incorporated by reference to Exhibit 10.56 of</w:t>
              </w:r>
            </w:hyperlink>
          </w:p>
        </w:tc>
        <w:tc>
          <w:tcPr>
            <w:tcW w:w="24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Matson’s Form 10-K for the year ended December 31, 2013).</w:t>
              </w:r>
            </w:hyperlink>
          </w:p>
        </w:tc>
        <w:tc>
          <w:tcPr>
            <w:tcW w:w="3520" w:type="dxa"/>
            <w:vAlign w:val="bottom"/>
            <w:gridSpan w:val="1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10.34</w:t>
            </w:r>
          </w:p>
        </w:tc>
        <w:tc>
          <w:tcPr>
            <w:tcW w:w="7740" w:type="dxa"/>
            <w:vAlign w:val="bottom"/>
            <w:tcBorders>
              <w:bottom w:val="single" w:sz="8" w:color="0000EE"/>
            </w:tcBorders>
            <w:gridSpan w:val="17"/>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Shipbuilding Contract, by and between Aker Philadelphia Shipyard, Inc. and Matson Navigation Company,</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Inc., dated as of November 6, 2013 (certain portions of this exhibit have been omitted pursuant to a</w:t>
              </w:r>
            </w:hyperlink>
          </w:p>
        </w:tc>
        <w:tc>
          <w:tcPr>
            <w:tcW w:w="820" w:type="dxa"/>
            <w:vAlign w:val="bottom"/>
            <w:gridSpan w:val="1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confidential treatment request submitted to the Commission) (incorporated by reference to Exhibit 10.57 of</w:t>
              </w:r>
            </w:hyperlink>
          </w:p>
        </w:tc>
        <w:tc>
          <w:tcPr>
            <w:tcW w:w="24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Matson’s Form 10-K for the year ended December 31, 2013).</w:t>
              </w:r>
            </w:hyperlink>
          </w:p>
        </w:tc>
        <w:tc>
          <w:tcPr>
            <w:tcW w:w="3540" w:type="dxa"/>
            <w:vAlign w:val="bottom"/>
            <w:gridSpan w:val="2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10.35</w:t>
            </w:r>
          </w:p>
        </w:tc>
        <w:tc>
          <w:tcPr>
            <w:tcW w:w="7960" w:type="dxa"/>
            <w:vAlign w:val="bottom"/>
            <w:gridSpan w:val="25"/>
          </w:tcPr>
          <w:p>
            <w:pPr>
              <w:spacing w:after="0"/>
              <w:rPr>
                <w:rFonts w:ascii="Arial" w:cs="Arial" w:eastAsia="Arial" w:hAnsi="Arial"/>
                <w:sz w:val="18"/>
                <w:szCs w:val="18"/>
                <w:color w:val="0000EE"/>
                <w:w w:val="96"/>
              </w:rPr>
            </w:pPr>
            <w:hyperlink r:id="rId142">
              <w:r>
                <w:rPr>
                  <w:rFonts w:ascii="Arial" w:cs="Arial" w:eastAsia="Arial" w:hAnsi="Arial"/>
                  <w:sz w:val="18"/>
                  <w:szCs w:val="18"/>
                  <w:color w:val="0000EE"/>
                  <w:w w:val="96"/>
                </w:rPr>
                <w:t>Guaranty Agreement by Aker Philadelphia Shipyard ASA, in favor of Matson Navigation Company, Inc.,</w:t>
              </w:r>
            </w:hyperlink>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5"/>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dated as of November 6, 2013 (incorporated by reference to Exhibit 10.58 of Matson’s Form 10-K for the year</w:t>
              </w:r>
            </w:hyperlink>
          </w:p>
        </w:tc>
      </w:tr>
      <w:tr>
        <w:trPr>
          <w:trHeight w:val="196"/>
        </w:trPr>
        <w:tc>
          <w:tcPr>
            <w:tcW w:w="1100" w:type="dxa"/>
            <w:vAlign w:val="bottom"/>
          </w:tcPr>
          <w:p>
            <w:pPr>
              <w:spacing w:after="0"/>
              <w:rPr>
                <w:sz w:val="17"/>
                <w:szCs w:val="17"/>
                <w:color w:val="auto"/>
              </w:rPr>
            </w:pPr>
          </w:p>
        </w:tc>
        <w:tc>
          <w:tcPr>
            <w:tcW w:w="79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ended December 31, 2013).</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10.36</w:t>
            </w:r>
          </w:p>
        </w:tc>
        <w:tc>
          <w:tcPr>
            <w:tcW w:w="7740" w:type="dxa"/>
            <w:vAlign w:val="bottom"/>
            <w:tcBorders>
              <w:bottom w:val="single" w:sz="8" w:color="0000EE"/>
            </w:tcBorders>
            <w:gridSpan w:val="17"/>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Contract for Construction of Two Vessels, dated as of August 25, 2016, by and between Matson Navigation</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5"/>
          </w:tcPr>
          <w:p>
            <w:pPr>
              <w:spacing w:after="0" w:line="196"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Company, Inc. and National Steel and Shipbuilding Company (certain portions of this exhibit have been</w:t>
              </w:r>
            </w:hyperlink>
          </w:p>
        </w:tc>
      </w:tr>
      <w:tr>
        <w:trPr>
          <w:trHeight w:val="20"/>
        </w:trPr>
        <w:tc>
          <w:tcPr>
            <w:tcW w:w="110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omitted pursuant to a confidential treatment request submitted to the Commission) (incorporated by reference</w:t>
              </w:r>
            </w:hyperlink>
          </w:p>
        </w:tc>
      </w:tr>
      <w:tr>
        <w:trPr>
          <w:trHeight w:val="196"/>
        </w:trPr>
        <w:tc>
          <w:tcPr>
            <w:tcW w:w="110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to Exhibit 10.1 of Matson’s Form 10-Q for the quarter ended September 30, 2016).</w:t>
              </w:r>
            </w:hyperlink>
          </w:p>
        </w:tc>
        <w:tc>
          <w:tcPr>
            <w:tcW w:w="1920" w:type="dxa"/>
            <w:vAlign w:val="bottom"/>
            <w:tcBorders>
              <w:top w:val="single" w:sz="8" w:color="0000EE"/>
            </w:tcBorders>
            <w:gridSpan w:val="1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10.37</w:t>
            </w:r>
          </w:p>
        </w:tc>
        <w:tc>
          <w:tcPr>
            <w:tcW w:w="7720" w:type="dxa"/>
            <w:vAlign w:val="bottom"/>
            <w:tcBorders>
              <w:bottom w:val="single" w:sz="8" w:color="0000EE"/>
            </w:tcBorders>
            <w:gridSpan w:val="16"/>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Purchaser’s Corporate Guaranty Agreement, by Matson, Inc., dated as of August 25, 2016 (incorporated by</w:t>
              </w:r>
            </w:hyperlink>
          </w:p>
        </w:tc>
        <w:tc>
          <w:tcPr>
            <w:tcW w:w="2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6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reference to Exhibit 10.2 of Matson’s Form 10-Q for the quarter ended September 30, 2016).</w:t>
              </w:r>
            </w:hyperlink>
          </w:p>
        </w:tc>
        <w:tc>
          <w:tcPr>
            <w:tcW w:w="1280" w:type="dxa"/>
            <w:vAlign w:val="bottom"/>
            <w:gridSpan w:val="1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10.38</w:t>
            </w:r>
          </w:p>
        </w:tc>
        <w:tc>
          <w:tcPr>
            <w:tcW w:w="7900" w:type="dxa"/>
            <w:vAlign w:val="bottom"/>
            <w:tcBorders>
              <w:bottom w:val="single" w:sz="8" w:color="0000EE"/>
            </w:tcBorders>
            <w:gridSpan w:val="22"/>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Contractor’s Corporate Guaranty Agreement, by General Dynamics Corporation, dated as of August 25, 2016</w:t>
              </w:r>
            </w:hyperlink>
          </w:p>
        </w:tc>
        <w:tc>
          <w:tcPr>
            <w:tcW w:w="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(incorporated by reference to Exhibit 10.3 of Matson’s Form 10-Q for the quarter ended September 30, 2016).</w:t>
              </w:r>
            </w:hyperlink>
          </w:p>
        </w:tc>
        <w:tc>
          <w:tcPr>
            <w:tcW w:w="4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10.39</w:t>
            </w:r>
          </w:p>
        </w:tc>
        <w:tc>
          <w:tcPr>
            <w:tcW w:w="7960" w:type="dxa"/>
            <w:vAlign w:val="bottom"/>
            <w:gridSpan w:val="25"/>
          </w:tcPr>
          <w:p>
            <w:pPr>
              <w:spacing w:after="0"/>
              <w:rPr>
                <w:rFonts w:ascii="Arial" w:cs="Arial" w:eastAsia="Arial" w:hAnsi="Arial"/>
                <w:sz w:val="18"/>
                <w:szCs w:val="18"/>
                <w:color w:val="0000EE"/>
              </w:rPr>
            </w:pPr>
            <w:hyperlink r:id="rId146">
              <w:r>
                <w:rPr>
                  <w:rFonts w:ascii="Arial" w:cs="Arial" w:eastAsia="Arial" w:hAnsi="Arial"/>
                  <w:sz w:val="18"/>
                  <w:szCs w:val="18"/>
                  <w:color w:val="0000EE"/>
                </w:rPr>
                <w:t>Form of Capital Construction Fund Agreement with Matson Navigation Company, as amended by</w:t>
              </w:r>
            </w:hyperlink>
          </w:p>
        </w:tc>
      </w:tr>
      <w:tr>
        <w:trPr>
          <w:trHeight w:val="20"/>
        </w:trPr>
        <w:tc>
          <w:tcPr>
            <w:tcW w:w="110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5"/>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Addendums No. 2, No. 5, No. 18, No. 20 and No. 31, thereto (incorporated by reference to Exhibit 10.60 of</w:t>
              </w:r>
            </w:hyperlink>
          </w:p>
        </w:tc>
      </w:tr>
      <w:tr>
        <w:trPr>
          <w:trHeight w:val="196"/>
        </w:trPr>
        <w:tc>
          <w:tcPr>
            <w:tcW w:w="11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Matson’s Form 10-K for the year ended December 31, 2013).</w:t>
              </w:r>
            </w:hyperlink>
          </w:p>
        </w:tc>
        <w:tc>
          <w:tcPr>
            <w:tcW w:w="3300" w:type="dxa"/>
            <w:vAlign w:val="bottom"/>
            <w:tcBorders>
              <w:top w:val="single" w:sz="8" w:color="0000EE"/>
            </w:tcBorders>
            <w:gridSpan w:val="11"/>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10.40</w:t>
            </w:r>
          </w:p>
        </w:tc>
        <w:tc>
          <w:tcPr>
            <w:tcW w:w="7700" w:type="dxa"/>
            <w:vAlign w:val="bottom"/>
            <w:tcBorders>
              <w:bottom w:val="single" w:sz="8" w:color="0000EE"/>
            </w:tcBorders>
            <w:gridSpan w:val="15"/>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Form of Voting Agreement, dated as of November 11, 2014, among Matson Navigation Company, Inc. and</w:t>
              </w:r>
            </w:hyperlink>
          </w:p>
        </w:tc>
        <w:tc>
          <w:tcPr>
            <w:tcW w:w="26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5"/>
          </w:tcPr>
          <w:p>
            <w:pPr>
              <w:spacing w:after="0" w:line="196"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certain holders of voting securities of Horizon Lines, Inc. (incorporated by reference to Exhibit 10.1 of</w:t>
              </w:r>
            </w:hyperlink>
          </w:p>
        </w:tc>
      </w:tr>
      <w:tr>
        <w:trPr>
          <w:trHeight w:val="196"/>
        </w:trPr>
        <w:tc>
          <w:tcPr>
            <w:tcW w:w="1100" w:type="dxa"/>
            <w:vAlign w:val="bottom"/>
          </w:tcPr>
          <w:p>
            <w:pPr>
              <w:spacing w:after="0"/>
              <w:rPr>
                <w:sz w:val="17"/>
                <w:szCs w:val="17"/>
                <w:color w:val="auto"/>
              </w:rPr>
            </w:pPr>
          </w:p>
        </w:tc>
        <w:tc>
          <w:tcPr>
            <w:tcW w:w="7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Matson’s Form 8-K dated November 11, 2014).</w:t>
              </w:r>
            </w:hyperlink>
          </w:p>
        </w:tc>
        <w:tc>
          <w:tcPr>
            <w:tcW w:w="580" w:type="dxa"/>
            <w:vAlign w:val="bottom"/>
            <w:gridSpan w:val="1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10.41*</w:t>
            </w:r>
          </w:p>
        </w:tc>
        <w:tc>
          <w:tcPr>
            <w:tcW w:w="7960" w:type="dxa"/>
            <w:vAlign w:val="bottom"/>
            <w:gridSpan w:val="25"/>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Matson, Inc. 2016 Incentive Compensation Plan, amended as of October 25, 2017 (incorporated by reference</w:t>
              </w:r>
            </w:hyperlink>
          </w:p>
        </w:tc>
      </w:tr>
      <w:tr>
        <w:trPr>
          <w:trHeight w:val="196"/>
        </w:trPr>
        <w:tc>
          <w:tcPr>
            <w:tcW w:w="110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to Exhibit 10.56 of Matson’s Form 10-K for the year ended December 31, 2017).</w:t>
              </w:r>
            </w:hyperlink>
          </w:p>
        </w:tc>
        <w:tc>
          <w:tcPr>
            <w:tcW w:w="2020" w:type="dxa"/>
            <w:vAlign w:val="bottom"/>
            <w:tcBorders>
              <w:top w:val="single" w:sz="8" w:color="0000EE"/>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10.42*</w:t>
            </w:r>
          </w:p>
        </w:tc>
        <w:tc>
          <w:tcPr>
            <w:tcW w:w="7960" w:type="dxa"/>
            <w:vAlign w:val="bottom"/>
            <w:tcBorders>
              <w:bottom w:val="single" w:sz="8" w:color="0000EE"/>
            </w:tcBorders>
            <w:gridSpan w:val="25"/>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Amended and Restated Matson, Inc. Cash Incentive Plan, effective January 1, 2016 (incorporated by reference</w:t>
              </w:r>
            </w:hyperlink>
          </w:p>
        </w:tc>
      </w:tr>
      <w:tr>
        <w:trPr>
          <w:trHeight w:val="196"/>
        </w:trPr>
        <w:tc>
          <w:tcPr>
            <w:tcW w:w="1100" w:type="dxa"/>
            <w:vAlign w:val="bottom"/>
          </w:tcPr>
          <w:p>
            <w:pPr>
              <w:spacing w:after="0"/>
              <w:rPr>
                <w:sz w:val="17"/>
                <w:szCs w:val="17"/>
                <w:color w:val="auto"/>
              </w:rPr>
            </w:pPr>
          </w:p>
        </w:tc>
        <w:tc>
          <w:tcPr>
            <w:tcW w:w="58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to Exhibit 10.63 of Matson’s Form 10-K for the year ended December 31, 2016).</w:t>
              </w:r>
            </w:hyperlink>
          </w:p>
        </w:tc>
        <w:tc>
          <w:tcPr>
            <w:tcW w:w="2140" w:type="dxa"/>
            <w:vAlign w:val="bottom"/>
            <w:gridSpan w:val="1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10.43*</w:t>
            </w:r>
          </w:p>
        </w:tc>
        <w:tc>
          <w:tcPr>
            <w:tcW w:w="7960" w:type="dxa"/>
            <w:vAlign w:val="bottom"/>
            <w:gridSpan w:val="25"/>
          </w:tcPr>
          <w:p>
            <w:pPr>
              <w:spacing w:after="0"/>
              <w:rPr>
                <w:rFonts w:ascii="Arial" w:cs="Arial" w:eastAsia="Arial" w:hAnsi="Arial"/>
                <w:sz w:val="18"/>
                <w:szCs w:val="18"/>
                <w:color w:val="0000EE"/>
                <w:w w:val="98"/>
              </w:rPr>
            </w:pPr>
            <w:hyperlink r:id="rId150">
              <w:r>
                <w:rPr>
                  <w:rFonts w:ascii="Arial" w:cs="Arial" w:eastAsia="Arial" w:hAnsi="Arial"/>
                  <w:sz w:val="18"/>
                  <w:szCs w:val="18"/>
                  <w:color w:val="0000EE"/>
                  <w:w w:val="98"/>
                </w:rPr>
                <w:t>Form of 2016 Plan Restricted Stock Unit Award Agreement for Non-Employee Directors (No Deferral)</w:t>
              </w:r>
            </w:hyperlink>
          </w:p>
        </w:tc>
      </w:tr>
      <w:tr>
        <w:trPr>
          <w:trHeight w:val="20"/>
        </w:trPr>
        <w:tc>
          <w:tcPr>
            <w:tcW w:w="1100" w:type="dxa"/>
            <w:vAlign w:val="bottom"/>
          </w:tcPr>
          <w:p>
            <w:pPr>
              <w:spacing w:after="0" w:line="20" w:lineRule="exact"/>
              <w:rPr>
                <w:sz w:val="1"/>
                <w:szCs w:val="1"/>
                <w:color w:val="auto"/>
              </w:rPr>
            </w:pPr>
          </w:p>
        </w:tc>
        <w:tc>
          <w:tcPr>
            <w:tcW w:w="7440" w:type="dxa"/>
            <w:vAlign w:val="bottom"/>
            <w:gridSpan w:val="1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(incorporated by reference to Exhibit 10.64 of Matson’s Form 10-K for the year ended December 31, 2016).</w:t>
              </w:r>
            </w:hyperlink>
          </w:p>
        </w:tc>
        <w:tc>
          <w:tcPr>
            <w:tcW w:w="18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10.44*</w:t>
            </w:r>
          </w:p>
        </w:tc>
        <w:tc>
          <w:tcPr>
            <w:tcW w:w="7960" w:type="dxa"/>
            <w:vAlign w:val="bottom"/>
            <w:gridSpan w:val="25"/>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Form of 2016 Plan Restricted Stock Unit Award Agreement for Non-Employee Directors (Deferral Election)</w:t>
              </w:r>
            </w:hyperlink>
          </w:p>
        </w:tc>
      </w:tr>
      <w:tr>
        <w:trPr>
          <w:trHeight w:val="196"/>
        </w:trPr>
        <w:tc>
          <w:tcPr>
            <w:tcW w:w="1100" w:type="dxa"/>
            <w:vAlign w:val="bottom"/>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(incorporated by reference to Exhibit 10.65 of Matson’s Form 10-K for the year ended December 31, 2016).</w:t>
              </w:r>
            </w:hyperlink>
          </w:p>
        </w:tc>
        <w:tc>
          <w:tcPr>
            <w:tcW w:w="140" w:type="dxa"/>
            <w:vAlign w:val="bottom"/>
            <w:gridSpan w:val="6"/>
          </w:tcPr>
          <w:p>
            <w:pPr>
              <w:spacing w:after="0"/>
              <w:rPr>
                <w:sz w:val="17"/>
                <w:szCs w:val="17"/>
                <w:color w:val="auto"/>
              </w:rPr>
            </w:pPr>
          </w:p>
        </w:tc>
      </w:tr>
      <w:tr>
        <w:trPr>
          <w:trHeight w:val="439"/>
        </w:trPr>
        <w:tc>
          <w:tcPr>
            <w:tcW w:w="1100" w:type="dxa"/>
            <w:vAlign w:val="bottom"/>
          </w:tcPr>
          <w:p>
            <w:pPr>
              <w:spacing w:after="0"/>
              <w:rPr>
                <w:sz w:val="24"/>
                <w:szCs w:val="24"/>
                <w:color w:val="auto"/>
              </w:rPr>
            </w:pPr>
          </w:p>
        </w:tc>
        <w:tc>
          <w:tcPr>
            <w:tcW w:w="4420" w:type="dxa"/>
            <w:vAlign w:val="bottom"/>
            <w:tcBorders>
              <w:top w:val="single" w:sz="8" w:color="0000EE"/>
            </w:tcBorders>
            <w:gridSpan w:val="5"/>
          </w:tcPr>
          <w:p>
            <w:pPr>
              <w:ind w:left="3340"/>
              <w:spacing w:after="0"/>
              <w:rPr>
                <w:sz w:val="20"/>
                <w:szCs w:val="20"/>
                <w:color w:val="auto"/>
              </w:rPr>
            </w:pPr>
            <w:r>
              <w:rPr>
                <w:rFonts w:ascii="Arial" w:cs="Arial" w:eastAsia="Arial" w:hAnsi="Arial"/>
                <w:sz w:val="18"/>
                <w:szCs w:val="18"/>
                <w:color w:val="auto"/>
              </w:rPr>
              <w:t>78</w:t>
            </w:r>
          </w:p>
        </w:tc>
        <w:tc>
          <w:tcPr>
            <w:tcW w:w="2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9"/>
        </w:trPr>
        <w:tc>
          <w:tcPr>
            <w:tcW w:w="1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10.45*</w:t>
            </w:r>
          </w:p>
        </w:tc>
        <w:tc>
          <w:tcPr>
            <w:tcW w:w="7960" w:type="dxa"/>
            <w:vAlign w:val="bottom"/>
            <w:tcBorders>
              <w:bottom w:val="single" w:sz="8" w:color="0000EE"/>
            </w:tcBorders>
            <w:gridSpan w:val="20"/>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2016 Plan Time-Based Restricted Stock Unit Agreement for Non-Executive Employees (incorporated</w:t>
              </w:r>
            </w:hyperlink>
          </w:p>
        </w:tc>
      </w:tr>
      <w:tr>
        <w:trPr>
          <w:trHeight w:val="196"/>
        </w:trPr>
        <w:tc>
          <w:tcPr>
            <w:tcW w:w="1100" w:type="dxa"/>
            <w:vAlign w:val="bottom"/>
          </w:tcPr>
          <w:p>
            <w:pPr>
              <w:spacing w:after="0"/>
              <w:rPr>
                <w:sz w:val="17"/>
                <w:szCs w:val="17"/>
                <w:color w:val="auto"/>
              </w:rPr>
            </w:pPr>
          </w:p>
        </w:tc>
        <w:tc>
          <w:tcPr>
            <w:tcW w:w="6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by reference to Exhibit 10.60 of Matson’s Form 10-K for the year ended December 31, 2017).</w:t>
              </w:r>
            </w:hyperlink>
          </w:p>
        </w:tc>
        <w:tc>
          <w:tcPr>
            <w:tcW w:w="1200" w:type="dxa"/>
            <w:vAlign w:val="bottom"/>
            <w:gridSpan w:val="1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10.46*</w:t>
            </w:r>
          </w:p>
        </w:tc>
        <w:tc>
          <w:tcPr>
            <w:tcW w:w="7960" w:type="dxa"/>
            <w:vAlign w:val="bottom"/>
            <w:gridSpan w:val="20"/>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Form of 2016 Plan Time-Based Restricted Stock Unit Agreement for Executive Employees (incorporated by</w:t>
              </w:r>
            </w:hyperlink>
          </w:p>
        </w:tc>
      </w:tr>
      <w:tr>
        <w:trPr>
          <w:trHeight w:val="196"/>
        </w:trPr>
        <w:tc>
          <w:tcPr>
            <w:tcW w:w="110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reference to Exhibit 10.61 of Matson’s Form 10-K for the year ended December 31, 2017).</w:t>
              </w:r>
            </w:hyperlink>
          </w:p>
        </w:tc>
        <w:tc>
          <w:tcPr>
            <w:tcW w:w="1260" w:type="dxa"/>
            <w:vAlign w:val="bottom"/>
            <w:tcBorders>
              <w:top w:val="single" w:sz="8" w:color="0000EE"/>
            </w:tcBorders>
            <w:gridSpan w:val="12"/>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10.47*</w:t>
            </w:r>
          </w:p>
        </w:tc>
        <w:tc>
          <w:tcPr>
            <w:tcW w:w="7960" w:type="dxa"/>
            <w:vAlign w:val="bottom"/>
            <w:gridSpan w:val="20"/>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Form of 2016 Plan Performance Share Award Agreement for Non-Executive Employees (incorporated by</w:t>
              </w:r>
            </w:hyperlink>
          </w:p>
        </w:tc>
      </w:tr>
      <w:tr>
        <w:trPr>
          <w:trHeight w:val="196"/>
        </w:trPr>
        <w:tc>
          <w:tcPr>
            <w:tcW w:w="110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reference to Exhibit 10.62 of Matson’s Form 10-K for the year ended December 31, 2017).</w:t>
              </w:r>
            </w:hyperlink>
          </w:p>
        </w:tc>
        <w:tc>
          <w:tcPr>
            <w:tcW w:w="1060" w:type="dxa"/>
            <w:vAlign w:val="bottom"/>
            <w:tcBorders>
              <w:top w:val="single" w:sz="8" w:color="0000EE"/>
            </w:tcBorders>
            <w:gridSpan w:val="6"/>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10.48*</w:t>
            </w:r>
          </w:p>
        </w:tc>
        <w:tc>
          <w:tcPr>
            <w:tcW w:w="7960" w:type="dxa"/>
            <w:vAlign w:val="bottom"/>
            <w:tcBorders>
              <w:bottom w:val="single" w:sz="8" w:color="0000EE"/>
            </w:tcBorders>
            <w:gridSpan w:val="20"/>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Form of 2016 Plan Performance Share Award Agreement for Executive Employees (incorporated by reference</w:t>
              </w:r>
            </w:hyperlink>
          </w:p>
        </w:tc>
      </w:tr>
      <w:tr>
        <w:trPr>
          <w:trHeight w:val="196"/>
        </w:trPr>
        <w:tc>
          <w:tcPr>
            <w:tcW w:w="1100" w:type="dxa"/>
            <w:vAlign w:val="bottom"/>
          </w:tcPr>
          <w:p>
            <w:pPr>
              <w:spacing w:after="0"/>
              <w:rPr>
                <w:sz w:val="17"/>
                <w:szCs w:val="17"/>
                <w:color w:val="auto"/>
              </w:rPr>
            </w:pPr>
          </w:p>
        </w:tc>
        <w:tc>
          <w:tcPr>
            <w:tcW w:w="58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to Exhibit 10.63 of Matson’s Form 10-K for the year ended December 31, 2017).</w:t>
              </w:r>
            </w:hyperlink>
          </w:p>
        </w:tc>
        <w:tc>
          <w:tcPr>
            <w:tcW w:w="2140" w:type="dxa"/>
            <w:vAlign w:val="bottom"/>
            <w:gridSpan w:val="1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10.49*</w:t>
            </w:r>
          </w:p>
        </w:tc>
        <w:tc>
          <w:tcPr>
            <w:tcW w:w="7940" w:type="dxa"/>
            <w:vAlign w:val="bottom"/>
            <w:tcBorders>
              <w:bottom w:val="single" w:sz="8" w:color="0000EE"/>
            </w:tcBorders>
            <w:gridSpan w:val="19"/>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Form of Notice of 2016 Plan Performance Share Award Grant for Non-Executive Employees (incorporated by</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reference to Exhibit 10.70 of Matson’s Form 10-K for the year ended December 31, 2016).</w:t>
              </w:r>
            </w:hyperlink>
          </w:p>
        </w:tc>
        <w:tc>
          <w:tcPr>
            <w:tcW w:w="1420" w:type="dxa"/>
            <w:vAlign w:val="bottom"/>
            <w:gridSpan w:val="1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10.50*</w:t>
            </w:r>
          </w:p>
        </w:tc>
        <w:tc>
          <w:tcPr>
            <w:tcW w:w="7960" w:type="dxa"/>
            <w:vAlign w:val="bottom"/>
            <w:gridSpan w:val="20"/>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Form of Notice of 2016 Plan Performance Share Award Grant for Executive Employees (incorporated by</w:t>
              </w:r>
            </w:hyperlink>
          </w:p>
        </w:tc>
      </w:tr>
      <w:tr>
        <w:trPr>
          <w:trHeight w:val="196"/>
        </w:trPr>
        <w:tc>
          <w:tcPr>
            <w:tcW w:w="110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reference to Exhibit 10.71 of Matson’s Form 10-K for the year ended December 31, 2016).</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10.51*</w:t>
            </w:r>
          </w:p>
        </w:tc>
        <w:tc>
          <w:tcPr>
            <w:tcW w:w="7960" w:type="dxa"/>
            <w:vAlign w:val="bottom"/>
            <w:gridSpan w:val="20"/>
          </w:tcPr>
          <w:p>
            <w:pPr>
              <w:spacing w:after="0"/>
              <w:rPr>
                <w:rFonts w:ascii="Arial" w:cs="Arial" w:eastAsia="Arial" w:hAnsi="Arial"/>
                <w:sz w:val="18"/>
                <w:szCs w:val="18"/>
                <w:color w:val="0000EE"/>
                <w:w w:val="98"/>
              </w:rPr>
            </w:pPr>
            <w:hyperlink r:id="rId158">
              <w:r>
                <w:rPr>
                  <w:rFonts w:ascii="Arial" w:cs="Arial" w:eastAsia="Arial" w:hAnsi="Arial"/>
                  <w:sz w:val="18"/>
                  <w:szCs w:val="18"/>
                  <w:color w:val="0000EE"/>
                  <w:w w:val="98"/>
                </w:rPr>
                <w:t>Form of Notice of 2016 Time-Based Restricted Stock Unit Award Grant for Non-Executive Employees</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(incorporated by reference to Exhibit 10.72 of Matson’s Form 10-K for the year ended December 31, 2016).</w:t>
              </w:r>
            </w:hyperlink>
          </w:p>
        </w:tc>
        <w:tc>
          <w:tcPr>
            <w:tcW w:w="18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10.52*</w:t>
            </w:r>
          </w:p>
        </w:tc>
        <w:tc>
          <w:tcPr>
            <w:tcW w:w="7060" w:type="dxa"/>
            <w:vAlign w:val="bottom"/>
            <w:tcBorders>
              <w:bottom w:val="single" w:sz="8" w:color="0000EE"/>
            </w:tcBorders>
            <w:gridSpan w:val="8"/>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Form of Notice of 2016 Time-Based Restricted Stock Unit Award Grant for Executive Employees</w:t>
              </w:r>
            </w:hyperlink>
          </w:p>
        </w:tc>
        <w:tc>
          <w:tcPr>
            <w:tcW w:w="900" w:type="dxa"/>
            <w:vAlign w:val="bottom"/>
            <w:gridSpan w:val="1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(incorporated by reference to Exhibit 10.73 of Matson’s Form 10-K for the year ended December 31, 2016).</w:t>
              </w:r>
            </w:hyperlink>
          </w:p>
        </w:tc>
        <w:tc>
          <w:tcPr>
            <w:tcW w:w="18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10.53*</w:t>
            </w:r>
          </w:p>
        </w:tc>
        <w:tc>
          <w:tcPr>
            <w:tcW w:w="7960" w:type="dxa"/>
            <w:vAlign w:val="bottom"/>
            <w:gridSpan w:val="20"/>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Addendum to Award Agreements for Outstanding Equity Awards, effective as of October 25, 2017</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0"/>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(incorporated by reference to Exhibit 10.68 of Matson’s Form 10-K for the year ended December 31, 2017)</w:t>
              </w:r>
            </w:hyperlink>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21**</w:t>
            </w:r>
          </w:p>
        </w:tc>
        <w:tc>
          <w:tcPr>
            <w:tcW w:w="7720" w:type="dxa"/>
            <w:vAlign w:val="bottom"/>
            <w:tcBorders>
              <w:top w:val="single" w:sz="8" w:color="0000EE"/>
            </w:tcBorders>
            <w:gridSpan w:val="1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Matson, Inc. Subsidiaries as of February 19, 2020.</w:t>
              </w:r>
            </w:hyperlink>
          </w:p>
        </w:tc>
        <w:tc>
          <w:tcPr>
            <w:tcW w:w="240" w:type="dxa"/>
            <w:vAlign w:val="bottom"/>
            <w:gridSpan w:val="5"/>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99"/>
        </w:trPr>
        <w:tc>
          <w:tcPr>
            <w:tcW w:w="1100" w:type="dxa"/>
            <w:vAlign w:val="bottom"/>
          </w:tcPr>
          <w:p>
            <w:pPr>
              <w:spacing w:after="0"/>
              <w:rPr>
                <w:sz w:val="20"/>
                <w:szCs w:val="20"/>
                <w:color w:val="auto"/>
              </w:rPr>
            </w:pPr>
            <w:r>
              <w:rPr>
                <w:rFonts w:ascii="Arial" w:cs="Arial" w:eastAsia="Arial" w:hAnsi="Arial"/>
                <w:sz w:val="18"/>
                <w:szCs w:val="18"/>
                <w:color w:val="auto"/>
              </w:rPr>
              <w:t>23**</w:t>
            </w:r>
          </w:p>
        </w:tc>
        <w:tc>
          <w:tcPr>
            <w:tcW w:w="44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Consent of Deloitte &amp; Touche, LLP dated February 28, 2020.</w:t>
              </w:r>
            </w:hyperlink>
          </w:p>
        </w:tc>
        <w:tc>
          <w:tcPr>
            <w:tcW w:w="3540" w:type="dxa"/>
            <w:vAlign w:val="bottom"/>
            <w:gridSpan w:val="17"/>
          </w:tcPr>
          <w:p>
            <w:pPr>
              <w:spacing w:after="0"/>
              <w:rPr>
                <w:sz w:val="24"/>
                <w:szCs w:val="24"/>
                <w:color w:val="auto"/>
              </w:rPr>
            </w:pPr>
          </w:p>
        </w:tc>
      </w:tr>
      <w:tr>
        <w:trPr>
          <w:trHeight w:val="399"/>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7960" w:type="dxa"/>
            <w:vAlign w:val="bottom"/>
            <w:gridSpan w:val="20"/>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Certification of Chief Executive Officer, as Adopted Pursuant to Section 302 of the Sarbanes-Oxley Act of</w:t>
              </w:r>
            </w:hyperlink>
          </w:p>
        </w:tc>
      </w:tr>
      <w:tr>
        <w:trPr>
          <w:trHeight w:val="196"/>
        </w:trPr>
        <w:tc>
          <w:tcPr>
            <w:tcW w:w="1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3">
              <w:r>
                <w:rPr>
                  <w:rFonts w:ascii="Arial" w:cs="Arial" w:eastAsia="Arial" w:hAnsi="Arial"/>
                  <w:sz w:val="18"/>
                  <w:szCs w:val="18"/>
                  <w:color w:val="0000EE"/>
                  <w:w w:val="84"/>
                </w:rPr>
                <w:t>2002.</w:t>
              </w:r>
            </w:hyperlink>
          </w:p>
        </w:tc>
        <w:tc>
          <w:tcPr>
            <w:tcW w:w="3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9"/>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7960" w:type="dxa"/>
            <w:vAlign w:val="bottom"/>
            <w:gridSpan w:val="20"/>
          </w:tcPr>
          <w:p>
            <w:pPr>
              <w:spacing w:after="0"/>
              <w:rPr>
                <w:rFonts w:ascii="Arial" w:cs="Arial" w:eastAsia="Arial" w:hAnsi="Arial"/>
                <w:sz w:val="18"/>
                <w:szCs w:val="18"/>
                <w:color w:val="0000EE"/>
                <w:w w:val="95"/>
              </w:rPr>
            </w:pPr>
            <w:hyperlink w:anchor="page94">
              <w:r>
                <w:rPr>
                  <w:rFonts w:ascii="Arial" w:cs="Arial" w:eastAsia="Arial" w:hAnsi="Arial"/>
                  <w:sz w:val="18"/>
                  <w:szCs w:val="18"/>
                  <w:color w:val="0000EE"/>
                  <w:w w:val="95"/>
                </w:rPr>
                <w:t>Certification of Chief Financial Officer, as Adopted Pursuant to Section 302 of the Sarbanes-Oxley Act of</w:t>
              </w:r>
            </w:hyperlink>
          </w:p>
        </w:tc>
      </w:tr>
      <w:tr>
        <w:trPr>
          <w:trHeight w:val="196"/>
        </w:trPr>
        <w:tc>
          <w:tcPr>
            <w:tcW w:w="1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4">
              <w:r>
                <w:rPr>
                  <w:rFonts w:ascii="Arial" w:cs="Arial" w:eastAsia="Arial" w:hAnsi="Arial"/>
                  <w:sz w:val="18"/>
                  <w:szCs w:val="18"/>
                  <w:color w:val="0000EE"/>
                  <w:w w:val="84"/>
                </w:rPr>
                <w:t>2002.</w:t>
              </w:r>
            </w:hyperlink>
          </w:p>
        </w:tc>
        <w:tc>
          <w:tcPr>
            <w:tcW w:w="3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77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Chief Executive Officer and Chief Financial Officer Pursuant to 18 U.S.C. Section 1350, as</w:t>
              </w:r>
            </w:hyperlink>
          </w:p>
        </w:tc>
        <w:tc>
          <w:tcPr>
            <w:tcW w:w="22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Adopted Pursuant to Section 906 of the Sarbanes-Oxley Act of 2002.</w:t>
              </w:r>
            </w:hyperlink>
          </w:p>
        </w:tc>
        <w:tc>
          <w:tcPr>
            <w:tcW w:w="2980" w:type="dxa"/>
            <w:vAlign w:val="bottom"/>
            <w:gridSpan w:val="16"/>
          </w:tcPr>
          <w:p>
            <w:pPr>
              <w:spacing w:after="0"/>
              <w:rPr>
                <w:sz w:val="17"/>
                <w:szCs w:val="17"/>
                <w:color w:val="auto"/>
              </w:rPr>
            </w:pPr>
          </w:p>
        </w:tc>
      </w:tr>
      <w:tr>
        <w:trPr>
          <w:trHeight w:val="38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w:t>
            </w:r>
          </w:p>
        </w:tc>
      </w:tr>
      <w:tr>
        <w:trPr>
          <w:trHeight w:val="216"/>
        </w:trPr>
        <w:tc>
          <w:tcPr>
            <w:tcW w:w="1100" w:type="dxa"/>
            <w:vAlign w:val="bottom"/>
          </w:tcPr>
          <w:p>
            <w:pPr>
              <w:spacing w:after="0"/>
              <w:rPr>
                <w:sz w:val="18"/>
                <w:szCs w:val="18"/>
                <w:color w:val="auto"/>
              </w:rPr>
            </w:pP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w w:val="93"/>
              </w:rPr>
              <w:t>Cover Page Interactive Data File – the cover page interactive data file does not appear in the Interactive</w:t>
            </w:r>
          </w:p>
        </w:tc>
      </w:tr>
      <w:tr>
        <w:trPr>
          <w:trHeight w:val="230"/>
        </w:trPr>
        <w:tc>
          <w:tcPr>
            <w:tcW w:w="1100" w:type="dxa"/>
            <w:vAlign w:val="bottom"/>
          </w:tcPr>
          <w:p>
            <w:pPr>
              <w:spacing w:after="0"/>
              <w:rPr>
                <w:sz w:val="20"/>
                <w:szCs w:val="20"/>
                <w:color w:val="auto"/>
              </w:rPr>
            </w:pPr>
          </w:p>
        </w:tc>
        <w:tc>
          <w:tcPr>
            <w:tcW w:w="7960" w:type="dxa"/>
            <w:vAlign w:val="bottom"/>
            <w:gridSpan w:val="20"/>
          </w:tcPr>
          <w:p>
            <w:pPr>
              <w:ind w:left="240"/>
              <w:spacing w:after="0"/>
              <w:rPr>
                <w:sz w:val="20"/>
                <w:szCs w:val="20"/>
                <w:color w:val="auto"/>
              </w:rPr>
            </w:pPr>
            <w:r>
              <w:rPr>
                <w:rFonts w:ascii="Arial" w:cs="Arial" w:eastAsia="Arial" w:hAnsi="Arial"/>
                <w:sz w:val="18"/>
                <w:szCs w:val="18"/>
                <w:color w:val="auto"/>
              </w:rPr>
              <w:t>Data File because its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28" w:lineRule="exact"/>
        <w:rPr>
          <w:sz w:val="20"/>
          <w:szCs w:val="20"/>
          <w:color w:val="auto"/>
        </w:rPr>
      </w:pPr>
    </w:p>
    <w:p>
      <w:pPr>
        <w:ind w:left="640" w:hanging="631"/>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454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Date: February 28, 2020</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454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454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0"/>
              </w:rPr>
              <w:t>Chairman and</w:t>
            </w:r>
          </w:p>
        </w:tc>
      </w:tr>
      <w:tr>
        <w:trPr>
          <w:trHeight w:val="230"/>
        </w:trPr>
        <w:tc>
          <w:tcPr>
            <w:tcW w:w="454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46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J. Cox</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Chairman and Chief Executive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Matthew J. Cox</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Blake Baird</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W. Blake Baird</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B. Fargo</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Thomas B. Fargo</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H. Fukunaga</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Mark H. Fukunaga</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Stanley M. Kuriyama</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Stanley M. Kuriyama</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Constance H. Lau</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Constance H. Lau</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Jenai S. Wall</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Jenai S. Wall</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Joel M. Wine</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L. Stuck</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Vice President and Controller (principal accounting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Kevin L. Stuck</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780" w:type="dxa"/>
            <w:vAlign w:val="bottom"/>
            <w:gridSpan w:val="2"/>
          </w:tcPr>
          <w:p>
            <w:pPr>
              <w:jc w:val="right"/>
              <w:ind w:right="22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864"/>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780" w:type="dxa"/>
            <w:vAlign w:val="bottom"/>
            <w:gridSpan w:val="2"/>
          </w:tcPr>
          <w:p>
            <w:pPr>
              <w:jc w:val="right"/>
              <w:ind w:right="2368"/>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82" w:name="page83"/>
    <w:bookmarkEnd w:id="82"/>
    <w:p>
      <w:pPr>
        <w:jc w:val="right"/>
        <w:ind w:right="139"/>
        <w:spacing w:after="0"/>
        <w:rPr>
          <w:sz w:val="20"/>
          <w:szCs w:val="20"/>
          <w:color w:val="auto"/>
        </w:rPr>
      </w:pPr>
      <w:r>
        <w:rPr>
          <w:rFonts w:ascii="Arial" w:cs="Arial" w:eastAsia="Arial" w:hAnsi="Arial"/>
          <w:sz w:val="20"/>
          <w:szCs w:val="20"/>
          <w:b w:val="1"/>
          <w:bCs w:val="1"/>
          <w:color w:val="auto"/>
        </w:rPr>
        <w:t>Exhibit 4</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DESCRIPTION OF REGISTERED SECURITIES</w:t>
      </w:r>
    </w:p>
    <w:p>
      <w:pPr>
        <w:spacing w:after="0" w:line="343" w:lineRule="exact"/>
        <w:rPr>
          <w:sz w:val="20"/>
          <w:szCs w:val="20"/>
          <w:color w:val="auto"/>
        </w:rPr>
      </w:pPr>
    </w:p>
    <w:p>
      <w:pPr>
        <w:ind w:left="160" w:right="239" w:firstLine="648"/>
        <w:spacing w:after="0" w:line="261" w:lineRule="auto"/>
        <w:rPr>
          <w:sz w:val="20"/>
          <w:szCs w:val="20"/>
          <w:color w:val="auto"/>
        </w:rPr>
      </w:pPr>
      <w:r>
        <w:rPr>
          <w:rFonts w:ascii="Arial" w:cs="Arial" w:eastAsia="Arial" w:hAnsi="Arial"/>
          <w:sz w:val="16"/>
          <w:szCs w:val="16"/>
          <w:color w:val="auto"/>
        </w:rPr>
        <w:t>The following is a summary of certain material information concerning Matson, Inc.’s (“Matson” or the “Company”) capital stock. Except as expressly noted, the following summary is based on the provisions of the Hawaii Business Corporation Act (the “HBCA”), Matson’s Amended and Restated Articles of Incorporation (the “Charter”) and Matson’s Amended and Restated Bylaws. This description does not purport to be complete and is qualified in its entirety by reference to the full text of the HBCA as it may be amended from time to time, and to the terms of Matson’s Charter and Bylaws, as each may be amended from time to time and filed as exhibits to our Annual Reports on Form 10-K and Quarterly Reports on Form 10-Q.</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General</w:t>
      </w:r>
    </w:p>
    <w:p>
      <w:pPr>
        <w:spacing w:after="0" w:line="154" w:lineRule="exact"/>
        <w:rPr>
          <w:sz w:val="20"/>
          <w:szCs w:val="20"/>
          <w:color w:val="auto"/>
        </w:rPr>
      </w:pPr>
    </w:p>
    <w:p>
      <w:pPr>
        <w:ind w:left="160" w:right="179" w:firstLine="648"/>
        <w:spacing w:after="0" w:line="269" w:lineRule="auto"/>
        <w:rPr>
          <w:sz w:val="20"/>
          <w:szCs w:val="20"/>
          <w:color w:val="auto"/>
        </w:rPr>
      </w:pPr>
      <w:r>
        <w:rPr>
          <w:rFonts w:ascii="Arial" w:cs="Arial" w:eastAsia="Arial" w:hAnsi="Arial"/>
          <w:sz w:val="18"/>
          <w:szCs w:val="18"/>
          <w:color w:val="auto"/>
        </w:rPr>
        <w:t>The authorized capital of Matson is 150,000,000 shares of common stock, without par value. Matson does not have any authorized preferred stock or any other class of capital stock other than common stock.</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Common Stock</w:t>
      </w:r>
    </w:p>
    <w:p>
      <w:pPr>
        <w:spacing w:after="0" w:line="154" w:lineRule="exact"/>
        <w:rPr>
          <w:sz w:val="20"/>
          <w:szCs w:val="20"/>
          <w:color w:val="auto"/>
        </w:rPr>
      </w:pPr>
    </w:p>
    <w:p>
      <w:pPr>
        <w:ind w:left="160" w:right="159" w:firstLine="648"/>
        <w:spacing w:after="0" w:line="237" w:lineRule="auto"/>
        <w:rPr>
          <w:sz w:val="20"/>
          <w:szCs w:val="20"/>
          <w:color w:val="auto"/>
        </w:rPr>
      </w:pPr>
      <w:r>
        <w:rPr>
          <w:rFonts w:ascii="Arial" w:cs="Arial" w:eastAsia="Arial" w:hAnsi="Arial"/>
          <w:sz w:val="18"/>
          <w:szCs w:val="18"/>
          <w:i w:val="1"/>
          <w:iCs w:val="1"/>
          <w:color w:val="auto"/>
        </w:rPr>
        <w:t xml:space="preserve">Dividends and Distributions. </w:t>
      </w:r>
      <w:r>
        <w:rPr>
          <w:rFonts w:ascii="Arial" w:cs="Arial" w:eastAsia="Arial" w:hAnsi="Arial"/>
          <w:sz w:val="18"/>
          <w:szCs w:val="18"/>
          <w:color w:val="auto"/>
        </w:rPr>
        <w:t>The holders of outstanding shares of Matson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ratably receive dividends and other distributions out of assets legally available at times and in amounts as the Board of Directors of the Company may determine from time to time. The dividend and distribution rights of the shares of Matson common stock are subject to the Maritime Restrictions described below.</w:t>
      </w:r>
    </w:p>
    <w:p>
      <w:pPr>
        <w:spacing w:after="0" w:line="128" w:lineRule="exact"/>
        <w:rPr>
          <w:sz w:val="20"/>
          <w:szCs w:val="20"/>
          <w:color w:val="auto"/>
        </w:rPr>
      </w:pPr>
    </w:p>
    <w:p>
      <w:pPr>
        <w:ind w:left="160" w:right="599" w:firstLine="648"/>
        <w:spacing w:after="0" w:line="244"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If Matson is liquidated, dissolved or wound up, voluntarily or involuntarily,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Matson’s common stock are entitled to share ratably in all assets of Matson available for distribution to Matson’s shareholders, subject to the Maritime Restrictions described below.</w:t>
      </w:r>
    </w:p>
    <w:p>
      <w:pPr>
        <w:spacing w:after="0" w:line="125" w:lineRule="exact"/>
        <w:rPr>
          <w:sz w:val="20"/>
          <w:szCs w:val="20"/>
          <w:color w:val="auto"/>
        </w:rPr>
      </w:pPr>
    </w:p>
    <w:p>
      <w:pPr>
        <w:ind w:left="160" w:right="179" w:firstLine="648"/>
        <w:spacing w:after="0" w:line="213" w:lineRule="auto"/>
        <w:rPr>
          <w:sz w:val="20"/>
          <w:szCs w:val="20"/>
          <w:color w:val="auto"/>
        </w:rPr>
      </w:pPr>
      <w:r>
        <w:rPr>
          <w:rFonts w:ascii="Arial" w:cs="Arial" w:eastAsia="Arial" w:hAnsi="Arial"/>
          <w:sz w:val="20"/>
          <w:szCs w:val="20"/>
          <w:i w:val="1"/>
          <w:iCs w:val="1"/>
          <w:color w:val="auto"/>
        </w:rPr>
        <w:t xml:space="preserve">Voting Rights. </w:t>
      </w:r>
      <w:r>
        <w:rPr>
          <w:rFonts w:ascii="Arial" w:cs="Arial" w:eastAsia="Arial" w:hAnsi="Arial"/>
          <w:sz w:val="20"/>
          <w:szCs w:val="20"/>
          <w:color w:val="auto"/>
        </w:rPr>
        <w:t>Holders of Matson common stock are entitled to one vote per share on all matters to</w:t>
      </w:r>
      <w:r>
        <w:rPr>
          <w:rFonts w:ascii="Arial" w:cs="Arial" w:eastAsia="Arial" w:hAnsi="Arial"/>
          <w:sz w:val="20"/>
          <w:szCs w:val="20"/>
          <w:i w:val="1"/>
          <w:iCs w:val="1"/>
          <w:color w:val="auto"/>
        </w:rPr>
        <w:t xml:space="preserve"> </w:t>
      </w:r>
      <w:r>
        <w:rPr>
          <w:rFonts w:ascii="Arial" w:cs="Arial" w:eastAsia="Arial" w:hAnsi="Arial"/>
          <w:sz w:val="20"/>
          <w:szCs w:val="20"/>
          <w:color w:val="auto"/>
        </w:rPr>
        <w:t>be voted upon by shareholders. The voting rights are subject to the Maritime Restrictions as described below. There are no cumulative voting rights. Shareholders entitled to vote at a meeting of shareholders may vote by proxy.</w:t>
      </w:r>
    </w:p>
    <w:p>
      <w:pPr>
        <w:spacing w:after="0" w:line="129" w:lineRule="exact"/>
        <w:rPr>
          <w:sz w:val="20"/>
          <w:szCs w:val="20"/>
          <w:color w:val="auto"/>
        </w:rPr>
      </w:pPr>
    </w:p>
    <w:p>
      <w:pPr>
        <w:jc w:val="both"/>
        <w:ind w:left="160" w:right="239" w:firstLine="648"/>
        <w:spacing w:after="0" w:line="24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There are no preemption, redemption, sinking fund or conversion rights applicable to Matson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except with respect to the Maritime Restrictions, as described below, and except as described below under “— Antitakeover Effects under Organizational Documents and Certain Hawaii Laws.”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Maritime Restrictions</w:t>
      </w:r>
    </w:p>
    <w:p>
      <w:pPr>
        <w:spacing w:after="0" w:line="154" w:lineRule="exact"/>
        <w:rPr>
          <w:sz w:val="20"/>
          <w:szCs w:val="20"/>
          <w:color w:val="auto"/>
        </w:rPr>
      </w:pPr>
    </w:p>
    <w:p>
      <w:pPr>
        <w:ind w:left="160" w:right="259" w:firstLine="648"/>
        <w:spacing w:after="0" w:line="218" w:lineRule="auto"/>
        <w:rPr>
          <w:sz w:val="20"/>
          <w:szCs w:val="20"/>
          <w:color w:val="auto"/>
        </w:rPr>
      </w:pPr>
      <w:r>
        <w:rPr>
          <w:rFonts w:ascii="Arial" w:cs="Arial" w:eastAsia="Arial" w:hAnsi="Arial"/>
          <w:sz w:val="19"/>
          <w:szCs w:val="19"/>
          <w:color w:val="auto"/>
        </w:rPr>
        <w:t>Matson’s Charter subjects the shares of Matson common stock to certain transfer and ownership restrictions, referred to as “Maritime Restrictions,” designed to prevent certain situations from occurring that could jeopardize the Company’s eligibility as a U.S. citizen under the Jones Act and, therefore, the Company’s ability to engage in the transportation of merchandise and passengers for hire in U.S. territorial waters, referred to as the “Coastwise Trade.” The following summary of the Maritime Restrictions is qualified in its entirety by reference to the full text of Matson’s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446405</wp:posOffset>
            </wp:positionV>
            <wp:extent cx="554863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ind w:left="1440"/>
        <w:spacing w:after="0"/>
        <w:tabs>
          <w:tab w:leader="none" w:pos="17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General</w:t>
      </w:r>
    </w:p>
    <w:p>
      <w:pPr>
        <w:spacing w:after="0" w:line="150" w:lineRule="exact"/>
        <w:rPr>
          <w:sz w:val="20"/>
          <w:szCs w:val="20"/>
          <w:color w:val="auto"/>
        </w:rPr>
      </w:pPr>
    </w:p>
    <w:p>
      <w:pPr>
        <w:ind w:left="160" w:right="159" w:firstLine="648"/>
        <w:spacing w:after="0" w:line="194" w:lineRule="exact"/>
        <w:rPr>
          <w:sz w:val="20"/>
          <w:szCs w:val="20"/>
          <w:color w:val="auto"/>
        </w:rPr>
      </w:pPr>
      <w:r>
        <w:rPr>
          <w:rFonts w:ascii="Arial" w:cs="Arial" w:eastAsia="Arial" w:hAnsi="Arial"/>
          <w:sz w:val="16"/>
          <w:szCs w:val="16"/>
          <w:color w:val="auto"/>
        </w:rPr>
        <w:t>In order to protect Matson’s ability to register vessels in the U.S. under the applicable U.S. maritime and vessel documentation laws and operate those vessels in Coastwise Trade, Matson’s Charter limits the aggregate ownership (record or beneficial) or control of shares of Matson common stock by non</w:t>
      </w:r>
      <w:r>
        <w:rPr>
          <w:rFonts w:ascii="MS PGothic" w:cs="MS PGothic" w:eastAsia="MS PGothic" w:hAnsi="MS PGothic"/>
          <w:sz w:val="16"/>
          <w:szCs w:val="16"/>
          <w:color w:val="auto"/>
        </w:rPr>
        <w:t>‑</w:t>
      </w:r>
      <w:r>
        <w:rPr>
          <w:rFonts w:ascii="Arial" w:cs="Arial" w:eastAsia="Arial" w:hAnsi="Arial"/>
          <w:sz w:val="16"/>
          <w:szCs w:val="16"/>
          <w:color w:val="auto"/>
        </w:rPr>
        <w:t>U.S. citizens (as such term is determined by the applicable U.S. maritime and vessel documentation laws for purposes of Coastwise Trade) to 22% of the total issued and outstanding shares. We refer to such percentage limitation on foreign ownership of shares of Matson common stock as the “Maximum Permitted Percentage” and any such shares owned by non-U.S. citizens in excess of the Maximum Permitted Percentage as “Excess Shares.” To the extent the applicable U.S. maritime and vessel documentation laws are amended to change the legal foreign ownership maximum percentage, Matson’s Charter provides that the Maximum Permitted Percentage will automatically be changed to a percentage that is three percentage points lower than the legal foreign ownership maximum percentage, as amended. In addition, Matson’s Charter provides that a person will not be deemed to be a “record owner,” “beneficial owner” or “controller” of shares of Matson common stock if the Board of Directors of Matson determines, in good faith, that such person is not an owner of such shares in accordance with and for the purposes of the applicable U.S. maritime and vessel documentation laws.</w:t>
      </w:r>
    </w:p>
    <w:p>
      <w:pPr>
        <w:spacing w:after="0" w:line="315"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Restriction on Transfers of Excess Shares</w:t>
      </w:r>
    </w:p>
    <w:p>
      <w:pPr>
        <w:spacing w:after="0" w:line="148" w:lineRule="exact"/>
        <w:rPr>
          <w:sz w:val="20"/>
          <w:szCs w:val="20"/>
          <w:color w:val="auto"/>
        </w:rPr>
      </w:pPr>
    </w:p>
    <w:p>
      <w:pPr>
        <w:ind w:left="160" w:right="219" w:firstLine="648"/>
        <w:spacing w:after="0" w:line="216" w:lineRule="auto"/>
        <w:rPr>
          <w:sz w:val="20"/>
          <w:szCs w:val="20"/>
          <w:color w:val="auto"/>
        </w:rPr>
      </w:pPr>
      <w:r>
        <w:rPr>
          <w:rFonts w:ascii="Arial" w:cs="Arial" w:eastAsia="Arial" w:hAnsi="Arial"/>
          <w:sz w:val="19"/>
          <w:szCs w:val="19"/>
          <w:color w:val="auto"/>
        </w:rPr>
        <w:t>Matson’s Charter provides that any purported transfer of any shares of Matson common stock that would result in the aggregate ownership of shares of Matson common stock by non-U.S. citizens in excess of the Maximum Permitted Percentage will be void and ineffective, and neither Matson nor its transfer agent will register any such purported transfer on the stock transfer records of Matson or recognize any such purported transferee as a shareholder of Matson for any purpose (including for purposes of voting, dividends and distributions), except to the extent necessary to effect the remedies available to Matson under Matson’s Charter as described under “—3. Additional Remedies for Exceeding the Maximum Permitted Percentage” and “—4. Redemption of Excess Shares” below).</w:t>
      </w:r>
    </w:p>
    <w:p>
      <w:pPr>
        <w:spacing w:after="0" w:line="129"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Additional Remedies for Exceeding the Maximum Permitted Percentage</w:t>
      </w:r>
    </w:p>
    <w:p>
      <w:pPr>
        <w:spacing w:after="0" w:line="148" w:lineRule="exact"/>
        <w:rPr>
          <w:sz w:val="20"/>
          <w:szCs w:val="20"/>
          <w:color w:val="auto"/>
        </w:rPr>
      </w:pPr>
    </w:p>
    <w:p>
      <w:pPr>
        <w:ind w:left="160" w:right="199" w:firstLine="648"/>
        <w:spacing w:after="0" w:line="206" w:lineRule="auto"/>
        <w:rPr>
          <w:sz w:val="20"/>
          <w:szCs w:val="20"/>
          <w:color w:val="auto"/>
        </w:rPr>
      </w:pPr>
      <w:r>
        <w:rPr>
          <w:rFonts w:ascii="Arial" w:cs="Arial" w:eastAsia="Arial" w:hAnsi="Arial"/>
          <w:sz w:val="20"/>
          <w:szCs w:val="20"/>
          <w:color w:val="auto"/>
        </w:rPr>
        <w:t>In the event such restrictions voiding purported transfers would be ineffective for any reason, Matson’s Charter provides that if any transfer (a “Proposed Transfer”) to a transferee (a “Proposed Transferee”) would otherwise result in the ownership by non-U.S. citizens of an aggregate number of shares of Matson common stock in excess of the Maximum Permitted Percentage, such Excess Shares will automatically be transferred to a trust for the exclusive benefit of one or more charitable beneficiaries that are U.S. citizens. The Proposed Transferee will not acquire any rights in the Excess Shares transferred into the trust.</w:t>
      </w:r>
    </w:p>
    <w:p>
      <w:pPr>
        <w:spacing w:after="0" w:line="131" w:lineRule="exact"/>
        <w:rPr>
          <w:sz w:val="20"/>
          <w:szCs w:val="20"/>
          <w:color w:val="auto"/>
        </w:rPr>
      </w:pPr>
    </w:p>
    <w:p>
      <w:pPr>
        <w:ind w:left="160" w:right="279" w:firstLine="648"/>
        <w:spacing w:after="0" w:line="259" w:lineRule="auto"/>
        <w:rPr>
          <w:sz w:val="20"/>
          <w:szCs w:val="20"/>
          <w:color w:val="auto"/>
        </w:rPr>
      </w:pPr>
      <w:r>
        <w:rPr>
          <w:rFonts w:ascii="Arial" w:cs="Arial" w:eastAsia="Arial" w:hAnsi="Arial"/>
          <w:sz w:val="16"/>
          <w:szCs w:val="16"/>
          <w:color w:val="auto"/>
        </w:rPr>
        <w:t>Matson’s Charter also provides that the above trust transfer provisions apply to (i) any change in the status (a “Status Change” of an owner of shares of Matson common stock from a U.S. citizen to a non-U.S. citizen (a “Disqualified Person”) that results in non-U.S. citizens, in the aggregate, owning shares of Matson common stock in excess of the Maximum Permitted Percentage and (ii) any issuance of shares of Matson common stock (a “Deemed Original Issuance” and, together with a Proposed Transfer and a Status Change, each, a “Restricted Event”) to a non-U.S. citizen (a “Disqualified Recipient” and, together with a Proposed Transferee and Disqualified Person, a “Restricted Person”) that would result in non-U.S. citizens, in the aggregate, owning shares of Matson common stock in excess of the Maximum Permitted Percentage.</w:t>
      </w:r>
    </w:p>
    <w:p>
      <w:pPr>
        <w:spacing w:after="0" w:line="113" w:lineRule="exact"/>
        <w:rPr>
          <w:sz w:val="20"/>
          <w:szCs w:val="20"/>
          <w:color w:val="auto"/>
        </w:rPr>
      </w:pPr>
    </w:p>
    <w:p>
      <w:pPr>
        <w:ind w:left="160" w:right="239" w:firstLine="648"/>
        <w:spacing w:after="0" w:line="269" w:lineRule="auto"/>
        <w:rPr>
          <w:sz w:val="20"/>
          <w:szCs w:val="20"/>
          <w:color w:val="auto"/>
        </w:rPr>
      </w:pPr>
      <w:r>
        <w:rPr>
          <w:rFonts w:ascii="Arial" w:cs="Arial" w:eastAsia="Arial" w:hAnsi="Arial"/>
          <w:sz w:val="18"/>
          <w:szCs w:val="18"/>
          <w:color w:val="auto"/>
        </w:rPr>
        <w:t>The automatic transfer will be deemed to be effective as of immediately before the consummation of the Restricted Event. Shares of Matson common stock held in the trust will remain issued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456565</wp:posOffset>
            </wp:positionV>
            <wp:extent cx="55486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4" w:name="page85"/>
    <w:bookmarkEnd w:id="84"/>
    <w:p>
      <w:pPr>
        <w:ind w:left="160" w:right="179"/>
        <w:spacing w:after="0" w:line="223" w:lineRule="auto"/>
        <w:rPr>
          <w:sz w:val="20"/>
          <w:szCs w:val="20"/>
          <w:color w:val="auto"/>
        </w:rPr>
      </w:pPr>
      <w:r>
        <w:rPr>
          <w:rFonts w:ascii="Arial" w:cs="Arial" w:eastAsia="Arial" w:hAnsi="Arial"/>
          <w:sz w:val="18"/>
          <w:szCs w:val="18"/>
          <w:color w:val="auto"/>
        </w:rPr>
        <w:t>outstanding shares. Any Restricted Person will not profit from ownership of any shares of Matson common stock held in the trust, will have no rights to dividends or distributions and will have no rights to vote or other rights attributable to the shares of Matson common stock held in the trust. The trustee of the trust, who will be a U.S. citizen chosen by Matson and unaffiliated with Matson or any owner of such Excess Shares, will have all voting rights and rights to dividends or other distributions with respect to Excess Shares held in the trust. The trustee of the trust may rescind as void any vote given by a holder with respect to Excess Shares and revoke any proxy given by such holder with respect to Excess Shares and recast such vote or resubmit such proxy for the benefit of the charitable beneficiary of such trust, unless prohibited from doing so by applicable law or Matson has already taken corporate action in respect of which such vote was cast or proxy was given. These rights will be exercised by the trustee of the trust for the exclusive benefit of the charitable beneficiary of such trust. In each case, any dividend or distribution authorized and paid by Matson to a Restricted Person with respect to such Restricted Person’s Excess Shares after the automatic transfer of such Excess Shares into a trust must be paid by the Restricted Person to the trustee. Any dividend or distribution authorized with respect to any Excess Shares after the automatic transfer of such Excess Shares into the trust but unpaid will be paid when due to the trustee. Any dividend or distribution paid to the trustee will be held in trust for distribution to the charitable beneficiary. The amount of any such dividends or distribution received by a Restricted Person with respect to Excess Shares and not paid to the trustee may be withheld by the trustee from the proceeds of the sale of such Excess Shares remitted to such Restricted Person (as further described below).</w:t>
      </w:r>
    </w:p>
    <w:p>
      <w:pPr>
        <w:spacing w:after="0" w:line="129" w:lineRule="exact"/>
        <w:rPr>
          <w:sz w:val="20"/>
          <w:szCs w:val="20"/>
          <w:color w:val="auto"/>
        </w:rPr>
      </w:pPr>
    </w:p>
    <w:p>
      <w:pPr>
        <w:ind w:left="160" w:right="219" w:firstLine="648"/>
        <w:spacing w:after="0" w:line="218" w:lineRule="auto"/>
        <w:rPr>
          <w:sz w:val="20"/>
          <w:szCs w:val="20"/>
          <w:color w:val="auto"/>
        </w:rPr>
      </w:pPr>
      <w:r>
        <w:rPr>
          <w:rFonts w:ascii="Arial" w:cs="Arial" w:eastAsia="Arial" w:hAnsi="Arial"/>
          <w:sz w:val="19"/>
          <w:szCs w:val="19"/>
          <w:color w:val="auto"/>
        </w:rPr>
        <w:t>Within 20 days of receiving notice from Matson that shares of Matson common stock have been transferred to the trust, the trustee will sell the shares to a U.S. citizen designated by the trustee (or to Matson in accordance with the procedures described below). Upon the sale, the interest of the charitable beneficiary in the shares sold will terminate and the trustee will distribute the proceeds of the sale (net of broker’s commissions and other selling expenses, applicable taxes and other costs and expenses of the trust) to the Restricted Person and to the charitable beneficiary as follows:</w:t>
      </w:r>
    </w:p>
    <w:p>
      <w:pPr>
        <w:spacing w:after="0" w:line="133" w:lineRule="exact"/>
        <w:rPr>
          <w:sz w:val="20"/>
          <w:szCs w:val="20"/>
          <w:color w:val="auto"/>
        </w:rPr>
      </w:pPr>
    </w:p>
    <w:p>
      <w:pPr>
        <w:ind w:left="1120" w:right="319" w:hanging="321"/>
        <w:spacing w:after="0" w:line="229" w:lineRule="auto"/>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Excess Shares transferred into the trust as a result of a Proposed Transfer, the Proposed Transferee will receive the lesser of (i) the price paid by the Proposed Transferee for the shares or, if the Proposed Transferee did not give value for the shares in connection with the event causing the shares to be held in the trust (e.g., a gift, devise or other similar transaction), the fair market value (determined in accordance with the formula set forth in Matson’s Charter) of the shares on the date of the Proposed Transfer (the “Proposed Transfer Price”) and (ii) the price received by the trustee from the sale of the shares.</w:t>
      </w:r>
    </w:p>
    <w:p>
      <w:pPr>
        <w:spacing w:after="0" w:line="130" w:lineRule="exact"/>
        <w:rPr>
          <w:rFonts w:ascii="Arial" w:cs="Arial" w:eastAsia="Arial" w:hAnsi="Arial"/>
          <w:sz w:val="18"/>
          <w:szCs w:val="18"/>
          <w:color w:val="auto"/>
        </w:rPr>
      </w:pPr>
    </w:p>
    <w:p>
      <w:pPr>
        <w:ind w:left="1120" w:right="239" w:hanging="321"/>
        <w:spacing w:after="0" w:line="210" w:lineRule="auto"/>
        <w:tabs>
          <w:tab w:leader="none" w:pos="11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 the case of Excess Shares transferred into the trust as a result of a Status Change, the Disqualified Recipient will receive the lesser of (i) the fair market value (determined in accordance with the formula set forth in Matson’s Charter) of the shares on the date of the Status Change (the “Status Change Price”) and (ii) the price received by the trustee from the sale of the shares.</w:t>
      </w:r>
    </w:p>
    <w:p>
      <w:pPr>
        <w:spacing w:after="0" w:line="128" w:lineRule="exact"/>
        <w:rPr>
          <w:rFonts w:ascii="Arial" w:cs="Arial" w:eastAsia="Arial" w:hAnsi="Arial"/>
          <w:sz w:val="20"/>
          <w:szCs w:val="20"/>
          <w:color w:val="auto"/>
        </w:rPr>
      </w:pPr>
    </w:p>
    <w:p>
      <w:pPr>
        <w:ind w:left="1120" w:right="259" w:hanging="321"/>
        <w:spacing w:after="0" w:line="206" w:lineRule="auto"/>
        <w:tabs>
          <w:tab w:leader="none" w:pos="11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 the case of Excess Shares transferred into the trust as a result of a Deemed Original Issuance , the Disqualified Recipient will receive the lesser of (i) the price paid by the Disqualified Recipient for the shares or, if the Disqualified Recipient did not give value for the shares in connection with the Deemed Original Issuance, the fair market value (determined in accordance with the formula set forth in Matson’s Charter) of the shares on the date of the Deemed Original Issuance (the “Deemed Original Issuance Price”) and (ii) the price received by the trustee from the sale of the shares.</w:t>
      </w:r>
    </w:p>
    <w:p>
      <w:pPr>
        <w:spacing w:after="0" w:line="131" w:lineRule="exact"/>
        <w:rPr>
          <w:sz w:val="20"/>
          <w:szCs w:val="20"/>
          <w:color w:val="auto"/>
        </w:rPr>
      </w:pPr>
    </w:p>
    <w:p>
      <w:pPr>
        <w:ind w:left="160" w:right="199" w:firstLine="648"/>
        <w:spacing w:after="0" w:line="269" w:lineRule="auto"/>
        <w:rPr>
          <w:sz w:val="20"/>
          <w:szCs w:val="20"/>
          <w:color w:val="auto"/>
        </w:rPr>
      </w:pPr>
      <w:r>
        <w:rPr>
          <w:rFonts w:ascii="Arial" w:cs="Arial" w:eastAsia="Arial" w:hAnsi="Arial"/>
          <w:sz w:val="18"/>
          <w:szCs w:val="18"/>
          <w:color w:val="auto"/>
        </w:rPr>
        <w:t>Any net sale proceeds in excess of the amount payable to the Restricted Person will be promptly paid to the charitable beneficiary. If such shares are sold by the Restricted Person prior to Matson’s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456565</wp:posOffset>
            </wp:positionV>
            <wp:extent cx="55486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5" w:name="page86"/>
    <w:bookmarkEnd w:id="85"/>
    <w:p>
      <w:pPr>
        <w:ind w:left="160" w:right="159"/>
        <w:spacing w:after="0" w:line="213" w:lineRule="auto"/>
        <w:rPr>
          <w:sz w:val="20"/>
          <w:szCs w:val="20"/>
          <w:color w:val="auto"/>
        </w:rPr>
      </w:pPr>
      <w:r>
        <w:rPr>
          <w:rFonts w:ascii="Arial" w:cs="Arial" w:eastAsia="Arial" w:hAnsi="Arial"/>
          <w:sz w:val="20"/>
          <w:szCs w:val="20"/>
          <w:color w:val="auto"/>
        </w:rPr>
        <w:t>discovery that shares should have been transferred to the trust, then (i) the shares will be deemed to have been sold on behalf of the trust and (ii) to the extent that the Restricted Person received an amount for the shares that exceeds the amount such Restricted Person was entitled to receive, the excess will be paid to the trustee upon demand.</w:t>
      </w:r>
    </w:p>
    <w:p>
      <w:pPr>
        <w:spacing w:after="0" w:line="131" w:lineRule="exact"/>
        <w:rPr>
          <w:sz w:val="20"/>
          <w:szCs w:val="20"/>
          <w:color w:val="auto"/>
        </w:rPr>
      </w:pPr>
    </w:p>
    <w:p>
      <w:pPr>
        <w:ind w:left="160" w:right="199" w:firstLine="648"/>
        <w:spacing w:after="0" w:line="228" w:lineRule="auto"/>
        <w:rPr>
          <w:sz w:val="20"/>
          <w:szCs w:val="20"/>
          <w:color w:val="auto"/>
        </w:rPr>
      </w:pPr>
      <w:r>
        <w:rPr>
          <w:rFonts w:ascii="Arial" w:cs="Arial" w:eastAsia="Arial" w:hAnsi="Arial"/>
          <w:sz w:val="18"/>
          <w:szCs w:val="18"/>
          <w:color w:val="auto"/>
        </w:rPr>
        <w:t>In addition, shares of Matson common stock held in the trust will be deemed to have been offered for sale to Matson at a price per share equal to the lesser of (i) the fair market value (determined in accordance with the formula set forth in Matson’s Charter) on the date Matson accepts the offer and (ii) the Proposed Transfer Price, the Status Change Price or the Deemed Original Issuance Price, as the case may be, of such Excess Shares. Matson will have the right to accept the offer until the trustee has sold the shares. Upon a sale to Matson, the interest of the charitable beneficiary in the shares sold will terminate and the trustee will distribute to the Restricted Person the portion of the net proceeds from the sale due to the Restricted Person and pay the remainder, if any, to the charitable beneficiary of the trust.</w:t>
      </w:r>
    </w:p>
    <w:p>
      <w:pPr>
        <w:spacing w:after="0" w:line="129"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Redemption of Excess Shares</w:t>
      </w:r>
    </w:p>
    <w:p>
      <w:pPr>
        <w:spacing w:after="0" w:line="148" w:lineRule="exact"/>
        <w:rPr>
          <w:sz w:val="20"/>
          <w:szCs w:val="20"/>
          <w:color w:val="auto"/>
        </w:rPr>
      </w:pPr>
    </w:p>
    <w:p>
      <w:pPr>
        <w:ind w:left="160" w:right="159" w:firstLine="648"/>
        <w:spacing w:after="0" w:line="218" w:lineRule="auto"/>
        <w:rPr>
          <w:sz w:val="20"/>
          <w:szCs w:val="20"/>
          <w:color w:val="auto"/>
        </w:rPr>
      </w:pPr>
      <w:r>
        <w:rPr>
          <w:rFonts w:ascii="Arial" w:cs="Arial" w:eastAsia="Arial" w:hAnsi="Arial"/>
          <w:sz w:val="19"/>
          <w:szCs w:val="19"/>
          <w:color w:val="auto"/>
        </w:rPr>
        <w:t>To the extent that the above trust transfer provisions would be ineffective for any reason (for example, if a court determines that such provisions may not operate as intended), Matson’s Charter provides that, to prevent the percentage of aggregate shares of Matson common stock owned by non-U.S. citizens from exceeding the Maximum Permitted Percentage, Matson, by action of its Board of Directors, in its sole discretion, will have the power (but not the obligation) to redeem all or any portion of such Excess Shares, unless such redemption is not permitted under applicable law.</w:t>
      </w:r>
    </w:p>
    <w:p>
      <w:pPr>
        <w:spacing w:after="0" w:line="133" w:lineRule="exact"/>
        <w:rPr>
          <w:sz w:val="20"/>
          <w:szCs w:val="20"/>
          <w:color w:val="auto"/>
        </w:rPr>
      </w:pPr>
    </w:p>
    <w:p>
      <w:pPr>
        <w:ind w:left="160" w:right="179" w:firstLine="648"/>
        <w:spacing w:after="0" w:line="206" w:lineRule="auto"/>
        <w:rPr>
          <w:sz w:val="20"/>
          <w:szCs w:val="20"/>
          <w:color w:val="auto"/>
        </w:rPr>
      </w:pPr>
      <w:r>
        <w:rPr>
          <w:rFonts w:ascii="Arial" w:cs="Arial" w:eastAsia="Arial" w:hAnsi="Arial"/>
          <w:sz w:val="20"/>
          <w:szCs w:val="20"/>
          <w:color w:val="auto"/>
        </w:rPr>
        <w:t>Until such Excess Shares are redeemed, the Restricted Persons owning such shares will not be entitled to any voting rights with respect to such shares and Matson will pay any dividends or distributions with respect to such shares into an escrow account. Full voting, distribution and dividend rights will be restored to such Excess Shares (and any dividends or distributions paid into an escrow account will be paid to holders of record of such shares), promptly after the time and to the extent the Board of Directors determines that such shares no longer constitute Excess Shares, unless such shares have already been redeemed by Matson.</w:t>
      </w:r>
    </w:p>
    <w:p>
      <w:pPr>
        <w:spacing w:after="0" w:line="131" w:lineRule="exact"/>
        <w:rPr>
          <w:sz w:val="20"/>
          <w:szCs w:val="20"/>
          <w:color w:val="auto"/>
        </w:rPr>
      </w:pPr>
    </w:p>
    <w:p>
      <w:pPr>
        <w:ind w:left="160" w:right="199" w:firstLine="648"/>
        <w:spacing w:after="0" w:line="195" w:lineRule="exact"/>
        <w:rPr>
          <w:sz w:val="20"/>
          <w:szCs w:val="20"/>
          <w:color w:val="auto"/>
        </w:rPr>
      </w:pPr>
      <w:r>
        <w:rPr>
          <w:rFonts w:ascii="Arial" w:cs="Arial" w:eastAsia="Arial" w:hAnsi="Arial"/>
          <w:sz w:val="18"/>
          <w:szCs w:val="18"/>
          <w:color w:val="auto"/>
        </w:rPr>
        <w:t>If the Board of Directors of Matson determines to redeem Excess Shares, the redemption price of such Excess Shares will be an amount equal to (i) the lesser of (A) the fair market value (determined in accordance with the formula set forth in Matson’s Charter) on the redemption date and (B) the Proposed Transfer Price, the Status Change Price or the Deemed Original Issuance Price, as the case may be, of such Excess Shares, minus (ii) any dividends or distributions received by such Restricted Person with respect to such Excess Shares prior to and including the redemption date instead of being paid into the escrow account. The Board of Directors of Matson may, in its discretion, pay the redemption price in cash or by the issuance of interest</w:t>
      </w:r>
      <w:r>
        <w:rPr>
          <w:rFonts w:ascii="MS PGothic" w:cs="MS PGothic" w:eastAsia="MS PGothic" w:hAnsi="MS PGothic"/>
          <w:sz w:val="18"/>
          <w:szCs w:val="18"/>
          <w:color w:val="auto"/>
        </w:rPr>
        <w:t>‑</w:t>
      </w:r>
      <w:r>
        <w:rPr>
          <w:rFonts w:ascii="Arial" w:cs="Arial" w:eastAsia="Arial" w:hAnsi="Arial"/>
          <w:sz w:val="18"/>
          <w:szCs w:val="18"/>
          <w:color w:val="auto"/>
        </w:rPr>
        <w:t>bearing promissory notes with a maturity of up to 10 years and bearing a fixed rate equal to the yield on the U.S. Treasury Note of comparable maturity. Upon redemption, any dividends or distributions that have been paid into an escrow account with respect to such redeemed shares will be paid by the escrow agent for such account to a charitable organization that is a U.S. citizen designated by Matson, net of any taxes and other costs and expenses of the escrow agent.</w:t>
      </w:r>
    </w:p>
    <w:p>
      <w:pPr>
        <w:spacing w:after="0" w:line="129"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Permitted Actions by the Board of Directors Relating to the Maritime Restrictions</w:t>
      </w:r>
    </w:p>
    <w:p>
      <w:pPr>
        <w:spacing w:after="0" w:line="148" w:lineRule="exact"/>
        <w:rPr>
          <w:sz w:val="20"/>
          <w:szCs w:val="20"/>
          <w:color w:val="auto"/>
        </w:rPr>
      </w:pPr>
    </w:p>
    <w:p>
      <w:pPr>
        <w:jc w:val="both"/>
        <w:ind w:left="160" w:right="379" w:firstLine="648"/>
        <w:spacing w:after="0" w:line="213" w:lineRule="auto"/>
        <w:rPr>
          <w:sz w:val="20"/>
          <w:szCs w:val="20"/>
          <w:color w:val="auto"/>
        </w:rPr>
      </w:pPr>
      <w:r>
        <w:rPr>
          <w:rFonts w:ascii="Arial" w:cs="Arial" w:eastAsia="Arial" w:hAnsi="Arial"/>
          <w:sz w:val="20"/>
          <w:szCs w:val="20"/>
          <w:color w:val="auto"/>
        </w:rPr>
        <w:t>In addition to the foregoing restrictions, so that Matson may assure compliance with the applicable U.S. maritime and vessel documentation laws, Matson’s Charter authorizes its Board of Directors to effect any and all measures necessary or desirable (consistent with the provisions thereof) to fulfill the purpose of and to implement the Maritime Restrictions, including: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456565</wp:posOffset>
            </wp:positionV>
            <wp:extent cx="55486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ind w:left="1120" w:right="619" w:hanging="321"/>
        <w:spacing w:after="0" w:line="213" w:lineRule="auto"/>
        <w:tabs>
          <w:tab w:leader="none" w:pos="11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obtaining, as a condition precedent to the transfer of shares of Matson common stock, a citizenship certification and any other documentation Matson or its transfer agent deems advisable from the transferee of such shares (and persons on whose behalf shares of Matson common stock are to be held);</w:t>
      </w:r>
    </w:p>
    <w:p>
      <w:pPr>
        <w:spacing w:after="0" w:line="130" w:lineRule="exact"/>
        <w:rPr>
          <w:rFonts w:ascii="Arial" w:cs="Arial" w:eastAsia="Arial" w:hAnsi="Arial"/>
          <w:sz w:val="20"/>
          <w:szCs w:val="20"/>
          <w:color w:val="auto"/>
        </w:rPr>
      </w:pPr>
    </w:p>
    <w:p>
      <w:pPr>
        <w:ind w:left="1120" w:right="179" w:hanging="321"/>
        <w:spacing w:after="0" w:line="224" w:lineRule="auto"/>
        <w:tabs>
          <w:tab w:leader="none" w:pos="11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determining the citizenship of any owner of shares of Matson common stock and, in making such determination, relying upon the stock transfer records of Matson, the citizenship certificates and other documentation given by owners or their transferees and such other written statements and affidavits and such other proof as Matson may deem reasonable;</w:t>
      </w:r>
    </w:p>
    <w:p>
      <w:pPr>
        <w:spacing w:after="0" w:line="129" w:lineRule="exact"/>
        <w:rPr>
          <w:rFonts w:ascii="Arial" w:cs="Arial" w:eastAsia="Arial" w:hAnsi="Arial"/>
          <w:sz w:val="19"/>
          <w:szCs w:val="19"/>
          <w:color w:val="auto"/>
        </w:rPr>
      </w:pPr>
    </w:p>
    <w:p>
      <w:pPr>
        <w:ind w:left="1120" w:right="359" w:hanging="321"/>
        <w:spacing w:after="0" w:line="242" w:lineRule="auto"/>
        <w:tabs>
          <w:tab w:leader="none" w:pos="11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developing issuance, transfer, redemption, escrow and legend notice provisions and procedures regarding certificated and uncertificated shares of Matson common stock;</w:t>
      </w:r>
    </w:p>
    <w:p>
      <w:pPr>
        <w:spacing w:after="0" w:line="126" w:lineRule="exact"/>
        <w:rPr>
          <w:rFonts w:ascii="Arial" w:cs="Arial" w:eastAsia="Arial" w:hAnsi="Arial"/>
          <w:sz w:val="19"/>
          <w:szCs w:val="19"/>
          <w:color w:val="auto"/>
        </w:rPr>
      </w:pPr>
    </w:p>
    <w:p>
      <w:pPr>
        <w:ind w:left="1120" w:right="699" w:hanging="321"/>
        <w:spacing w:after="0" w:line="229" w:lineRule="auto"/>
        <w:tabs>
          <w:tab w:leader="none" w:pos="11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establishing and maintaining a dual stock certificate system under which different forms of certificates are issued to U.S. citizens and non-U.S. citizens; and</w:t>
      </w:r>
    </w:p>
    <w:p>
      <w:pPr>
        <w:spacing w:after="0" w:line="128" w:lineRule="exact"/>
        <w:rPr>
          <w:rFonts w:ascii="Arial" w:cs="Arial" w:eastAsia="Arial" w:hAnsi="Arial"/>
          <w:sz w:val="20"/>
          <w:szCs w:val="20"/>
          <w:color w:val="auto"/>
        </w:rPr>
      </w:pPr>
    </w:p>
    <w:p>
      <w:pPr>
        <w:ind w:left="1120" w:right="159" w:hanging="321"/>
        <w:spacing w:after="0" w:line="210" w:lineRule="auto"/>
        <w:tabs>
          <w:tab w:leader="none" w:pos="11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mandating that all shares of Matson common stock issued by Matson include the legend specified in Matson’s Charter (or other appropriate legend reflecting the Maritime Restrictions) or, in the case of uncertificated shares, mandating that the record holder thereof be sent a written notice containing the information in the applicable legend within a reasonable time after the issuance or transfer thereof.</w:t>
      </w:r>
    </w:p>
    <w:p>
      <w:pPr>
        <w:spacing w:after="0" w:line="128"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color w:val="auto"/>
        </w:rPr>
        <w:t>Maritime Restrictions Severable</w:t>
      </w:r>
    </w:p>
    <w:p>
      <w:pPr>
        <w:spacing w:after="0" w:line="148" w:lineRule="exact"/>
        <w:rPr>
          <w:sz w:val="20"/>
          <w:szCs w:val="20"/>
          <w:color w:val="auto"/>
        </w:rPr>
      </w:pPr>
    </w:p>
    <w:p>
      <w:pPr>
        <w:ind w:left="160" w:right="159" w:firstLine="648"/>
        <w:spacing w:after="0" w:line="218" w:lineRule="auto"/>
        <w:rPr>
          <w:sz w:val="20"/>
          <w:szCs w:val="20"/>
          <w:color w:val="auto"/>
        </w:rPr>
      </w:pPr>
      <w:r>
        <w:rPr>
          <w:rFonts w:ascii="Arial" w:cs="Arial" w:eastAsia="Arial" w:hAnsi="Arial"/>
          <w:sz w:val="20"/>
          <w:szCs w:val="20"/>
          <w:color w:val="auto"/>
        </w:rPr>
        <w:t>The Maritime Restrictions are intended to be severable. If any one or more of the Maritime Restrictions is held to be invalid, illegal or unenforceable, Matson’s Charter provides that the validity, legality or enforceability of any other provision will not be affected.</w:t>
      </w:r>
    </w:p>
    <w:p>
      <w:pPr>
        <w:spacing w:after="0" w:line="130"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6"/>
          <w:szCs w:val="16"/>
          <w:color w:val="auto"/>
        </w:rPr>
        <w:t>National Securities Exchange</w:t>
      </w:r>
    </w:p>
    <w:p>
      <w:pPr>
        <w:spacing w:after="0" w:line="148" w:lineRule="exact"/>
        <w:rPr>
          <w:sz w:val="20"/>
          <w:szCs w:val="20"/>
          <w:color w:val="auto"/>
        </w:rPr>
      </w:pPr>
    </w:p>
    <w:p>
      <w:pPr>
        <w:ind w:left="160" w:right="219" w:firstLine="648"/>
        <w:spacing w:after="0" w:line="207" w:lineRule="auto"/>
        <w:rPr>
          <w:sz w:val="20"/>
          <w:szCs w:val="20"/>
          <w:color w:val="auto"/>
        </w:rPr>
      </w:pPr>
      <w:r>
        <w:rPr>
          <w:rFonts w:ascii="Arial" w:cs="Arial" w:eastAsia="Arial" w:hAnsi="Arial"/>
          <w:sz w:val="20"/>
          <w:szCs w:val="20"/>
          <w:color w:val="auto"/>
        </w:rPr>
        <w:t>In order for Matson to comply with any conditions to listing the shares of Matson common stock that may be specified by any applicable national securities exchange or automated inter-dealer quotation service, Matson’s Charter also provides that nothing therein, such as the provisions voiding transfers to non-U.S. citizens, will preclude the settlement of any transaction entered into through any such applicable national securities exchange or automated inter-dealer quotation service if such preclusion is prohibited by such exchange or quotation service.</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Anti-Takeover Effects under Organizational Documents and Certain Hawaii Laws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20"/>
          <w:szCs w:val="20"/>
          <w:b w:val="1"/>
          <w:bCs w:val="1"/>
          <w:i w:val="1"/>
          <w:iCs w:val="1"/>
          <w:color w:val="auto"/>
        </w:rPr>
        <w:t>Certain Provisions of Matson’s Organizational Documents</w:t>
      </w:r>
    </w:p>
    <w:p>
      <w:pPr>
        <w:spacing w:after="0" w:line="148" w:lineRule="exact"/>
        <w:rPr>
          <w:sz w:val="20"/>
          <w:szCs w:val="20"/>
          <w:color w:val="auto"/>
        </w:rPr>
      </w:pPr>
    </w:p>
    <w:p>
      <w:pPr>
        <w:ind w:left="160" w:right="259" w:firstLine="648"/>
        <w:spacing w:after="0" w:line="231" w:lineRule="auto"/>
        <w:rPr>
          <w:sz w:val="20"/>
          <w:szCs w:val="20"/>
          <w:color w:val="auto"/>
        </w:rPr>
      </w:pPr>
      <w:r>
        <w:rPr>
          <w:rFonts w:ascii="Arial" w:cs="Arial" w:eastAsia="Arial" w:hAnsi="Arial"/>
          <w:sz w:val="18"/>
          <w:szCs w:val="18"/>
          <w:color w:val="auto"/>
        </w:rPr>
        <w:t>Certain provisions of Matson’s Charter and Amended and Restated Bylaws may delay or make more difficult unsolicited acquisitions or changes of control. These provisions could have the effect of discouraging third parties from making proposals involving an unsolicited acquisition or change in control, although these proposals, if made, might be considered desirable by a majority of our shareholders. These provisions may also have the effect of making it more difficult for third parties to cause the replacement of the current management without the concurrence of the Board of Directors. These provisions include: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456565</wp:posOffset>
            </wp:positionV>
            <wp:extent cx="554863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7" w:name="page88"/>
    <w:bookmarkEnd w:id="87"/>
    <w:p>
      <w:pPr>
        <w:ind w:left="1120" w:right="419" w:hanging="321"/>
        <w:spacing w:after="0" w:line="230" w:lineRule="auto"/>
        <w:tabs>
          <w:tab w:leader="none" w:pos="11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availability of authorized but unissued shares of stock for issuance from time to time at the discretion of the Board of Directors;</w:t>
      </w:r>
    </w:p>
    <w:p>
      <w:pPr>
        <w:spacing w:after="0" w:line="128" w:lineRule="exact"/>
        <w:rPr>
          <w:rFonts w:ascii="Arial" w:cs="Arial" w:eastAsia="Arial" w:hAnsi="Arial"/>
          <w:sz w:val="20"/>
          <w:szCs w:val="20"/>
          <w:color w:val="auto"/>
        </w:rPr>
      </w:pPr>
    </w:p>
    <w:p>
      <w:pPr>
        <w:ind w:left="1120" w:right="339" w:hanging="321"/>
        <w:spacing w:after="0" w:line="229" w:lineRule="auto"/>
        <w:tabs>
          <w:tab w:leader="none" w:pos="11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all shareholder actions must be effected at a duly called meeting of shareholders or, as provided in Section 414-124 of the HBCA, by unanimous written consent; and</w:t>
      </w:r>
    </w:p>
    <w:p>
      <w:pPr>
        <w:spacing w:after="0" w:line="128" w:lineRule="exact"/>
        <w:rPr>
          <w:rFonts w:ascii="Arial" w:cs="Arial" w:eastAsia="Arial" w:hAnsi="Arial"/>
          <w:sz w:val="20"/>
          <w:szCs w:val="20"/>
          <w:color w:val="auto"/>
        </w:rPr>
      </w:pPr>
    </w:p>
    <w:p>
      <w:pPr>
        <w:ind w:left="1120" w:right="639" w:hanging="321"/>
        <w:spacing w:after="0" w:line="229" w:lineRule="auto"/>
        <w:tabs>
          <w:tab w:leader="none" w:pos="11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requirements for advance notice for raising business or making nominations at shareholders meetings.</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9"/>
          <w:szCs w:val="19"/>
          <w:b w:val="1"/>
          <w:bCs w:val="1"/>
          <w:i w:val="1"/>
          <w:iCs w:val="1"/>
          <w:color w:val="auto"/>
        </w:rPr>
        <w:t>Certain Provisions of the Hawaii Business Corporation Act and Other Hawaii Statutes</w:t>
      </w:r>
    </w:p>
    <w:p>
      <w:pPr>
        <w:spacing w:after="0" w:line="160" w:lineRule="exact"/>
        <w:rPr>
          <w:sz w:val="20"/>
          <w:szCs w:val="20"/>
          <w:color w:val="auto"/>
        </w:rPr>
      </w:pPr>
    </w:p>
    <w:p>
      <w:pPr>
        <w:ind w:left="160" w:right="199" w:firstLine="648"/>
        <w:spacing w:after="0" w:line="233" w:lineRule="auto"/>
        <w:rPr>
          <w:sz w:val="20"/>
          <w:szCs w:val="20"/>
          <w:color w:val="auto"/>
        </w:rPr>
      </w:pPr>
      <w:r>
        <w:rPr>
          <w:rFonts w:ascii="Arial" w:cs="Arial" w:eastAsia="Arial" w:hAnsi="Arial"/>
          <w:sz w:val="18"/>
          <w:szCs w:val="18"/>
          <w:color w:val="auto"/>
        </w:rPr>
        <w:t>As a Hawaii corporation, the Company is governed by the HBCA and more broadly the HRS. Under specified circumstances, the following provisions of the HRS may delay, prevent or make more difficult unsolicited acquisitions or changes of control. These provisions also may have the effect of preventing changes in the management of the Company. It is possible that these provisions could make it more difficult to accomplish transactions which shareholders may otherwise deem to be in their best interest.</w:t>
      </w:r>
    </w:p>
    <w:p>
      <w:pPr>
        <w:spacing w:after="0" w:line="130" w:lineRule="exact"/>
        <w:rPr>
          <w:sz w:val="20"/>
          <w:szCs w:val="20"/>
          <w:color w:val="auto"/>
        </w:rPr>
      </w:pPr>
    </w:p>
    <w:p>
      <w:pPr>
        <w:ind w:left="160" w:right="199" w:firstLine="648"/>
        <w:spacing w:after="0" w:line="225" w:lineRule="auto"/>
        <w:rPr>
          <w:sz w:val="20"/>
          <w:szCs w:val="20"/>
          <w:color w:val="auto"/>
        </w:rPr>
      </w:pPr>
      <w:r>
        <w:rPr>
          <w:rFonts w:ascii="Arial" w:cs="Arial" w:eastAsia="Arial" w:hAnsi="Arial"/>
          <w:sz w:val="18"/>
          <w:szCs w:val="18"/>
          <w:i w:val="1"/>
          <w:iCs w:val="1"/>
          <w:color w:val="auto"/>
        </w:rPr>
        <w:t xml:space="preserve">Control Share Acquisitions. </w:t>
      </w:r>
      <w:r>
        <w:rPr>
          <w:rFonts w:ascii="Arial" w:cs="Arial" w:eastAsia="Arial" w:hAnsi="Arial"/>
          <w:sz w:val="18"/>
          <w:szCs w:val="18"/>
          <w:color w:val="auto"/>
        </w:rPr>
        <w:t>Under Chapter 414E of the HRS, a person or group who proposes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“control share acquisition” in an “issuing public corporation” must obtain approval of the acquisition, in the manner specified in Chapter 414E of the HRS, by the affirmative vote of the holders of a majority of the voting power of all shares entitled to vote, exclusive of the shares beneficially owned by the acquiring person, and must consummate the proposed control share acquisition within 180 days after shareholder approval. If a control share acquisition is made without the requisite shareholder approval, unless the acquisition was approved by the Board, the statute provides that the shares acquired may not be voted for a period of one year from the date of acquisition, the shares will be nontransferable on the corporation’s books for one year after acquisition and the corporation, during the one-year period, has the right to call the shares for redemption either at the price at which the shares were acquired or at book value per share as of the last day of the fiscal quarter ended prior to the date of the call for redemption.</w:t>
      </w:r>
    </w:p>
    <w:p>
      <w:pPr>
        <w:spacing w:after="0" w:line="134" w:lineRule="exact"/>
        <w:rPr>
          <w:sz w:val="20"/>
          <w:szCs w:val="20"/>
          <w:color w:val="auto"/>
        </w:rPr>
      </w:pPr>
    </w:p>
    <w:p>
      <w:pPr>
        <w:ind w:left="160" w:right="299" w:firstLine="648"/>
        <w:spacing w:after="0" w:line="218" w:lineRule="auto"/>
        <w:rPr>
          <w:sz w:val="20"/>
          <w:szCs w:val="20"/>
          <w:color w:val="auto"/>
        </w:rPr>
      </w:pPr>
      <w:r>
        <w:rPr>
          <w:rFonts w:ascii="Arial" w:cs="Arial" w:eastAsia="Arial" w:hAnsi="Arial"/>
          <w:sz w:val="20"/>
          <w:szCs w:val="20"/>
          <w:color w:val="auto"/>
        </w:rPr>
        <w:t>Under Chapter 414E of the HRS, “control share acquisition” means, subject to specified exceptions, the acquisition of shares of an issuing public corporation resulting in beneficial ownership of the acquiring person exceeding any of the following thresholds:</w:t>
      </w:r>
    </w:p>
    <w:p>
      <w:pPr>
        <w:spacing w:after="0" w:line="130" w:lineRule="exact"/>
        <w:rPr>
          <w:sz w:val="20"/>
          <w:szCs w:val="20"/>
          <w:color w:val="auto"/>
        </w:rPr>
      </w:pPr>
    </w:p>
    <w:p>
      <w:pPr>
        <w:ind w:left="1120" w:hanging="321"/>
        <w:spacing w:after="0"/>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At least ten percent but less than twenty percent;</w:t>
      </w:r>
    </w:p>
    <w:p>
      <w:pPr>
        <w:spacing w:after="0" w:line="148" w:lineRule="exact"/>
        <w:rPr>
          <w:rFonts w:ascii="Arial" w:cs="Arial" w:eastAsia="Arial" w:hAnsi="Arial"/>
          <w:sz w:val="20"/>
          <w:szCs w:val="20"/>
          <w:color w:val="auto"/>
        </w:rPr>
      </w:pPr>
    </w:p>
    <w:p>
      <w:pPr>
        <w:ind w:left="1120" w:hanging="321"/>
        <w:spacing w:after="0"/>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At least twenty percent but less than thirty percent;</w:t>
      </w:r>
    </w:p>
    <w:p>
      <w:pPr>
        <w:spacing w:after="0" w:line="148" w:lineRule="exact"/>
        <w:rPr>
          <w:rFonts w:ascii="Arial" w:cs="Arial" w:eastAsia="Arial" w:hAnsi="Arial"/>
          <w:sz w:val="20"/>
          <w:szCs w:val="20"/>
          <w:color w:val="auto"/>
        </w:rPr>
      </w:pPr>
    </w:p>
    <w:p>
      <w:pPr>
        <w:ind w:left="1120" w:hanging="321"/>
        <w:spacing w:after="0"/>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At least thirty percent but less than forty percent;</w:t>
      </w:r>
    </w:p>
    <w:p>
      <w:pPr>
        <w:spacing w:after="0" w:line="148" w:lineRule="exact"/>
        <w:rPr>
          <w:rFonts w:ascii="Arial" w:cs="Arial" w:eastAsia="Arial" w:hAnsi="Arial"/>
          <w:sz w:val="20"/>
          <w:szCs w:val="20"/>
          <w:color w:val="auto"/>
        </w:rPr>
      </w:pPr>
    </w:p>
    <w:p>
      <w:pPr>
        <w:ind w:left="1120" w:hanging="321"/>
        <w:spacing w:after="0"/>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At least forty percent but less than a majority; or</w:t>
      </w:r>
    </w:p>
    <w:p>
      <w:pPr>
        <w:spacing w:after="0" w:line="148" w:lineRule="exact"/>
        <w:rPr>
          <w:rFonts w:ascii="Arial" w:cs="Arial" w:eastAsia="Arial" w:hAnsi="Arial"/>
          <w:sz w:val="20"/>
          <w:szCs w:val="20"/>
          <w:color w:val="auto"/>
        </w:rPr>
      </w:pPr>
    </w:p>
    <w:p>
      <w:pPr>
        <w:ind w:left="1120" w:hanging="321"/>
        <w:spacing w:after="0"/>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At least a majority.</w:t>
      </w:r>
    </w:p>
    <w:p>
      <w:pPr>
        <w:spacing w:after="0" w:line="148" w:lineRule="exact"/>
        <w:rPr>
          <w:sz w:val="20"/>
          <w:szCs w:val="20"/>
          <w:color w:val="auto"/>
        </w:rPr>
      </w:pPr>
    </w:p>
    <w:p>
      <w:pPr>
        <w:ind w:left="160" w:right="519" w:firstLine="648"/>
        <w:spacing w:after="0" w:line="218" w:lineRule="auto"/>
        <w:rPr>
          <w:sz w:val="20"/>
          <w:szCs w:val="20"/>
          <w:color w:val="auto"/>
        </w:rPr>
      </w:pPr>
      <w:r>
        <w:rPr>
          <w:rFonts w:ascii="Arial" w:cs="Arial" w:eastAsia="Arial" w:hAnsi="Arial"/>
          <w:sz w:val="20"/>
          <w:szCs w:val="20"/>
          <w:color w:val="auto"/>
        </w:rPr>
        <w:t>An “issuing public corporation” means a corporation incorporated in Hawaii which has (i) 100 or more shareholders and (ii) its principal place of business or its principal office in Hawaii, or that has substantial assets located in Hawaii.</w:t>
      </w:r>
    </w:p>
    <w:p>
      <w:pPr>
        <w:spacing w:after="0" w:line="130" w:lineRule="exact"/>
        <w:rPr>
          <w:sz w:val="20"/>
          <w:szCs w:val="20"/>
          <w:color w:val="auto"/>
        </w:rPr>
      </w:pPr>
    </w:p>
    <w:p>
      <w:pPr>
        <w:ind w:left="160" w:right="359" w:firstLine="648"/>
        <w:spacing w:after="0" w:line="242" w:lineRule="auto"/>
        <w:rPr>
          <w:sz w:val="20"/>
          <w:szCs w:val="20"/>
          <w:color w:val="auto"/>
        </w:rPr>
      </w:pPr>
      <w:r>
        <w:rPr>
          <w:rFonts w:ascii="Arial" w:cs="Arial" w:eastAsia="Arial" w:hAnsi="Arial"/>
          <w:sz w:val="19"/>
          <w:szCs w:val="19"/>
          <w:i w:val="1"/>
          <w:iCs w:val="1"/>
          <w:color w:val="auto"/>
        </w:rPr>
        <w:t>Consideration of Effects on Other Constituents</w:t>
      </w:r>
      <w:r>
        <w:rPr>
          <w:rFonts w:ascii="Arial" w:cs="Arial" w:eastAsia="Arial" w:hAnsi="Arial"/>
          <w:sz w:val="19"/>
          <w:szCs w:val="19"/>
          <w:color w:val="auto"/>
        </w:rPr>
        <w:t>. Section 414-221 of the HBCA also provides that a</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 in discharging his or her duties, may consider, in the director’s discretion: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456565</wp:posOffset>
            </wp:positionV>
            <wp:extent cx="554863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8" w:name="page89"/>
    <w:bookmarkEnd w:id="88"/>
    <w:p>
      <w:pPr>
        <w:ind w:left="1120" w:hanging="321"/>
        <w:spacing w:after="0"/>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interests of the corporation’s employees, customers, suppliers, and creditors;</w:t>
      </w:r>
    </w:p>
    <w:p>
      <w:pPr>
        <w:ind w:left="1120" w:hanging="321"/>
        <w:spacing w:after="0" w:line="197" w:lineRule="auto"/>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economy of the State of Hawaii and the United States;</w:t>
      </w:r>
    </w:p>
    <w:p>
      <w:pPr>
        <w:ind w:left="1120" w:right="439" w:hanging="321"/>
        <w:spacing w:after="0" w:line="219" w:lineRule="auto"/>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community and societal considerations, including, without limitation, the impact of any action upon the communities in or near which the corporation has offices or operations; and</w:t>
      </w:r>
    </w:p>
    <w:p>
      <w:pPr>
        <w:ind w:left="1120" w:right="439" w:hanging="321"/>
        <w:spacing w:after="0" w:line="213" w:lineRule="auto"/>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long-term as well as short-term interests of the corporation and its shareholders, including, without limitation, the possibility that these interests may be best served by the continued independence of the corporation.</w:t>
      </w:r>
    </w:p>
    <w:p>
      <w:pPr>
        <w:spacing w:after="0" w:line="128" w:lineRule="exact"/>
        <w:rPr>
          <w:sz w:val="20"/>
          <w:szCs w:val="20"/>
          <w:color w:val="auto"/>
        </w:rPr>
      </w:pPr>
    </w:p>
    <w:p>
      <w:pPr>
        <w:ind w:left="160" w:right="199" w:firstLine="648"/>
        <w:spacing w:after="0" w:line="226" w:lineRule="auto"/>
        <w:rPr>
          <w:sz w:val="20"/>
          <w:szCs w:val="20"/>
          <w:color w:val="auto"/>
        </w:rPr>
      </w:pPr>
      <w:r>
        <w:rPr>
          <w:rFonts w:ascii="Arial" w:cs="Arial" w:eastAsia="Arial" w:hAnsi="Arial"/>
          <w:sz w:val="18"/>
          <w:szCs w:val="18"/>
          <w:i w:val="1"/>
          <w:iCs w:val="1"/>
          <w:color w:val="auto"/>
        </w:rPr>
        <w:t xml:space="preserve">Corporate Take-Overs. </w:t>
      </w:r>
      <w:r>
        <w:rPr>
          <w:rFonts w:ascii="Arial" w:cs="Arial" w:eastAsia="Arial" w:hAnsi="Arial"/>
          <w:sz w:val="18"/>
          <w:szCs w:val="18"/>
          <w:color w:val="auto"/>
        </w:rPr>
        <w:t>Chapter 417E of the HRS, the Hawaii Corporate Take-Overs Act (the</w:t>
      </w:r>
      <w:r>
        <w:rPr>
          <w:rFonts w:ascii="Arial" w:cs="Arial" w:eastAsia="Arial" w:hAnsi="Arial"/>
          <w:sz w:val="18"/>
          <w:szCs w:val="18"/>
          <w:i w:val="1"/>
          <w:iCs w:val="1"/>
          <w:color w:val="auto"/>
        </w:rPr>
        <w:t xml:space="preserve"> </w:t>
      </w:r>
      <w:r>
        <w:rPr>
          <w:rFonts w:ascii="Arial" w:cs="Arial" w:eastAsia="Arial" w:hAnsi="Arial"/>
          <w:sz w:val="18"/>
          <w:szCs w:val="18"/>
          <w:color w:val="auto"/>
        </w:rPr>
        <w:t>“HCTA”), generally applies to take-over offers made to residents of the State of Hawaii. Under the HCTA, no offeror may acquire from any Hawaii resident equity securities of a target company at any time within two years following the last purchase of securities pursuant to a take-over offer with respect to the same class of securities, including but not limited to acquisitions made by purchase, exchange, merger, consolidation, partial or complete liquidation, redemption, reverse stock split, recapitalization, reorganization, or any other similar transaction, unless the holders of the equity securities are afforded, at the time of the acquisition, a reasonable opportunity to dispose of the securities to the offeror upon substantially equivalent terms as those provided in the earlier take-over offer. The HCTA requires that any person making a covered take-over offer file a registration statement with the Hawaii Commissioner of Securities.</w:t>
      </w:r>
    </w:p>
    <w:p>
      <w:pPr>
        <w:spacing w:after="0" w:line="131" w:lineRule="exact"/>
        <w:rPr>
          <w:sz w:val="20"/>
          <w:szCs w:val="20"/>
          <w:color w:val="auto"/>
        </w:rPr>
      </w:pPr>
    </w:p>
    <w:p>
      <w:pPr>
        <w:ind w:left="160" w:right="279" w:firstLine="648"/>
        <w:spacing w:after="0" w:line="221" w:lineRule="auto"/>
        <w:rPr>
          <w:sz w:val="20"/>
          <w:szCs w:val="20"/>
          <w:color w:val="auto"/>
        </w:rPr>
      </w:pPr>
      <w:r>
        <w:rPr>
          <w:rFonts w:ascii="Arial" w:cs="Arial" w:eastAsia="Arial" w:hAnsi="Arial"/>
          <w:sz w:val="19"/>
          <w:szCs w:val="19"/>
          <w:color w:val="auto"/>
        </w:rPr>
        <w:t>A “take-over offer” is an offer to acquire any equity securities of a target company from a Hawaii resident pursuant to a tender offer or request or invitation for tenders, if after such proposed acquisition the offeror would become the beneficial owner of more than 10% of any class of equity securities of a target company, or where an offeror that already owns more than 10% of any class of equity securities of the target company would increase its beneficial ownership by more than 5%.</w:t>
      </w:r>
    </w:p>
    <w:p>
      <w:pPr>
        <w:spacing w:after="0" w:line="128" w:lineRule="exact"/>
        <w:rPr>
          <w:sz w:val="20"/>
          <w:szCs w:val="20"/>
          <w:color w:val="auto"/>
        </w:rPr>
      </w:pPr>
    </w:p>
    <w:p>
      <w:pPr>
        <w:ind w:left="160" w:right="199" w:firstLine="648"/>
        <w:spacing w:after="0" w:line="218" w:lineRule="auto"/>
        <w:rPr>
          <w:sz w:val="20"/>
          <w:szCs w:val="20"/>
          <w:color w:val="auto"/>
        </w:rPr>
      </w:pPr>
      <w:r>
        <w:rPr>
          <w:rFonts w:ascii="Arial" w:cs="Arial" w:eastAsia="Arial" w:hAnsi="Arial"/>
          <w:sz w:val="20"/>
          <w:szCs w:val="20"/>
          <w:color w:val="auto"/>
        </w:rPr>
        <w:t>A “target company” is an issuer of publicly traded equity securities that is organized under the laws of Hawaii or has at least 20% of its equity securities beneficially held by Hawaii residents and has substantial assets in Hawaii.</w:t>
      </w:r>
    </w:p>
    <w:p>
      <w:pPr>
        <w:spacing w:after="0" w:line="130" w:lineRule="exact"/>
        <w:rPr>
          <w:sz w:val="20"/>
          <w:szCs w:val="20"/>
          <w:color w:val="auto"/>
        </w:rPr>
      </w:pPr>
    </w:p>
    <w:p>
      <w:pPr>
        <w:jc w:val="both"/>
        <w:ind w:left="160" w:right="399" w:firstLine="648"/>
        <w:spacing w:after="0" w:line="224" w:lineRule="auto"/>
        <w:rPr>
          <w:sz w:val="20"/>
          <w:szCs w:val="20"/>
          <w:color w:val="auto"/>
        </w:rPr>
      </w:pPr>
      <w:r>
        <w:rPr>
          <w:rFonts w:ascii="Arial" w:cs="Arial" w:eastAsia="Arial" w:hAnsi="Arial"/>
          <w:sz w:val="19"/>
          <w:szCs w:val="19"/>
          <w:color w:val="auto"/>
        </w:rPr>
        <w:t>The HCTA does not apply if the offer has been approved in writing by the board of directors of the target company, if the offeror is the issuer of the securities, if the offeror does not acquire more than 2% of any class of equity securities of the issuer during the preceding 12 month period, or if the offer involves an exchange of securities that is registered under (or exempt from) the HCTA.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456565</wp:posOffset>
            </wp:positionV>
            <wp:extent cx="554863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89" w:name="page90"/>
    <w:bookmarkEnd w:id="89"/>
    <w:p>
      <w:pPr>
        <w:ind w:left="7860"/>
        <w:spacing w:after="0"/>
        <w:rPr>
          <w:sz w:val="20"/>
          <w:szCs w:val="20"/>
          <w:color w:val="auto"/>
        </w:rPr>
      </w:pPr>
      <w:r>
        <w:rPr>
          <w:rFonts w:ascii="Arial" w:cs="Arial" w:eastAsia="Arial" w:hAnsi="Arial"/>
          <w:sz w:val="16"/>
          <w:szCs w:val="16"/>
          <w:b w:val="1"/>
          <w:bCs w:val="1"/>
          <w:color w:val="auto"/>
        </w:rPr>
        <w:t>Exhibit 10.30</w:t>
      </w:r>
    </w:p>
    <w:p>
      <w:pPr>
        <w:spacing w:after="0" w:line="200" w:lineRule="exact"/>
        <w:rPr>
          <w:sz w:val="20"/>
          <w:szCs w:val="20"/>
          <w:color w:val="auto"/>
        </w:rPr>
      </w:pPr>
    </w:p>
    <w:p>
      <w:pPr>
        <w:spacing w:after="0" w:line="27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b w:val="1"/>
                <w:bCs w:val="1"/>
                <w:color w:val="auto"/>
                <w:w w:val="92"/>
              </w:rPr>
              <w:t>Letter Agreement Counter Parties</w:t>
            </w: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060" w:type="dxa"/>
            <w:vAlign w:val="bottom"/>
            <w:gridSpan w:val="2"/>
          </w:tcPr>
          <w:p>
            <w:pPr>
              <w:ind w:left="1260"/>
              <w:spacing w:after="0"/>
              <w:rPr>
                <w:sz w:val="20"/>
                <w:szCs w:val="20"/>
                <w:color w:val="auto"/>
              </w:rPr>
            </w:pPr>
            <w:r>
              <w:rPr>
                <w:rFonts w:ascii="Arial" w:cs="Arial" w:eastAsia="Arial" w:hAnsi="Arial"/>
                <w:sz w:val="18"/>
                <w:szCs w:val="18"/>
                <w:b w:val="1"/>
                <w:bCs w:val="1"/>
                <w:color w:val="auto"/>
              </w:rPr>
              <w:t>Title</w:t>
            </w:r>
          </w:p>
        </w:tc>
        <w:tc>
          <w:tcPr>
            <w:tcW w:w="2980" w:type="dxa"/>
            <w:vAlign w:val="bottom"/>
          </w:tcPr>
          <w:p>
            <w:pPr>
              <w:ind w:left="1040"/>
              <w:spacing w:after="0"/>
              <w:rPr>
                <w:sz w:val="20"/>
                <w:szCs w:val="20"/>
                <w:color w:val="auto"/>
              </w:rPr>
            </w:pPr>
            <w:r>
              <w:rPr>
                <w:rFonts w:ascii="Arial" w:cs="Arial" w:eastAsia="Arial" w:hAnsi="Arial"/>
                <w:sz w:val="18"/>
                <w:szCs w:val="18"/>
                <w:b w:val="1"/>
                <w:bCs w:val="1"/>
                <w:color w:val="auto"/>
              </w:rPr>
              <w:t>Date Signed</w:t>
            </w:r>
          </w:p>
        </w:tc>
        <w:tc>
          <w:tcPr>
            <w:tcW w:w="20" w:type="dxa"/>
            <w:vAlign w:val="bottom"/>
          </w:tcPr>
          <w:p>
            <w:pPr>
              <w:spacing w:after="0"/>
              <w:rPr>
                <w:sz w:val="24"/>
                <w:szCs w:val="24"/>
                <w:color w:val="auto"/>
              </w:rPr>
            </w:pPr>
          </w:p>
        </w:tc>
      </w:tr>
      <w:tr>
        <w:trPr>
          <w:trHeight w:val="169"/>
        </w:trPr>
        <w:tc>
          <w:tcPr>
            <w:tcW w:w="24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Heilmann, P.</w:t>
            </w:r>
          </w:p>
        </w:tc>
        <w:tc>
          <w:tcPr>
            <w:tcW w:w="26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SVP, Chief Legal Officer</w:t>
            </w:r>
          </w:p>
        </w:tc>
        <w:tc>
          <w:tcPr>
            <w:tcW w:w="220" w:type="dxa"/>
            <w:vAlign w:val="bottom"/>
            <w:tcBorders>
              <w:top w:val="single" w:sz="8" w:color="CCEEFF"/>
            </w:tcBorders>
            <w:shd w:val="clear" w:color="auto" w:fill="CCEEFF"/>
          </w:tcPr>
          <w:p>
            <w:pPr>
              <w:spacing w:after="0"/>
              <w:rPr>
                <w:sz w:val="14"/>
                <w:szCs w:val="14"/>
                <w:color w:val="auto"/>
              </w:rPr>
            </w:pPr>
          </w:p>
        </w:tc>
        <w:tc>
          <w:tcPr>
            <w:tcW w:w="29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October 23, 2014</w:t>
            </w:r>
          </w:p>
        </w:tc>
        <w:tc>
          <w:tcPr>
            <w:tcW w:w="20" w:type="dxa"/>
            <w:vAlign w:val="bottom"/>
          </w:tcPr>
          <w:p>
            <w:pPr>
              <w:spacing w:after="0"/>
              <w:rPr>
                <w:sz w:val="14"/>
                <w:szCs w:val="14"/>
                <w:color w:val="auto"/>
              </w:rPr>
            </w:pPr>
          </w:p>
        </w:tc>
      </w:tr>
      <w:tr>
        <w:trPr>
          <w:trHeight w:val="176"/>
        </w:trPr>
        <w:tc>
          <w:tcPr>
            <w:tcW w:w="2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Lauer, J.</w:t>
            </w:r>
          </w:p>
        </w:tc>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SVP, Ocean Services</w:t>
            </w:r>
          </w:p>
        </w:tc>
        <w:tc>
          <w:tcPr>
            <w:tcW w:w="2980" w:type="dxa"/>
            <w:vAlign w:val="bottom"/>
          </w:tcPr>
          <w:p>
            <w:pPr>
              <w:ind w:left="20"/>
              <w:spacing w:after="0" w:line="176" w:lineRule="exact"/>
              <w:rPr>
                <w:sz w:val="20"/>
                <w:szCs w:val="20"/>
                <w:color w:val="auto"/>
              </w:rPr>
            </w:pPr>
            <w:r>
              <w:rPr>
                <w:rFonts w:ascii="Arial" w:cs="Arial" w:eastAsia="Arial" w:hAnsi="Arial"/>
                <w:sz w:val="18"/>
                <w:szCs w:val="18"/>
                <w:color w:val="auto"/>
              </w:rPr>
              <w:t>April 6, 2015</w:t>
            </w:r>
          </w:p>
        </w:tc>
        <w:tc>
          <w:tcPr>
            <w:tcW w:w="20" w:type="dxa"/>
            <w:vAlign w:val="bottom"/>
          </w:tcPr>
          <w:p>
            <w:pPr>
              <w:spacing w:after="0"/>
              <w:rPr>
                <w:sz w:val="15"/>
                <w:szCs w:val="15"/>
                <w:color w:val="auto"/>
              </w:rPr>
            </w:pPr>
          </w:p>
        </w:tc>
      </w:tr>
      <w:tr>
        <w:trPr>
          <w:trHeight w:val="176"/>
        </w:trPr>
        <w:tc>
          <w:tcPr>
            <w:tcW w:w="2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Stuck, K.</w:t>
            </w:r>
          </w:p>
        </w:tc>
        <w:tc>
          <w:tcPr>
            <w:tcW w:w="3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Vice President and Controller</w:t>
            </w:r>
          </w:p>
        </w:tc>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May 11, 2018</w:t>
            </w:r>
          </w:p>
        </w:tc>
        <w:tc>
          <w:tcPr>
            <w:tcW w:w="20" w:type="dxa"/>
            <w:vAlign w:val="bottom"/>
          </w:tcPr>
          <w:p>
            <w:pPr>
              <w:spacing w:after="0"/>
              <w:rPr>
                <w:sz w:val="15"/>
                <w:szCs w:val="15"/>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Dreyfus, B.</w:t>
            </w:r>
          </w:p>
        </w:tc>
        <w:tc>
          <w:tcPr>
            <w:tcW w:w="3060" w:type="dxa"/>
            <w:vAlign w:val="bottom"/>
            <w:gridSpan w:val="2"/>
          </w:tcPr>
          <w:p>
            <w:pPr>
              <w:spacing w:after="0"/>
              <w:rPr>
                <w:sz w:val="20"/>
                <w:szCs w:val="20"/>
                <w:color w:val="auto"/>
              </w:rPr>
            </w:pPr>
            <w:r>
              <w:rPr>
                <w:rFonts w:ascii="Arial" w:cs="Arial" w:eastAsia="Arial" w:hAnsi="Arial"/>
                <w:sz w:val="18"/>
                <w:szCs w:val="18"/>
                <w:color w:val="auto"/>
              </w:rPr>
              <w:t>SVP, Alaska</w:t>
            </w:r>
          </w:p>
        </w:tc>
        <w:tc>
          <w:tcPr>
            <w:tcW w:w="29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20" w:type="dxa"/>
            <w:vAlign w:val="bottom"/>
          </w:tcPr>
          <w:p>
            <w:pPr>
              <w:spacing w:after="0"/>
              <w:rPr>
                <w:sz w:val="20"/>
                <w:szCs w:val="20"/>
                <w:color w:val="auto"/>
              </w:rPr>
            </w:pPr>
          </w:p>
        </w:tc>
      </w:tr>
      <w:tr>
        <w:trPr>
          <w:trHeight w:val="871"/>
        </w:trPr>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0" w:type="dxa"/>
            <w:vAlign w:val="bottom"/>
            <w:gridSpan w:val="2"/>
          </w:tcPr>
          <w:p>
            <w:pPr>
              <w:ind w:left="140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MATSON, INC.</w:t>
            </w: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660" w:type="dxa"/>
            <w:vAlign w:val="bottom"/>
            <w:gridSpan w:val="3"/>
          </w:tcPr>
          <w:p>
            <w:pPr>
              <w:jc w:val="center"/>
              <w:ind w:left="2270"/>
              <w:spacing w:after="0"/>
              <w:rPr>
                <w:sz w:val="20"/>
                <w:szCs w:val="20"/>
                <w:color w:val="auto"/>
              </w:rPr>
            </w:pPr>
            <w:r>
              <w:rPr>
                <w:rFonts w:ascii="Arial" w:cs="Arial" w:eastAsia="Arial" w:hAnsi="Arial"/>
                <w:sz w:val="18"/>
                <w:szCs w:val="18"/>
                <w:b w:val="1"/>
                <w:bCs w:val="1"/>
                <w:color w:val="auto"/>
                <w:w w:val="89"/>
              </w:rPr>
              <w:t>Subsidiaries as of February 19, 2020</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ABHI-Crockett, Inc.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spacing w:after="0" w:line="189" w:lineRule="exact"/>
              <w:rPr>
                <w:sz w:val="20"/>
                <w:szCs w:val="20"/>
                <w:color w:val="auto"/>
              </w:rPr>
            </w:pPr>
            <w:r>
              <w:rPr>
                <w:rFonts w:ascii="Arial" w:cs="Arial" w:eastAsia="Arial" w:hAnsi="Arial"/>
                <w:sz w:val="18"/>
                <w:szCs w:val="18"/>
                <w:color w:val="auto"/>
              </w:rPr>
              <w:t>Matson Navigation Company,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6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Alaska,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Horizon Lines Holding Corp.</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94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Lines of Puerto Rico,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HLPR Holding Corp.</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Logistics,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60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Horizon Services Group,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Aero Logistics,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Lines,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60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Horizon Lines of Guam,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Horizon Lines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H-L Distribution Service,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Matson Navigation Company of Alaska,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242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2580"/>
              <w:spacing w:after="0" w:line="189" w:lineRule="exact"/>
              <w:rPr>
                <w:sz w:val="20"/>
                <w:szCs w:val="20"/>
                <w:color w:val="auto"/>
              </w:rPr>
            </w:pPr>
            <w:r>
              <w:rPr>
                <w:rFonts w:ascii="Arial" w:cs="Arial" w:eastAsia="Arial" w:hAnsi="Arial"/>
                <w:sz w:val="18"/>
                <w:szCs w:val="18"/>
                <w:color w:val="auto"/>
              </w:rPr>
              <w:t>Horizon Lines Merchant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06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jc w:val="center"/>
              <w:ind w:left="2270"/>
              <w:spacing w:after="0" w:line="189" w:lineRule="exact"/>
              <w:rPr>
                <w:sz w:val="20"/>
                <w:szCs w:val="20"/>
                <w:color w:val="auto"/>
              </w:rPr>
            </w:pPr>
            <w:r>
              <w:rPr>
                <w:rFonts w:ascii="Arial" w:cs="Arial" w:eastAsia="Arial" w:hAnsi="Arial"/>
                <w:sz w:val="18"/>
                <w:szCs w:val="18"/>
                <w:color w:val="auto"/>
                <w:w w:val="92"/>
              </w:rPr>
              <w:t>Horizon Lines Alaska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220"/>
              <w:spacing w:after="0" w:line="189" w:lineRule="exact"/>
              <w:rPr>
                <w:sz w:val="20"/>
                <w:szCs w:val="20"/>
                <w:color w:val="auto"/>
              </w:rPr>
            </w:pPr>
            <w:r>
              <w:rPr>
                <w:rFonts w:ascii="Arial" w:cs="Arial" w:eastAsia="Arial" w:hAnsi="Arial"/>
                <w:sz w:val="18"/>
                <w:szCs w:val="18"/>
                <w:color w:val="auto"/>
              </w:rPr>
              <w:t>Horizon Lines Alaska Terminals,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Logistics, Inc.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52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Matson Logistics Services,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Matson Logistics Warehousing,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Span Intermediate,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940"/>
              <w:spacing w:after="0" w:line="189" w:lineRule="exact"/>
              <w:rPr>
                <w:sz w:val="20"/>
                <w:szCs w:val="20"/>
                <w:color w:val="auto"/>
              </w:rPr>
            </w:pPr>
            <w:r>
              <w:rPr>
                <w:rFonts w:ascii="Arial" w:cs="Arial" w:eastAsia="Arial" w:hAnsi="Arial"/>
                <w:sz w:val="18"/>
                <w:szCs w:val="18"/>
                <w:color w:val="auto"/>
              </w:rPr>
              <w:t>Subsidiary:</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Span Acquisition Co.,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60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Span-Alaska Transportation,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Alaska Freight Express,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Midnight Sun Transportation Services,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Alaska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Logistics Limited</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Navigation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Terminals,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Ventures, Inc.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Logistics (Shanghai) Co., Ltd.</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Shipping (Hong Kong)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Shipping (Shanghai) Co., Ltd.</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South Pacific Holdco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520"/>
              <w:spacing w:after="0" w:line="189" w:lineRule="exact"/>
              <w:rPr>
                <w:sz w:val="20"/>
                <w:szCs w:val="20"/>
                <w:color w:val="auto"/>
              </w:rPr>
            </w:pPr>
            <w:r>
              <w:rPr>
                <w:rFonts w:ascii="Arial" w:cs="Arial" w:eastAsia="Arial" w:hAnsi="Arial"/>
                <w:sz w:val="18"/>
                <w:szCs w:val="18"/>
                <w:color w:val="auto"/>
              </w:rPr>
              <w:t>Subsidiary:</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Matson South Pacific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88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Matson Cook Islands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Cook Islands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3"/>
          </w:tcPr>
          <w:p>
            <w:pPr>
              <w:ind w:left="1280"/>
              <w:spacing w:after="0"/>
              <w:rPr>
                <w:sz w:val="20"/>
                <w:szCs w:val="20"/>
                <w:color w:val="auto"/>
              </w:rPr>
            </w:pPr>
            <w:r>
              <w:rPr>
                <w:rFonts w:ascii="Arial" w:cs="Arial" w:eastAsia="Arial" w:hAnsi="Arial"/>
                <w:sz w:val="18"/>
                <w:szCs w:val="18"/>
                <w:color w:val="auto"/>
              </w:rPr>
              <w:t>Tranz Pacific Ship Management Limited</w:t>
            </w:r>
          </w:p>
        </w:tc>
        <w:tc>
          <w:tcPr>
            <w:tcW w:w="2380" w:type="dxa"/>
            <w:vAlign w:val="bottom"/>
          </w:tcPr>
          <w:p>
            <w:pPr>
              <w:ind w:left="680"/>
              <w:spacing w:after="0"/>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We consent to the incorporation by reference in Registration Statement Nos. 333-212194; 333-184623; 333-121194, as amended by Post-Effective Amendment No. 1 filed on April 26, 2007 and as further amended by Post-Effective Amendment No. 2 filed on June 7, 2012; 333-166539, as amended by Post-Effective Amendment No. 1 filed on June 7, 2012; 333-142384, as amended by Post-Effective Amendment No. 1 filed on June 7, 2012; and 333-69197, as amended by Post-Effective Amendment No. 1 filed on June 7, 2012 on Form S-8 of our report dated February 28, 2020, relating to the consolidated financial statements of Matson, Inc. and subsidiaries and the effectiveness of Matson, Inc. and subsidiaries’ internal control over financial reporting, appearing in this Annual Report on Form 10-K of Matson, Inc. for the year ended December 31,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8816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640" w:hanging="637"/>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16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173"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right="80" w:firstLine="651"/>
        <w:spacing w:after="0" w:line="224" w:lineRule="auto"/>
        <w:tabs>
          <w:tab w:leader="none" w:pos="1163"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651"/>
        <w:spacing w:after="0" w:line="259" w:lineRule="auto"/>
        <w:tabs>
          <w:tab w:leader="none" w:pos="1173"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320" w:firstLine="651"/>
        <w:spacing w:after="0" w:line="235" w:lineRule="auto"/>
        <w:tabs>
          <w:tab w:leader="none" w:pos="116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-635</wp:posOffset>
            </wp:positionV>
            <wp:extent cx="26841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Matthew J. Cox, Chairman and</w:t>
      </w:r>
    </w:p>
    <w:p>
      <w:pPr>
        <w:ind w:left="4840"/>
        <w:spacing w:after="0" w:line="204" w:lineRule="auto"/>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Date: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640" w:hanging="637"/>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2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218"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40" w:firstLine="651"/>
        <w:spacing w:after="0" w:line="224" w:lineRule="auto"/>
        <w:tabs>
          <w:tab w:leader="none" w:pos="12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right="100" w:firstLine="651"/>
        <w:spacing w:after="0" w:line="259" w:lineRule="auto"/>
        <w:tabs>
          <w:tab w:leader="none" w:pos="1218"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260" w:firstLine="651"/>
        <w:spacing w:after="0" w:line="235" w:lineRule="auto"/>
        <w:tabs>
          <w:tab w:leader="none" w:pos="12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wp:posOffset>
            </wp:positionV>
            <wp:extent cx="26327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Joel M. Wine, Senior Vice President</w:t>
      </w:r>
    </w:p>
    <w:p>
      <w:pPr>
        <w:ind w:left="4920"/>
        <w:spacing w:after="0" w:line="204" w:lineRule="auto"/>
        <w:rPr>
          <w:sz w:val="20"/>
          <w:szCs w:val="20"/>
          <w:color w:val="auto"/>
        </w:rPr>
      </w:pPr>
      <w:r>
        <w:rPr>
          <w:rFonts w:ascii="Arial" w:cs="Arial" w:eastAsia="Arial" w:hAnsi="Arial"/>
          <w:sz w:val="18"/>
          <w:szCs w:val="18"/>
          <w:color w:val="auto"/>
        </w:rPr>
        <w:t>and Chief Financial Officer</w:t>
      </w:r>
    </w:p>
    <w:p>
      <w:pPr>
        <w:spacing w:after="0"/>
        <w:rPr>
          <w:sz w:val="20"/>
          <w:szCs w:val="20"/>
          <w:color w:val="auto"/>
        </w:rPr>
      </w:pPr>
      <w:r>
        <w:rPr>
          <w:rFonts w:ascii="Arial" w:cs="Arial" w:eastAsia="Arial" w:hAnsi="Arial"/>
          <w:sz w:val="18"/>
          <w:szCs w:val="18"/>
          <w:color w:val="auto"/>
        </w:rPr>
        <w:t>Date: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jc w:val="center"/>
        <w:spacing w:after="0" w:line="203" w:lineRule="auto"/>
        <w:rPr>
          <w:sz w:val="20"/>
          <w:szCs w:val="20"/>
          <w:color w:val="auto"/>
        </w:rPr>
      </w:pPr>
      <w:r>
        <w:rPr>
          <w:rFonts w:ascii="Arial" w:cs="Arial" w:eastAsia="Arial" w:hAnsi="Arial"/>
          <w:sz w:val="18"/>
          <w:szCs w:val="18"/>
          <w:b w:val="1"/>
          <w:bCs w:val="1"/>
          <w:color w:val="auto"/>
        </w:rPr>
        <w:t>Chief Financial Officer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2019 as filed with the Securities and Exchange Commission on the date hereof (the “Report”), Matthew J. Cox, as Chairman and Chief Executive Officer of the Company, and Joel M. Wine, as Senior Vice President and Chief Financial Officer of the Company, hereby certify, pursuant to 18 U.S.C. Section 1350, as adopted pursuant to Section 906 of the Sarbanes-Oxley Act of 2002, that to their knowledge:</w:t>
      </w:r>
    </w:p>
    <w:p>
      <w:pPr>
        <w:spacing w:after="0" w:line="122" w:lineRule="exact"/>
        <w:rPr>
          <w:sz w:val="20"/>
          <w:szCs w:val="20"/>
          <w:color w:val="auto"/>
        </w:rPr>
      </w:pPr>
    </w:p>
    <w:p>
      <w:pPr>
        <w:ind w:left="1320" w:hanging="669"/>
        <w:spacing w:after="0"/>
        <w:tabs>
          <w:tab w:leader="none" w:pos="1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1934; and</w:t>
      </w:r>
    </w:p>
    <w:p>
      <w:pPr>
        <w:spacing w:after="0" w:line="128" w:lineRule="exact"/>
        <w:rPr>
          <w:rFonts w:ascii="Arial" w:cs="Arial" w:eastAsia="Arial" w:hAnsi="Arial"/>
          <w:sz w:val="16"/>
          <w:szCs w:val="16"/>
          <w:color w:val="auto"/>
        </w:rPr>
      </w:pPr>
    </w:p>
    <w:p>
      <w:pPr>
        <w:ind w:right="40" w:firstLine="651"/>
        <w:spacing w:after="0" w:line="235" w:lineRule="auto"/>
        <w:tabs>
          <w:tab w:leader="none" w:pos="13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28,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upperLetter"/>
      <w:start w:val="1"/>
    </w:lvl>
  </w:abstractNum>
  <w:abstractNum w:abstractNumId="3">
    <w:nsid w:val="2CD89A32"/>
    <w:multiLevelType w:val="hybridMultilevel"/>
    <w:lvl w:ilvl="0">
      <w:lvlJc w:val="left"/>
      <w:lvlText w:val=" "/>
      <w:numFmt w:val="bullet"/>
      <w:start w:val="1"/>
    </w:lvl>
  </w:abstractNum>
  <w:abstractNum w:abstractNumId="4">
    <w:nsid w:val="57E4CCAF"/>
    <w:multiLevelType w:val="hybridMultilevel"/>
    <w:lvl w:ilvl="0">
      <w:lvlJc w:val="left"/>
      <w:lvlText w:val="%1."/>
      <w:numFmt w:val="upperLetter"/>
      <w:start w:val="2"/>
    </w:lvl>
    <w:lvl w:ilvl="1">
      <w:lvlJc w:val="left"/>
      <w:lvlText w:val="(%2)"/>
      <w:numFmt w:val="decimal"/>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2"/>
    </w:lvl>
  </w:abstractNum>
  <w:abstractNum w:abstractNumId="7">
    <w:nsid w:val="542289EC"/>
    <w:multiLevelType w:val="hybridMultilevel"/>
    <w:lvl w:ilvl="0">
      <w:lvlJc w:val="left"/>
      <w:lvlText w:val="%1."/>
      <w:numFmt w:val="upperLetter"/>
      <w:start w:val="3"/>
    </w:lvl>
  </w:abstractNum>
  <w:abstractNum w:abstractNumId="8">
    <w:nsid w:val="6DE91B18"/>
    <w:multiLevelType w:val="hybridMultilevel"/>
    <w:lvl w:ilvl="0">
      <w:lvlJc w:val="left"/>
      <w:lvlText w:val="%1."/>
      <w:numFmt w:val="upperLetter"/>
      <w:start w:val="4"/>
    </w:lvl>
  </w:abstractNum>
  <w:abstractNum w:abstractNumId="9">
    <w:nsid w:val="38437FDB"/>
    <w:multiLevelType w:val="hybridMultilevel"/>
    <w:lvl w:ilvl="0">
      <w:lvlJc w:val="left"/>
      <w:lvlText w:val="(%1)"/>
      <w:numFmt w:val="lowerLetter"/>
      <w:start w:val="2"/>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 "/>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2"/>
    </w:lvl>
  </w:abstractNum>
  <w:abstractNum w:abstractNumId="21">
    <w:nsid w:val="520EEDD1"/>
    <w:multiLevelType w:val="hybridMultilevel"/>
    <w:lvl w:ilvl="0">
      <w:lvlJc w:val="left"/>
      <w:lvlText w:val="(%1)"/>
      <w:numFmt w:val="decimal"/>
      <w:start w:val="3"/>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2"/>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
      <w:numFmt w:val="bullet"/>
      <w:start w:val="1"/>
    </w:lvl>
  </w:abstractNum>
  <w:abstractNum w:abstractNumId="30">
    <w:nsid w:val="235BA861"/>
    <w:multiLevelType w:val="hybridMultilevel"/>
    <w:lvl w:ilvl="0">
      <w:lvlJc w:val="left"/>
      <w:lvlText w:val=" "/>
      <w:numFmt w:val="bullet"/>
      <w:start w:val="1"/>
    </w:lvl>
    <w:lvl w:ilvl="1">
      <w:lvlJc w:val="left"/>
      <w:lvlText w:val="(%2)"/>
      <w:numFmt w:val="decimal"/>
      <w:start w:val="1"/>
    </w:lvl>
  </w:abstractNum>
  <w:abstractNum w:abstractNumId="31">
    <w:nsid w:val="47398C89"/>
    <w:multiLevelType w:val="hybridMultilevel"/>
    <w:lvl w:ilvl="0">
      <w:lvlJc w:val="left"/>
      <w:lvlText w:val="%1."/>
      <w:numFmt w:val="decimal"/>
      <w:start w:val="3"/>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4"/>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decimal"/>
      <w:start w:val="5"/>
    </w:lvl>
  </w:abstractNum>
  <w:abstractNum w:abstractNumId="39">
    <w:nsid w:val="7E0C57B1"/>
    <w:multiLevelType w:val="hybridMultilevel"/>
    <w:lvl w:ilvl="0">
      <w:lvlJc w:val="left"/>
      <w:lvlText w:val="%1."/>
      <w:numFmt w:val="decimal"/>
      <w:start w:val="7"/>
    </w:lvl>
  </w:abstractNum>
  <w:abstractNum w:abstractNumId="40">
    <w:nsid w:val="77AE35EB"/>
    <w:multiLevelType w:val="hybridMultilevel"/>
    <w:lvl w:ilvl="0">
      <w:lvlJc w:val="left"/>
      <w:lvlText w:val=" "/>
      <w:numFmt w:val="bullet"/>
      <w:start w:val="1"/>
    </w:lvl>
  </w:abstractNum>
  <w:abstractNum w:abstractNumId="41">
    <w:nsid w:val="579BE4F1"/>
    <w:multiLevelType w:val="hybridMultilevel"/>
    <w:lvl w:ilvl="0">
      <w:lvlJc w:val="left"/>
      <w:lvlText w:val=" "/>
      <w:numFmt w:val="bullet"/>
      <w:start w:val="1"/>
    </w:lvl>
  </w:abstractNum>
  <w:abstractNum w:abstractNumId="42">
    <w:nsid w:val="310C50B3"/>
    <w:multiLevelType w:val="hybridMultilevel"/>
    <w:lvl w:ilvl="0">
      <w:lvlJc w:val="left"/>
      <w:lvlText w:val="%1."/>
      <w:numFmt w:val="decimal"/>
      <w:start w:val="9"/>
    </w:lvl>
  </w:abstractNum>
  <w:abstractNum w:abstractNumId="43">
    <w:nsid w:val="5FF87E05"/>
    <w:multiLevelType w:val="hybridMultilevel"/>
    <w:lvl w:ilvl="0">
      <w:lvlJc w:val="left"/>
      <w:lvlText w:val=" "/>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0"/>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12"/>
    </w:lvl>
  </w:abstractNum>
  <w:abstractNum w:abstractNumId="57">
    <w:nsid w:val="6B94764"/>
    <w:multiLevelType w:val="hybridMultilevel"/>
    <w:lvl w:ilvl="0">
      <w:lvlJc w:val="left"/>
      <w:lvlText w:val="%1."/>
      <w:numFmt w:val="decimal"/>
      <w:start w:val="13"/>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decimal"/>
      <w:start w:val="14"/>
    </w:lvl>
  </w:abstractNum>
  <w:abstractNum w:abstractNumId="60">
    <w:nsid w:val="1EBA5D23"/>
    <w:multiLevelType w:val="hybridMultilevel"/>
    <w:lvl w:ilvl="0">
      <w:lvlJc w:val="left"/>
      <w:lvlText w:val="%1."/>
      <w:numFmt w:val="decimal"/>
      <w:start w:val="15"/>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16"/>
    </w:lvl>
  </w:abstractNum>
  <w:abstractNum w:abstractNumId="63">
    <w:nsid w:val="540A471C"/>
    <w:multiLevelType w:val="hybridMultilevel"/>
    <w:lvl w:ilvl="0">
      <w:lvlJc w:val="left"/>
      <w:lvlText w:val="%1."/>
      <w:numFmt w:val="decimal"/>
      <w:start w:val="17"/>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8"/>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upperLetter"/>
      <w:start w:val="1"/>
    </w:lvl>
  </w:abstractNum>
  <w:abstractNum w:abstractNumId="68">
    <w:nsid w:val="11447B73"/>
    <w:multiLevelType w:val="hybridMultilevel"/>
    <w:lvl w:ilvl="0">
      <w:lvlJc w:val="left"/>
      <w:lvlText w:val="%1."/>
      <w:numFmt w:val="upperLetter"/>
      <w:start w:val="2"/>
    </w:lvl>
  </w:abstractNum>
  <w:abstractNum w:abstractNumId="69">
    <w:nsid w:val="42963E5A"/>
    <w:multiLevelType w:val="hybridMultilevel"/>
    <w:lvl w:ilvl="0">
      <w:lvlJc w:val="left"/>
      <w:lvlText w:val="%1."/>
      <w:numFmt w:val="upperLetter"/>
      <w:start w:val="3"/>
    </w:lvl>
  </w:abstractNum>
  <w:abstractNum w:abstractNumId="70">
    <w:nsid w:val="A0382C5"/>
    <w:multiLevelType w:val="hybridMultilevel"/>
    <w:lvl w:ilvl="0">
      <w:lvlJc w:val="left"/>
      <w:lvlText w:val="%1."/>
      <w:numFmt w:val="upperLetter"/>
      <w:start w:val="4"/>
    </w:lvl>
  </w:abstractNum>
  <w:abstractNum w:abstractNumId="71">
    <w:nsid w:val="8F2B15E"/>
    <w:multiLevelType w:val="hybridMultilevel"/>
    <w:lvl w:ilvl="0">
      <w:lvlJc w:val="left"/>
      <w:lvlText w:val="%1."/>
      <w:numFmt w:val="upperLetter"/>
      <w:start w:val="1"/>
    </w:lvl>
  </w:abstractNum>
  <w:abstractNum w:abstractNumId="72">
    <w:nsid w:val="1A32234B"/>
    <w:multiLevelType w:val="hybridMultilevel"/>
    <w:lvl w:ilvl="0">
      <w:lvlJc w:val="left"/>
      <w:lvlText w:val="%1."/>
      <w:numFmt w:val="upperLetter"/>
      <w:start w:val="2"/>
    </w:lvl>
  </w:abstractNum>
  <w:abstractNum w:abstractNumId="73">
    <w:nsid w:val="3B0FD379"/>
    <w:multiLevelType w:val="hybridMultilevel"/>
    <w:lvl w:ilvl="0">
      <w:lvlJc w:val="left"/>
      <w:lvlText w:val="%1."/>
      <w:numFmt w:val="upperLetter"/>
      <w:start w:val="3"/>
    </w:lvl>
  </w:abstractNum>
  <w:abstractNum w:abstractNumId="74">
    <w:nsid w:val="68EB2F63"/>
    <w:multiLevelType w:val="hybridMultilevel"/>
    <w:lvl w:ilvl="0">
      <w:lvlJc w:val="left"/>
      <w:lvlText w:val="2"/>
      <w:numFmt w:val="bullet"/>
      <w:start w:val="1"/>
    </w:lvl>
  </w:abstractNum>
  <w:abstractNum w:abstractNumId="75">
    <w:nsid w:val="4962813B"/>
    <w:multiLevelType w:val="hybridMultilevel"/>
    <w:lvl w:ilvl="0">
      <w:lvlJc w:val="left"/>
      <w:lvlText w:val="3"/>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05" Type="http://schemas.openxmlformats.org/officeDocument/2006/relationships/image" Target="media/image91.png"/><Relationship Id="rId137" Type="http://schemas.openxmlformats.org/officeDocument/2006/relationships/image" Target="media/image92.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5.png"/><Relationship Id="rId164" Type="http://schemas.openxmlformats.org/officeDocument/2006/relationships/image" Target="media/image96.png"/><Relationship Id="rId165" Type="http://schemas.openxmlformats.org/officeDocument/2006/relationships/image" Target="media/image97.png"/><Relationship Id="rId166" Type="http://schemas.openxmlformats.org/officeDocument/2006/relationships/image" Target="media/image98.png"/><Relationship Id="rId167" Type="http://schemas.openxmlformats.org/officeDocument/2006/relationships/image" Target="media/image99.png"/><Relationship Id="rId168" Type="http://schemas.openxmlformats.org/officeDocument/2006/relationships/image" Target="media/image100.png"/><Relationship Id="rId169"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172" Type="http://schemas.openxmlformats.org/officeDocument/2006/relationships/image" Target="media/image104.png"/><Relationship Id="rId173" Type="http://schemas.openxmlformats.org/officeDocument/2006/relationships/image" Target="media/image105.png"/><Relationship Id="rId174" Type="http://schemas.openxmlformats.org/officeDocument/2006/relationships/image" Target="media/image106.png"/><Relationship Id="rId175" Type="http://schemas.openxmlformats.org/officeDocument/2006/relationships/image" Target="media/image107.png"/><Relationship Id="rId176" Type="http://schemas.openxmlformats.org/officeDocument/2006/relationships/image" Target="media/image108.png"/><Relationship Id="rId177" Type="http://schemas.openxmlformats.org/officeDocument/2006/relationships/image" Target="media/image109.png"/><Relationship Id="rId178" Type="http://schemas.openxmlformats.org/officeDocument/2006/relationships/image" Target="media/image110.png"/><Relationship Id="rId41" Type="http://schemas.openxmlformats.org/officeDocument/2006/relationships/hyperlink" Target="http://www.sec.gov/Archives/edgar/data/3453/000155837019001448/matx-20181231x10k.htm" TargetMode="External"/><Relationship Id="rId99" Type="http://schemas.openxmlformats.org/officeDocument/2006/relationships/hyperlink" Target="http://www.sec.gov/Archives/edgar/data/3453/000110465914079225/a14-24264_1ex2d1.htm" TargetMode="External"/><Relationship Id="rId100" Type="http://schemas.openxmlformats.org/officeDocument/2006/relationships/hyperlink" Target="http://www.sec.gov/Archives/edgar/data/3453/000110465915011288/a15-4783_1ex2d1.htm" TargetMode="External"/><Relationship Id="rId101" Type="http://schemas.openxmlformats.org/officeDocument/2006/relationships/hyperlink" Target="http://www.sec.gov/Archives/edgar/data/1302707/000119312514411216/d820290dex22.htm" TargetMode="External"/><Relationship Id="rId102" Type="http://schemas.openxmlformats.org/officeDocument/2006/relationships/hyperlink" Target="http://www.sec.gov/Archives/edgar/data/3453/000110465915056414/a15-12015_1ex2d2.htm" TargetMode="External"/><Relationship Id="rId103" Type="http://schemas.openxmlformats.org/officeDocument/2006/relationships/hyperlink" Target="http://www.sec.gov/Archives/edgar/data/3453/000110465916133224/a16-15104_1ex2d1.htm" TargetMode="External"/><Relationship Id="rId104" Type="http://schemas.openxmlformats.org/officeDocument/2006/relationships/hyperlink" Target="http://www.sec.gov/Archives/edgar/data/3453/000110465912056234/a12-16487_1ex3d1.htm" TargetMode="External"/><Relationship Id="rId106" Type="http://schemas.openxmlformats.org/officeDocument/2006/relationships/hyperlink" Target="http://www.sec.gov/Archives/edgar/data/3453/000110465912071639/a12-24769_1ex4d2.htm" TargetMode="External"/><Relationship Id="rId107" Type="http://schemas.openxmlformats.org/officeDocument/2006/relationships/hyperlink" Target="http://www.sec.gov/Archives/edgar/data/3453/000110465913082371/a13-19562_1ex3d1.htm" TargetMode="External"/><Relationship Id="rId108" Type="http://schemas.openxmlformats.org/officeDocument/2006/relationships/hyperlink" Target="http://www.sec.gov/Archives/edgar/data/3453/000110465917043034/a17-15994_1ex10d1.htm" TargetMode="External"/><Relationship Id="rId109" Type="http://schemas.openxmlformats.org/officeDocument/2006/relationships/hyperlink" Target="http://www.sec.gov/Archives/edgar/data/3453/000110465917043034/a17-15994_1ex10d2.htm" TargetMode="External"/><Relationship Id="rId110" Type="http://schemas.openxmlformats.org/officeDocument/2006/relationships/hyperlink" Target="http://www.sec.gov/Archives/edgar/data/3453/000110465917043034/a17-15994_1ex10d3.htm" TargetMode="External"/><Relationship Id="rId111" Type="http://schemas.openxmlformats.org/officeDocument/2006/relationships/hyperlink" Target="http://www.sec.gov/Archives/edgar/data/3453/000110465917043034/a17-15994_1ex10d4.htm" TargetMode="External"/><Relationship Id="rId112" Type="http://schemas.openxmlformats.org/officeDocument/2006/relationships/hyperlink" Target="http://www.sec.gov/Archives/edgar/data/3453/000110465917043034/a17-15994_1ex10d5.htm" TargetMode="External"/><Relationship Id="rId113" Type="http://schemas.openxmlformats.org/officeDocument/2006/relationships/hyperlink" Target="http://www.sec.gov/Archives/edgar/data/3453/000110465916163397/a16-23408_1ex10d1.htm" TargetMode="External"/><Relationship Id="rId114" Type="http://schemas.openxmlformats.org/officeDocument/2006/relationships/hyperlink" Target="http://www.sec.gov/Archives/edgar/data/3453/000110465916144681/a16-18469_1ex10d1.htm" TargetMode="External"/><Relationship Id="rId115" Type="http://schemas.openxmlformats.org/officeDocument/2006/relationships/hyperlink" Target="http://www.sec.gov/Archives/edgar/data/3453/000091205715000235/a15-16650_1ex10d1.htm" TargetMode="External"/><Relationship Id="rId116" Type="http://schemas.openxmlformats.org/officeDocument/2006/relationships/hyperlink" Target="http://www.sec.gov/Archives/edgar/data/3453/000091205715000235/a15-16650_1ex10d3.htm" TargetMode="External"/><Relationship Id="rId117" Type="http://schemas.openxmlformats.org/officeDocument/2006/relationships/hyperlink" Target="http://www.sec.gov/Archives/edgar/data/3453/000110465915068909/a15-20634_1ex10d1.htm" TargetMode="External"/><Relationship Id="rId118" Type="http://schemas.openxmlformats.org/officeDocument/2006/relationships/hyperlink" Target="http://www.sec.gov/Archives/edgar/data/3453/000110465914004743/a14-4517_1ex10d1.htm" TargetMode="External"/><Relationship Id="rId119" Type="http://schemas.openxmlformats.org/officeDocument/2006/relationships/hyperlink" Target="http://www.sec.gov/Archives/edgar/data/3453/000110465912056234/a12-16487_1ex10d1.htm" TargetMode="External"/><Relationship Id="rId120" Type="http://schemas.openxmlformats.org/officeDocument/2006/relationships/hyperlink" Target="http://www.sec.gov/Archives/edgar/data/3453/000110465912056234/a12-16487_1ex10d2.htm" TargetMode="External"/><Relationship Id="rId121" Type="http://schemas.openxmlformats.org/officeDocument/2006/relationships/hyperlink" Target="http://www.sec.gov/Archives/edgar/data/3453/000000345304000034/title_xi.txt" TargetMode="External"/><Relationship Id="rId122" Type="http://schemas.openxmlformats.org/officeDocument/2006/relationships/hyperlink" Target="http://www.sec.gov/Archives/edgar/data/3453/000000345307000059/exh10.htm" TargetMode="External"/><Relationship Id="rId123" Type="http://schemas.openxmlformats.org/officeDocument/2006/relationships/hyperlink" Target="http://www.sec.gov/Archives/edgar/data/3453/000110465915014988/a14-26312_1ex10d13.htm" TargetMode="External"/><Relationship Id="rId124" Type="http://schemas.openxmlformats.org/officeDocument/2006/relationships/hyperlink" Target="http://www.sec.gov/Archives/edgar/data/3453/000110465912071639/a12-24769_1ex99d2.htm" TargetMode="External"/><Relationship Id="rId125" Type="http://schemas.openxmlformats.org/officeDocument/2006/relationships/hyperlink" Target="http://www.sec.gov/Archives/edgar/data/3453/000110465912071639/a12-24769_1ex99d3.htm" TargetMode="External"/><Relationship Id="rId126" Type="http://schemas.openxmlformats.org/officeDocument/2006/relationships/hyperlink" Target="http://www.sec.gov/Archives/edgar/data/3453/000110465912071639/a12-24769_1ex99d4.htm" TargetMode="External"/><Relationship Id="rId127" Type="http://schemas.openxmlformats.org/officeDocument/2006/relationships/hyperlink" Target="http://www.sec.gov/Archives/edgar/data/3453/000110465914014819/a13-26914_1ex10d21.htm" TargetMode="External"/><Relationship Id="rId128" Type="http://schemas.openxmlformats.org/officeDocument/2006/relationships/hyperlink" Target="http://www.sec.gov/Archives/edgar/data/3453/000110465912071639/a12-24769_1ex99d10.htm" TargetMode="External"/><Relationship Id="rId129" Type="http://schemas.openxmlformats.org/officeDocument/2006/relationships/hyperlink" Target="http://www.sec.gov/Archives/edgar/data/3453/000110465912071639/a12-24769_1ex99d11.htm" TargetMode="External"/><Relationship Id="rId130" Type="http://schemas.openxmlformats.org/officeDocument/2006/relationships/hyperlink" Target="http://www.sec.gov/Archives/edgar/data/3453/000000345312000071/exh99_4.htm" TargetMode="External"/><Relationship Id="rId131" Type="http://schemas.openxmlformats.org/officeDocument/2006/relationships/hyperlink" Target="http://www.sec.gov/Archives/edgar/data/3453/000000345312000071/exh99_6.htm" TargetMode="External"/><Relationship Id="rId132" Type="http://schemas.openxmlformats.org/officeDocument/2006/relationships/hyperlink" Target="http://www.sec.gov/Archives/edgar/data/3453/000110465913016637/a12-29099_1ex10d34.htm" TargetMode="External"/><Relationship Id="rId133" Type="http://schemas.openxmlformats.org/officeDocument/2006/relationships/hyperlink" Target="http://www.sec.gov/Archives/edgar/data/3453/000110465914063623/a14-20075_1ex10d1.htm" TargetMode="External"/><Relationship Id="rId134" Type="http://schemas.openxmlformats.org/officeDocument/2006/relationships/hyperlink" Target="http://www.sec.gov/Archives/edgar/data/3453/000110465913016637/a12-29099_1ex10d45.htm" TargetMode="External"/><Relationship Id="rId135" Type="http://schemas.openxmlformats.org/officeDocument/2006/relationships/hyperlink" Target="http://www.sec.gov/Archives/edgar/data/3453/000110465915014988/a14-26312_1ex10d42.htm" TargetMode="External"/><Relationship Id="rId136" Type="http://schemas.openxmlformats.org/officeDocument/2006/relationships/hyperlink" Target="http://www.sec.gov/Archives/edgar/data/3453/000110465914073470/a14-22649_1ex10d1.htm" TargetMode="External"/><Relationship Id="rId138" Type="http://schemas.openxmlformats.org/officeDocument/2006/relationships/hyperlink" Target="http://www.sec.gov/Archives/edgar/data/3453/000110465913016637/a12-29099_1ex10d47.htm" TargetMode="External"/><Relationship Id="rId139" Type="http://schemas.openxmlformats.org/officeDocument/2006/relationships/hyperlink" Target="http://www.sec.gov/Archives/edgar/data/3453/000110465913016637/a12-29099_1ex10d51.htm" TargetMode="External"/><Relationship Id="rId140" Type="http://schemas.openxmlformats.org/officeDocument/2006/relationships/hyperlink" Target="http://www.sec.gov/Archives/edgar/data/3453/000110465914014819/a13-26914_1ex10d56.htm" TargetMode="External"/><Relationship Id="rId141" Type="http://schemas.openxmlformats.org/officeDocument/2006/relationships/hyperlink" Target="http://www.sec.gov/Archives/edgar/data/3453/000110465914014819/a13-26914_1ex10d57.htm" TargetMode="External"/><Relationship Id="rId142" Type="http://schemas.openxmlformats.org/officeDocument/2006/relationships/hyperlink" Target="http://www.sec.gov/Archives/edgar/data/3453/000110465914014819/a13-26914_1ex10d58.htm" TargetMode="External"/><Relationship Id="rId143" Type="http://schemas.openxmlformats.org/officeDocument/2006/relationships/hyperlink" Target="http://www.sec.gov/Archives/edgar/data/3453/000155837016009602/matx-20160930ex10159fc02.htm" TargetMode="External"/><Relationship Id="rId144" Type="http://schemas.openxmlformats.org/officeDocument/2006/relationships/hyperlink" Target="http://www.sec.gov/Archives/edgar/data/3453/000155837016009602/matx-20160930ex1025f5188.htm" TargetMode="External"/><Relationship Id="rId145" Type="http://schemas.openxmlformats.org/officeDocument/2006/relationships/hyperlink" Target="http://www.sec.gov/Archives/edgar/data/3453/000155837016009602/matx-20160930ex10396752a.htm" TargetMode="External"/><Relationship Id="rId146" Type="http://schemas.openxmlformats.org/officeDocument/2006/relationships/hyperlink" Target="http://www.sec.gov/Archives/edgar/data/3453/000110465914014819/a13-26914_1ex10d60.htm" TargetMode="External"/><Relationship Id="rId147" Type="http://schemas.openxmlformats.org/officeDocument/2006/relationships/hyperlink" Target="http://www.sec.gov/Archives/edgar/data/3453/000110465914079225/a14-24264_1ex10d1.htm" TargetMode="External"/><Relationship Id="rId148" Type="http://schemas.openxmlformats.org/officeDocument/2006/relationships/hyperlink" Target="http://www.sec.gov/Archives/edgar/data/3453/000155837018001004/matx-20171231ex10562f7e4.htm" TargetMode="External"/><Relationship Id="rId149" Type="http://schemas.openxmlformats.org/officeDocument/2006/relationships/hyperlink" Target="http://www.sec.gov/Archives/edgar/data/3453/000155837017000947/matx-20161231ex1063a7bab.htm" TargetMode="External"/><Relationship Id="rId150" Type="http://schemas.openxmlformats.org/officeDocument/2006/relationships/hyperlink" Target="http://www.sec.gov/Archives/edgar/data/3453/000155837017000947/matx-20161231ex1064eae73.htm" TargetMode="External"/><Relationship Id="rId151" Type="http://schemas.openxmlformats.org/officeDocument/2006/relationships/hyperlink" Target="http://www.sec.gov/Archives/edgar/data/3453/000155837017000947/matx-20161231ex1065f8a3a.htm" TargetMode="External"/><Relationship Id="rId152" Type="http://schemas.openxmlformats.org/officeDocument/2006/relationships/hyperlink" Target="http://www.sec.gov/Archives/edgar/data/3453/000155837018001004/matx-20171231ex1060d61df.htm" TargetMode="External"/><Relationship Id="rId153" Type="http://schemas.openxmlformats.org/officeDocument/2006/relationships/hyperlink" Target="http://www.sec.gov/Archives/edgar/data/3453/000155837018001004/matx-20171231ex1061a3715.htm" TargetMode="External"/><Relationship Id="rId154" Type="http://schemas.openxmlformats.org/officeDocument/2006/relationships/hyperlink" Target="http://www.sec.gov/Archives/edgar/data/3453/000155837018001004/matx-20171231ex10620ee80.htm" TargetMode="External"/><Relationship Id="rId155" Type="http://schemas.openxmlformats.org/officeDocument/2006/relationships/hyperlink" Target="http://www.sec.gov/Archives/edgar/data/3453/000155837018001004/matx-20171231ex1063ec9ca.htm" TargetMode="External"/><Relationship Id="rId156" Type="http://schemas.openxmlformats.org/officeDocument/2006/relationships/hyperlink" Target="http://www.sec.gov/Archives/edgar/data/3453/000155837017000947/matx-20161231ex107075513.htm" TargetMode="External"/><Relationship Id="rId157" Type="http://schemas.openxmlformats.org/officeDocument/2006/relationships/hyperlink" Target="http://www.sec.gov/Archives/edgar/data/3453/000155837017000947/matx-20161231ex1071fa32f.htm" TargetMode="External"/><Relationship Id="rId158" Type="http://schemas.openxmlformats.org/officeDocument/2006/relationships/hyperlink" Target="http://www.sec.gov/Archives/edgar/data/3453/000155837017000947/matx-20161231ex107232dcd.htm" TargetMode="External"/><Relationship Id="rId159" Type="http://schemas.openxmlformats.org/officeDocument/2006/relationships/hyperlink" Target="http://www.sec.gov/Archives/edgar/data/3453/000155837017000947/matx-20161231ex1073bf92f.htm" TargetMode="External"/><Relationship Id="rId160" Type="http://schemas.openxmlformats.org/officeDocument/2006/relationships/hyperlink" Target="http://www.sec.gov/Archives/edgar/data/3453/000155837018001004/matx-20171231ex1068d2c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2020-02-28T14:15:08Z</dcterms:created>
  <dcterms:modified xsi:type="dcterms:W3CDTF">2020-02-28T14:15:08Z</dcterms:modified>
</cp:coreProperties>
</file>