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5320" w:type="dxa"/>
            <w:vAlign w:val="bottom"/>
          </w:tcPr>
          <w:p>
            <w:pPr>
              <w:ind w:left="2560"/>
              <w:spacing w:after="0"/>
              <w:rPr>
                <w:sz w:val="20"/>
                <w:szCs w:val="20"/>
                <w:color w:val="auto"/>
              </w:rPr>
            </w:pPr>
            <w:r>
              <w:rPr>
                <w:rFonts w:ascii="Arial" w:cs="Arial" w:eastAsia="Arial" w:hAnsi="Arial"/>
                <w:sz w:val="18"/>
                <w:szCs w:val="18"/>
                <w:b w:val="1"/>
                <w:bCs w:val="1"/>
                <w:color w:val="auto"/>
              </w:rPr>
              <w:t>For the transition period from</w:t>
            </w:r>
          </w:p>
        </w:tc>
        <w:tc>
          <w:tcPr>
            <w:tcW w:w="258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432"/>
        </w:trPr>
        <w:tc>
          <w:tcPr>
            <w:tcW w:w="790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5320" w:type="dxa"/>
            <w:vAlign w:val="bottom"/>
          </w:tcPr>
          <w:p>
            <w:pPr>
              <w:jc w:val="center"/>
              <w:ind w:left="3203"/>
              <w:spacing w:after="0"/>
              <w:rPr>
                <w:sz w:val="20"/>
                <w:szCs w:val="20"/>
                <w:color w:val="auto"/>
              </w:rPr>
            </w:pPr>
            <w:r>
              <w:rPr>
                <w:rFonts w:ascii="Arial" w:cs="Arial" w:eastAsia="Arial" w:hAnsi="Arial"/>
                <w:sz w:val="32"/>
                <w:szCs w:val="32"/>
                <w:b w:val="1"/>
                <w:bCs w:val="1"/>
                <w:color w:val="auto"/>
                <w:w w:val="94"/>
              </w:rPr>
              <w:t>Matson, Inc.</w:t>
            </w:r>
          </w:p>
        </w:tc>
        <w:tc>
          <w:tcPr>
            <w:tcW w:w="2580" w:type="dxa"/>
            <w:vAlign w:val="bottom"/>
          </w:tcPr>
          <w:p>
            <w:pPr>
              <w:spacing w:after="0"/>
              <w:rPr>
                <w:sz w:val="24"/>
                <w:szCs w:val="24"/>
                <w:color w:val="auto"/>
              </w:rPr>
            </w:pPr>
          </w:p>
        </w:tc>
      </w:tr>
      <w:tr>
        <w:trPr>
          <w:trHeight w:val="230"/>
        </w:trPr>
        <w:tc>
          <w:tcPr>
            <w:tcW w:w="790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5320" w:type="dxa"/>
            <w:vAlign w:val="bottom"/>
          </w:tcPr>
          <w:p>
            <w:pPr>
              <w:jc w:val="center"/>
              <w:ind w:right="2423"/>
              <w:spacing w:after="0"/>
              <w:rPr>
                <w:sz w:val="20"/>
                <w:szCs w:val="20"/>
                <w:color w:val="auto"/>
              </w:rPr>
            </w:pPr>
            <w:r>
              <w:rPr>
                <w:rFonts w:ascii="Arial" w:cs="Arial" w:eastAsia="Arial" w:hAnsi="Arial"/>
                <w:sz w:val="18"/>
                <w:szCs w:val="18"/>
                <w:b w:val="1"/>
                <w:bCs w:val="1"/>
                <w:color w:val="auto"/>
                <w:w w:val="98"/>
              </w:rPr>
              <w:t>Hawaii</w:t>
            </w:r>
          </w:p>
        </w:tc>
        <w:tc>
          <w:tcPr>
            <w:tcW w:w="258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5320" w:type="dxa"/>
            <w:vAlign w:val="bottom"/>
          </w:tcPr>
          <w:p>
            <w:pPr>
              <w:jc w:val="center"/>
              <w:ind w:right="2423"/>
              <w:spacing w:after="0"/>
              <w:rPr>
                <w:sz w:val="20"/>
                <w:szCs w:val="20"/>
                <w:color w:val="auto"/>
              </w:rPr>
            </w:pPr>
            <w:r>
              <w:rPr>
                <w:rFonts w:ascii="Arial" w:cs="Arial" w:eastAsia="Arial" w:hAnsi="Arial"/>
                <w:sz w:val="18"/>
                <w:szCs w:val="18"/>
                <w:color w:val="auto"/>
                <w:w w:val="92"/>
              </w:rPr>
              <w:t>(State or other jurisdiction of</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2"/>
              </w:rPr>
              <w:t>(I.R.S. Employer</w:t>
            </w:r>
          </w:p>
        </w:tc>
      </w:tr>
      <w:tr>
        <w:trPr>
          <w:trHeight w:val="230"/>
        </w:trPr>
        <w:tc>
          <w:tcPr>
            <w:tcW w:w="5320" w:type="dxa"/>
            <w:vAlign w:val="bottom"/>
          </w:tcPr>
          <w:p>
            <w:pPr>
              <w:jc w:val="center"/>
              <w:ind w:right="2423"/>
              <w:spacing w:after="0"/>
              <w:rPr>
                <w:sz w:val="20"/>
                <w:szCs w:val="20"/>
                <w:color w:val="auto"/>
              </w:rPr>
            </w:pPr>
            <w:r>
              <w:rPr>
                <w:rFonts w:ascii="Arial" w:cs="Arial" w:eastAsia="Arial" w:hAnsi="Arial"/>
                <w:sz w:val="18"/>
                <w:szCs w:val="18"/>
                <w:color w:val="auto"/>
                <w:w w:val="92"/>
              </w:rPr>
              <w:t>incorporation or organization)</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320" w:type="dxa"/>
            <w:vAlign w:val="bottom"/>
          </w:tcPr>
          <w:p>
            <w:pPr>
              <w:jc w:val="center"/>
              <w:ind w:right="2423"/>
              <w:spacing w:after="0"/>
              <w:rPr>
                <w:sz w:val="20"/>
                <w:szCs w:val="20"/>
                <w:color w:val="auto"/>
              </w:rPr>
            </w:pPr>
            <w:r>
              <w:rPr>
                <w:rFonts w:ascii="Arial" w:cs="Arial" w:eastAsia="Arial" w:hAnsi="Arial"/>
                <w:sz w:val="18"/>
                <w:szCs w:val="18"/>
                <w:b w:val="1"/>
                <w:bCs w:val="1"/>
                <w:color w:val="auto"/>
                <w:w w:val="91"/>
              </w:rPr>
              <w:t>1411 Sand Island Parkway</w:t>
            </w:r>
          </w:p>
        </w:tc>
        <w:tc>
          <w:tcPr>
            <w:tcW w:w="2580" w:type="dxa"/>
            <w:vAlign w:val="bottom"/>
          </w:tcPr>
          <w:p>
            <w:pPr>
              <w:spacing w:after="0"/>
              <w:rPr>
                <w:sz w:val="24"/>
                <w:szCs w:val="24"/>
                <w:color w:val="auto"/>
              </w:rPr>
            </w:pPr>
          </w:p>
        </w:tc>
      </w:tr>
      <w:tr>
        <w:trPr>
          <w:trHeight w:val="220"/>
        </w:trPr>
        <w:tc>
          <w:tcPr>
            <w:tcW w:w="5320" w:type="dxa"/>
            <w:vAlign w:val="bottom"/>
          </w:tcPr>
          <w:p>
            <w:pPr>
              <w:jc w:val="center"/>
              <w:ind w:right="2403"/>
              <w:spacing w:after="0"/>
              <w:rPr>
                <w:sz w:val="20"/>
                <w:szCs w:val="20"/>
                <w:color w:val="auto"/>
              </w:rPr>
            </w:pPr>
            <w:r>
              <w:rPr>
                <w:rFonts w:ascii="Arial" w:cs="Arial" w:eastAsia="Arial" w:hAnsi="Arial"/>
                <w:sz w:val="18"/>
                <w:szCs w:val="18"/>
                <w:b w:val="1"/>
                <w:bCs w:val="1"/>
                <w:color w:val="auto"/>
                <w:w w:val="96"/>
              </w:rPr>
              <w:t>Honolulu, HI</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96819</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common stock outstanding as of September 30, 2014: 43,041,120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2560" w:right="5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right"/>
              <w:ind w:right="145"/>
              <w:spacing w:after="0"/>
              <w:rPr>
                <w:sz w:val="20"/>
                <w:szCs w:val="20"/>
                <w:color w:val="auto"/>
              </w:rPr>
            </w:pPr>
            <w:r>
              <w:rPr>
                <w:rFonts w:ascii="Arial" w:cs="Arial" w:eastAsia="Arial" w:hAnsi="Arial"/>
                <w:sz w:val="14"/>
                <w:szCs w:val="14"/>
                <w:b w:val="1"/>
                <w:bCs w:val="1"/>
                <w:color w:val="auto"/>
              </w:rPr>
              <w:t>Three-Months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329.5</w:t>
            </w:r>
          </w:p>
        </w:tc>
        <w:tc>
          <w:tcPr>
            <w:tcW w:w="84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310.1</w:t>
            </w:r>
          </w:p>
        </w:tc>
        <w:tc>
          <w:tcPr>
            <w:tcW w:w="1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945.2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112.3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363.8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Equity in (income) loss of terminal joint venture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387.8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1,180.1</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90.6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and prior service cost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w w:val="95"/>
              </w:rPr>
              <w:t>Amortization of prior service cost included in net periodic pension cost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net loss included in net periodic pension cost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84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0.40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Diluted Earnings Per Share: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5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192.5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Investment in terminal joint venture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Payroll and vacation benefits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Self-insured liabilities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Accrued and other liabilities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spacing w:after="0" w:line="196" w:lineRule="exact"/>
              <w:rPr>
                <w:sz w:val="20"/>
                <w:szCs w:val="20"/>
                <w:color w:val="auto"/>
              </w:rPr>
            </w:pPr>
            <w:r>
              <w:rPr>
                <w:rFonts w:ascii="Arial" w:cs="Arial" w:eastAsia="Arial" w:hAnsi="Arial"/>
                <w:sz w:val="18"/>
                <w:szCs w:val="18"/>
                <w:color w:val="auto"/>
              </w:rPr>
              <w:t>Long-term Liabilities:</w:t>
            </w: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324.1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 plans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bl>
    <w:p>
      <w:pPr>
        <w:sectPr>
          <w:pgSz w:w="11900" w:h="16857" w:orient="portrait"/>
          <w:cols w:equalWidth="0" w:num="1">
            <w:col w:w="11420"/>
          </w:cols>
          <w:pgMar w:left="240" w:top="10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Self-insured claims and other liabilities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36.8</w:t>
            </w: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1,360.8</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Nine-Months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loss from terminal joint venture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into Capital Construction Fund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acquisitions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69.8</w:t>
            </w:r>
          </w:p>
        </w:tc>
        <w:tc>
          <w:tcPr>
            <w:tcW w:w="2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116.4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114.5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paid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-7487920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-7487920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60"/>
          </w:cols>
          <w:pgMar w:left="240" w:top="125"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3" w:name="page4"/>
    <w:bookmarkEnd w:id="3"/>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 (“MatNav”),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Matson, Inc. Founded in 1882, MatNav is an asset-based business that provides a vital lifeline of ocean freight transportation services to the island economies of Hawaii, Guam, Micronesia, and various islands in the South Pacific. MatNav also operates a premium, expedited service from China to Long Beach, California. In addition, a subsidiary of MatNav provides container stevedoring, container equipment maintenance and other terminal services for MatNav and other ocean carriers on the islands of Oahu, Hawaii, Maui and Kauai.</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a 35 percent ownership interest in SSA Terminals, LLC (“SSAT”) through a joint venture between Matson Ventures, Inc., a wholly-owned subsidiary of MatNav, and SSA Ventures, Inc. (“SSA”), a subsidiary of Carrix, Inc. (the “Terminal Joint Venture”). SSAT provides terminal and stevedoring services to various carriers at six terminal facilities on the Pacific Coast of the United States of America (“U.S.”), including to MatNav at several of those facilities. Matson records its share of income (loss) in the joint venture in operating costs in the Condensed Consolidated Statements of Income and Comprehensive Income, and within the ocean transportation segment due to the nature of SSAT’s operations.</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The Company’s logistics business is conducted through Matson Logistics, Inc. (“Matson Logistics” or “Logistics”), a wholly-owned subsidiary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and warehousing and distribution services.</w:t>
      </w:r>
    </w:p>
    <w:p>
      <w:pPr>
        <w:spacing w:after="0" w:line="16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are unaudited. Due to the nature of the Company’s operations, the results for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2013.</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Fiscal Period: </w:t>
      </w:r>
      <w:r>
        <w:rPr>
          <w:rFonts w:ascii="Arial" w:cs="Arial" w:eastAsia="Arial" w:hAnsi="Arial"/>
          <w:sz w:val="18"/>
          <w:szCs w:val="18"/>
          <w:color w:val="auto"/>
        </w:rPr>
        <w:t>The period end for Matson, Inc. is September 30. The period end for MatNav occurred on the last Friday in September, except for Matson</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Warehousing for which the period closed on September 30.</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2013.</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three-months ended September 30, 2014, the Company made an additional deposit of $65.5 million to its Capital Construction Fund (“CCF”), comprising a cash deposit of $27.5 million and the assignment of an additional $38.0 million of undivided interest in eligible accounts receivable. The cash deposit of $27.5 million is included in other long-term assets, while the accounts receivable that have been assigned to the CCF continue to be classified as accounts receivable in the Condensed Consolidated Balance Sheets. As of September 30, 2014 and December 31, 2013, the Company had assigned to the CCF $150.5 million and $112.0 million of eligible accounts receivable, respectively. In addition, cash on deposit in the CCF was $27.5 million at September 30, 2014. There was no cash on deposit in the CCF at December 31, 2013.</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CCF is described in Note 7 to the consolidated financial statements included in Item 8 of the Company’s Annual Report filed on Form 10-K for the year ended December 31,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and December 31, 2013, the Company’s 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w:t>
            </w:r>
          </w:p>
        </w:tc>
      </w:tr>
      <w:tr>
        <w:trPr>
          <w:trHeight w:val="171"/>
        </w:trPr>
        <w:tc>
          <w:tcPr>
            <w:tcW w:w="45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Term Notes: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5.79%, payable through 2020</w:t>
            </w:r>
          </w:p>
        </w:tc>
        <w:tc>
          <w:tcPr>
            <w:tcW w:w="2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3.66%, payable through 2023</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4.16%, payable through 2027</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4.31%, payable through 2032</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4.35%, payable through 2044</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Title XI Bonds:</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5.34%, payable through 2028</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5.27%, payable through 2029</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Capital leases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0"/>
        </w:trPr>
        <w:tc>
          <w:tcPr>
            <w:tcW w:w="4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Less current portion</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10"/>
        </w:trPr>
        <w:tc>
          <w:tcPr>
            <w:tcW w:w="4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80"/>
          </w:cols>
          <w:pgMar w:left="240" w:top="580" w:right="279" w:bottom="117" w:gutter="0" w:footer="0" w:header="0"/>
        </w:sectPr>
      </w:pPr>
    </w:p>
    <w:bookmarkStart w:id="4" w:name="page5"/>
    <w:bookmarkEnd w:id="4"/>
    <w:p>
      <w:pPr>
        <w:spacing w:after="0" w:line="279" w:lineRule="auto"/>
        <w:rPr>
          <w:sz w:val="20"/>
          <w:szCs w:val="20"/>
          <w:color w:val="auto"/>
        </w:rPr>
      </w:pPr>
      <w:r>
        <w:rPr>
          <w:rFonts w:ascii="Arial" w:cs="Arial" w:eastAsia="Arial" w:hAnsi="Arial"/>
          <w:sz w:val="17"/>
          <w:szCs w:val="17"/>
          <w:color w:val="auto"/>
        </w:rPr>
        <w:t>In January 2014, the Company issued $100 million of 30-year senior unsecured notes (the “Notes”). The Notes have a weighted average life of 14.5 years and bear interest at a rate of 4.35 percent, payable semi-annually. The proceeds are expected to be used for general corporate purposes. The Notes will begin to mature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6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sponsors qualified defined-benefit pension and post-retirement plans (collectively, the “Plans”). The following table provides the components of net periodic benefit cost for the Plans for the nine-month periods ended September 30, 2014 and 2013 (in millions):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w w:val="95"/>
              </w:rPr>
              <w:t>Pension Benefits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Post-retirement Benefits</w:t>
            </w:r>
          </w:p>
        </w:tc>
      </w:tr>
      <w:tr>
        <w:trPr>
          <w:trHeight w:val="171"/>
        </w:trPr>
        <w:tc>
          <w:tcPr>
            <w:tcW w:w="34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9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2014, the Company had paid its expected total cash contributions for the year to its defined benefit pension plans of approximately $6.5 million.</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and nine-month periods ended September 30, 2014, the Company granted 557 and 350,550 in total of time-based and performance-based shares to certain of its employees at a weighted-average grant date fair value of $26.97 and $23.59, respectively. The number of performance shares awarded represents the maximum that can be earned, and will ultimately depend on the Company’s performance.</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Total stock-based compensation cost recognized in the Condensed Consolidated Financial Statements of Income and Comprehensive Income as a component of selling, general and administrative costs was $1.9 million and $1.5 million for the three-month periods ended September 30, 2014 and 2013, and $5.6 million and $4.3 million for the nine-month periods ended September 30, 2014 and 2013, respectively. Total unrecognized compensation cost related to unvested share-based compensation arrangements was $10.8 million at September 30, 2014, and is expected to be recognized over a weighted-average period of 1.8 years. Total unrecognized compensation cost may be adjusted for any unearned performance shares or forfeited shares.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Employee Matters: </w:t>
      </w:r>
      <w:r>
        <w:rPr>
          <w:rFonts w:ascii="Arial" w:cs="Arial" w:eastAsia="Arial" w:hAnsi="Arial"/>
          <w:sz w:val="17"/>
          <w:szCs w:val="17"/>
          <w:color w:val="auto"/>
        </w:rPr>
        <w:t>The Company and SSAT are members of the Pacific Maritime Association (“PMA”), which on behalf of its members, negotiates</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 bargaining agreements with the International Longshore and Warehouse Union (“ILWU”) on the U.S. Pacific Coast. The PMA/ILWU collective bargaining agreements, which cover substantially all U.S. Pacific Coast longshore labor, expired on July 1, 2014. The Company also has collective bargaining agreements with ILWU longshore labor in Hawaii and ILWU office clerical workers in Honolulu and Oakland, each of which expired on June 30, 2014. Although PMA’s and Matson’s collective bargaining agreements have expired, the parties announced a tentative agreement on health benefits in late August; however, the industry is currently facing work slowdowns in the Pacific Northwest ports of Seattle and Tacoma. To date, Matson’s operations have not been significantly impacted, but SSAT’s productivity has been negatively impacted by these work slowdowns. No assurance can be given that these slowdowns will not continue or expand, or a different disruption will not occur, and if a significant disruption were to occur, this would have a material impact on the Company’s financial position, results of operations, or cash flows.</w:t>
      </w:r>
    </w:p>
    <w:p>
      <w:pPr>
        <w:spacing w:after="0" w:line="18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(Region IX).</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October 21, 2014, the U.S. Attorney for the District of Hawaii (the “U.S. Attorney”) filed an Information with the U.S. District Court for the District of Hawaii (the “Court”) charging Matson Terminals, Inc. (“MTI”), the subsidiary of the Company that operated the pipeline, with two misdemeanor violations of Section 407 of the Rivers and Harbors Act of 1899 (the “Refuse Act”) arising from the molasses release. The U.S. Attorney also filed a Memorandum of Plea Agreement (the “Plea Agreement”), subject to the approval of the Court, to resolve federal criminal charges arising from the molasses release. Pursuant to the Plea Agreement, MTI agreed to plead guilty to the two violations of the Refuse Act and to pay a penalty of $1 million, comprising a $400,000 fine and community service payments of $600,000. On October 24, 2014, MTI entered a guilty plea in the Court. The Court ordered a Pre-Sentence Report from the U.S. Probation Office and sentencing is set for January 29, 2015. The Company has included the $1 million penalty in accrued and other liabilities in the Condensed Consolidated Balance Sheet at September 30, 2014.</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the guilty plea, the U.S. government could seek to debar MTI and its affiliates from obtaining future U.S. government contracts. To date, the U.S. government has not indicated that it intends to take such action, and the Company is working with the appropriate U.S. government officials in an effort to avoid such an outcome.</w:t>
      </w:r>
    </w:p>
    <w:p>
      <w:pPr>
        <w:sectPr>
          <w:pgSz w:w="11900" w:h="16838" w:orient="portrait"/>
          <w:cols w:equalWidth="0" w:num="1">
            <w:col w:w="11360"/>
          </w:cols>
          <w:pgMar w:left="240" w:top="125" w:right="299" w:bottom="0" w:gutter="0" w:footer="0" w:header="0"/>
        </w:sectPr>
      </w:pPr>
    </w:p>
    <w:bookmarkStart w:id="5" w:name="page6"/>
    <w:bookmarkEnd w:id="5"/>
    <w:p>
      <w:pPr>
        <w:spacing w:after="0" w:line="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 Company has not yet resolved any potential civil claims by the governmental agencies arising out of the molasses release. However, except with respect to the matters discussed above, government agencies have not initiated any legal actions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 The Company continues to respond to governmental requests for information, and is engaging in dialogue with governmental agencies in order to reasonably resolve these matters.</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Other Legal Matters: </w:t>
      </w:r>
      <w:r>
        <w:rPr>
          <w:rFonts w:ascii="Arial" w:cs="Arial" w:eastAsia="Arial" w:hAnsi="Arial"/>
          <w:sz w:val="18"/>
          <w:szCs w:val="18"/>
          <w:color w:val="auto"/>
        </w:rPr>
        <w:t>On June 10, 2013, the Company was served with a complaint filed in the United States District Court for the Central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by an individual plaintiff as relator on behalf of the United States asserting claims against the Company and certain other ocean carriers and freight forwarders for violations of the False Claims Act. The case is entitled United States of America, ex rel. Mario Rizzo v. Horizon Lines, LLC et al. On February 23, 2014, Matson’s Board of Directors approved a settlement of $9.0 million in full settlement of all claims, and $0.95 million for plaintiff’s legal expenses. On July 17, 2014, the settlement was approved by the United States Government, and the Company paid the settlement amount. On July 22, 2014, the case was dismissed with prejudice by the District Court. The amount of the settlement was included in accrued and other liabilities in the Condensed Consolidated Balance Sheet at December 31, 2013.</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number of shares used to compute basic and diluted earnings per share for the three and nine-month periods ended September 30, 2014 and 2013, is as follows (in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Three-Months Ended September 30, 2014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Three-Months Ended September 30, 2013</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Effect of dilutive restricted stock</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units and stock options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Nine-Months Ended September 30, 2014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Nine-Months Ended September 30, 2013</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Effect of dilutive restricted stock</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units and stock options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Basic earnings per share are determined by dividing net income by the weighted-average common shares outstanding during the period. The calculation of diluted earnings per share includes the dilutive effect of unexercised non-qualified stock options and non-vested restricted stock units.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computation of weighted 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w:t>
      </w:r>
    </w:p>
    <w:p>
      <w:pPr>
        <w:spacing w:after="0" w:line="17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uses Level 1 inputs for the fair values of its cash equivalents and Level 2 inputs for its long-term debt. The fair values of cash and cash equivalents, receivables and short-term borrowings approximate their carrying values due to the short-term nature of the instruments. The fair value of the Company’s debt is calculated based upon interest rates available for debt with terms and maturities similar to the Company’s existing debt arrangements.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September 30, 2014 and December 31, 2013 are as follows (in millions):</w:t>
      </w:r>
    </w:p>
    <w:p>
      <w:pPr>
        <w:sectPr>
          <w:pgSz w:w="11900" w:h="16903" w:orient="portrait"/>
          <w:cols w:equalWidth="0" w:num="1">
            <w:col w:w="11380"/>
          </w:cols>
          <w:pgMar w:left="240" w:top="125" w:right="279" w:bottom="0" w:gutter="0" w:footer="0" w:header="0"/>
        </w:sectPr>
      </w:pPr>
    </w:p>
    <w:p>
      <w:pPr>
        <w:spacing w:after="0" w:line="228" w:lineRule="exact"/>
        <w:rPr>
          <w:sz w:val="20"/>
          <w:szCs w:val="20"/>
          <w:color w:val="auto"/>
        </w:rPr>
      </w:pPr>
    </w:p>
    <w:p>
      <w:pPr>
        <w:ind w:left="4040"/>
        <w:spacing w:after="0"/>
        <w:tabs>
          <w:tab w:leader="none" w:pos="7000" w:val="left"/>
        </w:tabs>
        <w:rPr>
          <w:sz w:val="20"/>
          <w:szCs w:val="20"/>
          <w:color w:val="auto"/>
        </w:rPr>
      </w:pPr>
      <w:r>
        <w:rPr>
          <w:rFonts w:ascii="Arial" w:cs="Arial" w:eastAsia="Arial" w:hAnsi="Arial"/>
          <w:sz w:val="14"/>
          <w:szCs w:val="14"/>
          <w:b w:val="1"/>
          <w:bCs w:val="1"/>
          <w:color w:val="auto"/>
        </w:rPr>
        <w:t>Carrying Value at</w:t>
      </w:r>
      <w:r>
        <w:rPr>
          <w:sz w:val="20"/>
          <w:szCs w:val="20"/>
          <w:color w:val="auto"/>
        </w:rPr>
        <w:tab/>
      </w:r>
      <w:r>
        <w:rPr>
          <w:rFonts w:ascii="Arial" w:cs="Arial" w:eastAsia="Arial" w:hAnsi="Arial"/>
          <w:sz w:val="12"/>
          <w:szCs w:val="12"/>
          <w:b w:val="1"/>
          <w:bCs w:val="1"/>
          <w:color w:val="auto"/>
        </w:rPr>
        <w:t>Fair Value Measurements at September 30, 2014</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September 30,</w:t>
      </w:r>
    </w:p>
    <w:p>
      <w:pPr>
        <w:sectPr>
          <w:pgSz w:w="11900" w:h="16903" w:orient="portrait"/>
          <w:cols w:equalWidth="0" w:num="1">
            <w:col w:w="11380"/>
          </w:cols>
          <w:pgMar w:left="240" w:top="125" w:right="27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7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Carrying Value at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gridSpan w:val="8"/>
            <w:vMerge w:val="restart"/>
          </w:tcPr>
          <w:p>
            <w:pPr>
              <w:jc w:val="right"/>
              <w:ind w:right="50"/>
              <w:spacing w:after="0"/>
              <w:rPr>
                <w:sz w:val="20"/>
                <w:szCs w:val="20"/>
                <w:color w:val="auto"/>
              </w:rPr>
            </w:pPr>
            <w:r>
              <w:rPr>
                <w:rFonts w:ascii="Arial" w:cs="Arial" w:eastAsia="Arial" w:hAnsi="Arial"/>
                <w:sz w:val="14"/>
                <w:szCs w:val="14"/>
                <w:b w:val="1"/>
                <w:bCs w:val="1"/>
                <w:color w:val="auto"/>
                <w:w w:val="95"/>
              </w:rPr>
              <w:t>Fair Value Measurements at December 31, 2013</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vMerge w:val="continue"/>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7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for the three and nine-month periods ended September 30, 2014 and 2013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21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329.5</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310.1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945.2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920.0</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w:t>
            </w:r>
          </w:p>
        </w:tc>
        <w:tc>
          <w:tcPr>
            <w:tcW w:w="40" w:type="dxa"/>
            <w:vAlign w:val="bottom"/>
          </w:tcPr>
          <w:p>
            <w:pPr>
              <w:spacing w:after="0"/>
              <w:rPr>
                <w:sz w:val="18"/>
                <w:szCs w:val="18"/>
                <w:color w:val="auto"/>
              </w:rPr>
            </w:pPr>
          </w:p>
        </w:tc>
      </w:tr>
      <w:tr>
        <w:trPr>
          <w:trHeight w:val="250"/>
        </w:trPr>
        <w:tc>
          <w:tcPr>
            <w:tcW w:w="3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13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3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21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42.6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0"/>
        </w:trPr>
        <w:tc>
          <w:tcPr>
            <w:tcW w:w="3700" w:type="dxa"/>
            <w:vAlign w:val="bottom"/>
          </w:tcPr>
          <w:p>
            <w:pPr>
              <w:ind w:left="540"/>
              <w:spacing w:after="0"/>
              <w:rPr>
                <w:sz w:val="20"/>
                <w:szCs w:val="20"/>
                <w:color w:val="auto"/>
              </w:rPr>
            </w:pPr>
            <w:r>
              <w:rPr>
                <w:rFonts w:ascii="Arial" w:cs="Arial" w:eastAsia="Arial" w:hAnsi="Arial"/>
                <w:sz w:val="18"/>
                <w:szCs w:val="18"/>
                <w:color w:val="auto"/>
              </w:rPr>
              <w:t>Total operating income</w:t>
            </w:r>
          </w:p>
        </w:tc>
        <w:tc>
          <w:tcPr>
            <w:tcW w:w="1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r>
      <w:tr>
        <w:trPr>
          <w:trHeight w:val="210"/>
        </w:trPr>
        <w:tc>
          <w:tcPr>
            <w:tcW w:w="3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2140" w:type="dxa"/>
            <w:vAlign w:val="bottom"/>
            <w:gridSpan w:val="2"/>
          </w:tcPr>
          <w:p>
            <w:pPr>
              <w:jc w:val="right"/>
              <w:ind w:right="6"/>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the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and similar expressions, or future or conditional verbs such as “will,” “would,” “should,” “could,” “may” or similar expressions.</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2013, filed with the Securities Exchange Commission (“SEC”) on February 28, 2014, and Matson’s Quarterly Report on Form 10-Q for the quarterly period ended June 30, 2014, filed with the SEC on July 31, 2014.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w:t>
      </w:r>
    </w:p>
    <w:p>
      <w:pPr>
        <w:sectPr>
          <w:pgSz w:w="11900" w:h="16838" w:orient="portrait"/>
          <w:cols w:equalWidth="0" w:num="1">
            <w:col w:w="11460"/>
          </w:cols>
          <w:pgMar w:left="240" w:top="118" w:right="199" w:bottom="0" w:gutter="0" w:footer="0" w:header="0"/>
        </w:sectPr>
      </w:pPr>
    </w:p>
    <w:bookmarkStart w:id="7" w:name="page8"/>
    <w:bookmarkEnd w:id="7"/>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2013, and the Company’s reports filed on Forms 10-Q and 8-K, and other publicly available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In the third quarter 2014, Hawaii container volume was driven higher by market growth. For the fourth quarter 2014,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continued market growth in the Hawaii trade, with its Hawaii volume expected to be modestly higher than the fourth quarter 2013. A competitor is expected to launch new containership capacity into the Hawaii trade early in 2015, and therefore, is not expected to impact the Company’s volume for the remainder of 2014. In the China trade, overcapacity is expected to continue. However, the Company expects to maintain high vessel utilization and achieve higher average freight rates, as its expedited service continues to realize a significant premium to market rates. In Guam, the Company expects volume to be modestly better than 2013, assuming no new competitors enter the market.</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fourth quarter 2014, the Company expects ocean transportation operating income to increase from the $26.0 million achieved in the fourth quarter 2013 (excluding a $9.95 million litigation charge). This outlook excludes any future impact from the September 2013 molasses incident.</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fourth quarter 2014, the Company expects operating income to be slightly higher than comparable 2013 levels, reflecting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volume growth, expense control and warehouse operations.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2014 to be approximately $17.3 million, an increase over the 2013 amount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financing transaction that closed on January 28,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expects the full year 2014 effective tax rate to be approximately 43 percent.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Company expects maintenance capital expenditures for 2014 to be approximately $40.0 million. Additionally, the Company does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contract payments in 2014 related to its two vessels under construction. However, in the third quarter 2014 the Company made an additional deposit of $65.5 million to its Capital Construction Fund (“CCF”) comprised of $27.5 million in cash and $38.0 million of eligible receivables. These deposits will have the effect of deferring a portion of the Company’s current cash tax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Three-month Period ended September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8"/>
              </w:rPr>
              <w:t>Three-Months Ended September 30</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396.8</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387.8</w:t>
            </w: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300" w:type="dxa"/>
            <w:vAlign w:val="bottom"/>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0.40</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Consolidated operating revenue for the third quarter 2014 increased $26.8 million, or 6.5 percent, compared to 2013. This increase was due to $19.4 million and $7.4 million in higher revenue from ocean transportation and logistics services, respectively.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costs and expenses for the third quarter 2014 increased $9.0 million, or 2.3 percent, compared to 2013. The increase was due to a $2.3 million and $6.7 million increase in operating costs from ocean transportation and logistics segments, respectively. Changes in operating revenue and expense are described below in the Analysis of Operating Revenue and Income by Segment, as part of the discussion of trends in operating revenues and operating costs and expenses.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increased $0.8 million to $4.4 million for the third quarter of 2014 compared to $3.6 million in 2013, due to increased borrowings during the year.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expense was $19.1 million, or 47.0 percent of income before income taxes, for the third quarter of 2014, compared to $6.4 million, or 27.1 percent of income before income taxes, in 2013. The increase in the income tax rate was due to a non-cash valuation allowance recorded in the third quarter of 2014 against deferred tax assets related to foreign operations, and the release of income tax liabilities for the third quarter of 2013, which reduced the income tax rate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Nine-month Period ended September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Nine-Months Ended September 30</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1,180.1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58"/>
        </w:trPr>
        <w:tc>
          <w:tcPr>
            <w:tcW w:w="50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300" w:type="dxa"/>
            <w:vAlign w:val="bottom"/>
            <w:vMerge w:val="continue"/>
          </w:tcPr>
          <w:p>
            <w:pPr>
              <w:spacing w:after="0"/>
              <w:rPr>
                <w:sz w:val="17"/>
                <w:szCs w:val="17"/>
                <w:color w:val="auto"/>
              </w:rPr>
            </w:pP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280" w:type="dxa"/>
            <w:vAlign w:val="bottom"/>
            <w:vMerge w:val="continue"/>
          </w:tcPr>
          <w:p>
            <w:pPr>
              <w:spacing w:after="0"/>
              <w:rPr>
                <w:sz w:val="17"/>
                <w:szCs w:val="17"/>
                <w:color w:val="auto"/>
              </w:rPr>
            </w:pPr>
          </w:p>
        </w:tc>
        <w:tc>
          <w:tcPr>
            <w:tcW w:w="1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Consolidated operating revenue for the nine-month period ended September 30, 2014 increased $44.4 million, or 3.6 percent, compared to 2013. This increase was due to $25.2 million and $19.2 million in higher revenue from ocean transportation and logistics services, respectively.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costs and expenses for the nine-month period ended September 30, 2014 increased $36.2 million, or 3.2 percent, compared to 2013. The increase was due to $18.7 million and $17.5 million in higher operating costs from ocean transportation and logistics segments, respectively. Changes in operating revenue and expense are described below in the Analysis of Operating Revenue and Income by Segment, as part of the discussion of trends in operating revenues and operating costs and expenses.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increased $2.1 million to $13.0 million for the nine-month period ended September 30, 2014 compared to $10.9 million in 2013 due to increased borrowings during the year.</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was $34.6 million, or 44.6 percent of income before income taxes, for the nine-month period ended September 30, 2014, compared to $25.1 million, or 35.1 percent of income before income taxes, for 2013. The increase in the income tax rate was due to a non-cash valuation allowance recorded in the third quarter of 2014 against deferred tax assets related to foreign operations, and certain non-recurring costs that increased the tax rate in the nine-month period ended September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Three-month Period ended September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9"/>
              </w:rPr>
              <w:t>Three-Months Ended September 30</w:t>
            </w:r>
          </w:p>
        </w:tc>
        <w:tc>
          <w:tcPr>
            <w:tcW w:w="10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Volume (Units) (1)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Hawaii automobiles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13,300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16,800</w:t>
            </w:r>
          </w:p>
        </w:tc>
        <w:tc>
          <w:tcPr>
            <w:tcW w:w="2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Guam containers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328"/>
        <w:spacing w:after="0" w:line="264"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Ocean transportation revenue increased $19.4 million, or 6.3 percent, during the third quarter 2014 compared with 2013. The increase was due primarily to higher fuel surcharge revenue, Hawaii container volume growth and higher freight yields across all major trade lanes, partially offset by lower automobile volume.</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Compared with the third quarter 2013, Hawaii container volume increased 3.8 percent due primarily to market growth; China volume decreased 7.4 percent, the result of one fewer sailing; Guam volume increased slightly; and Micronesia/South Pacific volume increased 37.5 percent due to reconfiguration of the South Pacific service. Hawaii automobile volume decreased 20.8 percent primarily due to certain customer losses.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Ocean transportation operating income increased $17.1 million, or 67.1 percent, during the third quarter 2014 compared with 2013. The increase can be attributed primarily to the timing of fuel surcharge recoveries, improved results at SSAT, higher container volume in Hawaii, and higher freight yields across all major trade lanes, partially offset by higher terminal handling expenses. In addition, the third quarter 2013 was impacted by certain unfavorable items including an adverse arbitration decision of $3.8 million related to previously co-owned Guam terminal assets and a $2.2 million tax allocation item related to the Company’s separation from Alexander &amp; Baldwin, Inc. In the third quarter 2014, the Company incurred $2.1 million in penalties, legal and other expenses related to the molasses released into Honolulu Harbor in September 2013.</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SSAT terminal joint venture contributed $3.1 million during the third quarter 2014, compared to a $2.4 million loss in 2013. The increase was primarily attributable to increased lift volume and improved productivity. In addition, the third quarter 2013 included transition costs related to the expansion of SSAT’s terminal operations in Oakland.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Ocean Transportation Operating Results: Nine-month Period ended September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Nine-Months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60" w:type="dxa"/>
            <w:vAlign w:val="bottom"/>
            <w:vMerge w:val="continue"/>
          </w:tcPr>
          <w:p>
            <w:pPr>
              <w:spacing w:after="0"/>
              <w:rPr>
                <w:sz w:val="13"/>
                <w:szCs w:val="13"/>
                <w:color w:val="auto"/>
              </w:rPr>
            </w:pPr>
          </w:p>
        </w:tc>
        <w:tc>
          <w:tcPr>
            <w:tcW w:w="104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2014</w:t>
            </w:r>
          </w:p>
        </w:tc>
        <w:tc>
          <w:tcPr>
            <w:tcW w:w="2520" w:type="dxa"/>
            <w:vAlign w:val="bottom"/>
          </w:tcPr>
          <w:p>
            <w:pPr>
              <w:jc w:val="right"/>
              <w:ind w:right="1028"/>
              <w:spacing w:after="0" w:line="157" w:lineRule="exact"/>
              <w:rPr>
                <w:sz w:val="20"/>
                <w:szCs w:val="20"/>
                <w:color w:val="auto"/>
              </w:rPr>
            </w:pPr>
            <w:r>
              <w:rPr>
                <w:rFonts w:ascii="Arial" w:cs="Arial" w:eastAsia="Arial" w:hAnsi="Arial"/>
                <w:sz w:val="14"/>
                <w:szCs w:val="14"/>
                <w:b w:val="1"/>
                <w:bCs w:val="1"/>
                <w:color w:val="auto"/>
              </w:rPr>
              <w:t>2013</w:t>
            </w:r>
          </w:p>
        </w:tc>
        <w:tc>
          <w:tcPr>
            <w:tcW w:w="11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27761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sectPr>
      </w:pPr>
    </w:p>
    <w:p>
      <w:pPr>
        <w:spacing w:after="0"/>
        <w:tabs>
          <w:tab w:leader="none" w:pos="4940" w:val="left"/>
          <w:tab w:leader="none" w:pos="5900" w:val="left"/>
          <w:tab w:leader="none" w:pos="6580" w:val="left"/>
          <w:tab w:leader="none" w:pos="7540" w:val="left"/>
          <w:tab w:leader="none" w:pos="9380" w:val="left"/>
        </w:tabs>
        <w:rPr>
          <w:sz w:val="20"/>
          <w:szCs w:val="20"/>
          <w:color w:val="auto"/>
        </w:rPr>
      </w:pPr>
      <w:r>
        <w:rPr>
          <w:rFonts w:ascii="Arial" w:cs="Arial" w:eastAsia="Arial" w:hAnsi="Arial"/>
          <w:sz w:val="18"/>
          <w:szCs w:val="18"/>
          <w:color w:val="auto"/>
        </w:rPr>
        <w:t>Ocean transportation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945.2</w:t>
        <w:tab/>
        <w:t>$</w:t>
      </w:r>
      <w:r>
        <w:rPr>
          <w:sz w:val="20"/>
          <w:szCs w:val="20"/>
          <w:color w:val="auto"/>
        </w:rPr>
        <w:tab/>
      </w:r>
      <w:r>
        <w:rPr>
          <w:rFonts w:ascii="Arial" w:cs="Arial" w:eastAsia="Arial" w:hAnsi="Arial"/>
          <w:sz w:val="18"/>
          <w:szCs w:val="18"/>
          <w:color w:val="auto"/>
        </w:rPr>
        <w:t>920.0</w:t>
      </w:r>
      <w:r>
        <w:rPr>
          <w:sz w:val="20"/>
          <w:szCs w:val="20"/>
          <w:color w:val="auto"/>
        </w:rPr>
        <w:tab/>
      </w:r>
      <w:r>
        <w:rPr>
          <w:rFonts w:ascii="Arial" w:cs="Arial" w:eastAsia="Arial" w:hAnsi="Arial"/>
          <w:sz w:val="16"/>
          <w:szCs w:val="16"/>
          <w:color w:val="auto"/>
        </w:rPr>
        <w:t>2.7%</w:t>
      </w:r>
    </w:p>
    <w:p>
      <w:pPr>
        <w:sectPr>
          <w:pgSz w:w="11900" w:h="16838" w:orient="portrait"/>
          <w:cols w:equalWidth="0" w:num="1">
            <w:col w:w="11400"/>
          </w:cols>
          <w:pgMar w:left="240" w:top="140" w:right="259" w:bottom="0" w:gutter="0" w:footer="0" w:header="0"/>
          <w:type w:val="continuous"/>
        </w:sectPr>
      </w:pPr>
    </w:p>
    <w:bookmarkStart w:id="9" w:name="page10"/>
    <w:bookmarkEnd w:id="9"/>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860.4</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841.7</w:t>
            </w:r>
          </w:p>
        </w:tc>
        <w:tc>
          <w:tcPr>
            <w:tcW w:w="2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Volume (Units) (1)</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104,000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Hawaii automobiles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56,100</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63,000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45,800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Guam containers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18,300</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17,900</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328"/>
        <w:spacing w:after="0" w:line="264"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Ocean transportation revenue increased $25.2 million, or 2.7 percent, during the nine-month period ended September 30, 2014 compared to 2013. The increase was due primarily to higher freight yields across all major trade lanes and increased volume in the South Pacific, partially offset by lower automobile volume.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nine-month period ended September 30, 2014, Hawaii container volume was relatively flat; China volume declined 3.1 percent, the result of two additional sailings in the prior year; Guam volume increased modestly due to timing of shipments; and Micronesia/South Pacific volume increased 33.8 percent reflecting a full nine months of operations and service reconfiguration in the South Pacific. Hawaii automobile volume decreased 11.0 percent primarily due to certain customer losses.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Ocean transportation operating income increased $6.5 million, or 8.3 percent, during the nine-month period ended September 30, 2014 compared with 2013. The increase can be attributed primarily to higher freight yields across all major trade lanes, lower outside transportation costs, and improved results at SSAT, which were partially offset by increased terminal handling costs. In addition, the third quarter 2013 was impacted by certain unfavorable items including an adverse arbitration decision of $3.8 million related to previously co-owned Guam terminal assets and a $2.2 million tax allocation item related to the Company’s separation from Alexander &amp; Baldwin, Inc. Year-to-date 2014, the Company has incurred $4.2 million in penalties, legal and other expenses related to the molasses released into Honolulu Harbor in September 2013.</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SSAT terminal joint venture contributed $5.4 million during the nine-month period ended September 30, 2014, compared to a $3.0 million loss in 2013. The increase was primarily attributable to increased lift volume and improved productivity. In addition, the third quarter 2013 included transition costs related to the expansion of SSAT’s terminal operations in Oakland.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Three-month Period ended September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8"/>
              </w:rPr>
              <w:t>Three-Months Ended September 30</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Highway revenue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103.2</w:t>
            </w: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Logistics revenue increased $7.4 million, or 7.1 percent, during the third quarter 2014 compared to 2013. This increase was primarily due to higher highway volume.</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Logistics operating income increased by $0.7 million during the third quarter 2014 compared to 2013. The increase was primarily due to warehouse operating improvements and increased highway volume, partially offset by lower intermodal yield.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Nine-month Period ended September 30, 2014 compared with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9"/>
              </w:rPr>
              <w:t>Nine-Months Ended September 30</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185.3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Highway revenue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140.2</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121.1</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325.5</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302.2</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5.8</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Logistics revenue increased $19.2 million, or 6.3 percent, during the nine-month period ended September 30, 2014 compared to 2013. This increase was primarily due to higher highway and international intermodal volume, partially offset by lower domestic intermodal volume.</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Logistics operating income increased by $1.7 million during the nine-month period ended September 30, 2014 compared to 2013. The increase was primarily due to, warehouse operating improvements, increased highway volume, and a favorable litigation settlement, partially offset by lower intermodal yield.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83" w:orient="portrait"/>
          <w:cols w:equalWidth="0" w:num="1">
            <w:col w:w="11400"/>
          </w:cols>
          <w:pgMar w:left="240" w:top="125" w:right="259" w:bottom="0" w:gutter="0" w:footer="0" w:header="0"/>
        </w:sectPr>
      </w:pPr>
    </w:p>
    <w:bookmarkStart w:id="10" w:name="page11"/>
    <w:bookmarkEnd w:id="10"/>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flows provided by operating activities are generally the Company’s primary source of liquidity. Additional sources of liquidity were provided by available cash and cash equivalent balances as well as borrowings from the Company’s term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Cash flows provided by operating activities were $96.1 million for the nine-month period ended September 30, 2014, compared with $137.8 million for 2013. The decrease in cash flows provided by operating activities was primarily due to a decrease in the benefit from deferred income taxes, an increase in accounts receivable, and an increase in equity income from the terminal joint venture, partially offset by a decrease in prepaid expenses and other assets.</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Cash flows used in investing activities were $49.5 million for the nine-month period ended September 30, 2014, compared with $25.0 million for 2013. The increase in cash flows used in investing activities was primarily due to an increase of $27.5 million in deposits into the Capital Construction Fund, and an increase of $5.9 million in capital expenditures, offset by payments for acquisitions of $9.3 million in 2013. Capital expenditures were $25.6 million for the nine-month period ended September 30, 2014, compared to $19.7 million for 2013, and primarily related to the ocean transportation segment.</w:t>
      </w:r>
    </w:p>
    <w:p>
      <w:pPr>
        <w:spacing w:after="0" w:line="15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Cash flows provided by financing activities were $69.8 million for the nine-month period ended September 30, 2014, compared to cash flows used in financing activities of $50.9 million for 2013. The change was primarily due to increased proceeds from issuance of long-term debt net of repayments of $91.4 million during the nine-month period ended September 30, 2014, and by higher debt repayments during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sources of liquidity totaled $423.4 million at September 30, 2014, consisting of cash and cash equivalents, and accounts receivable, an increase of $126.6 million compared to December 31, 2013. The increase was due primarily to a $116.4 million and $10.2 million increase in cash and cash equivalents, and accounts receivable, respectively. The Company had working capital of $259.9 million at September 30, 2014, compared to $148.3 million at December 31, 2013.</w:t>
      </w:r>
    </w:p>
    <w:p>
      <w:pPr>
        <w:spacing w:after="0" w:line="187" w:lineRule="exact"/>
        <w:rPr>
          <w:sz w:val="20"/>
          <w:szCs w:val="20"/>
          <w:color w:val="auto"/>
        </w:rPr>
      </w:pPr>
    </w:p>
    <w:p>
      <w:pPr>
        <w:ind w:left="40" w:right="180"/>
        <w:spacing w:after="0" w:line="308" w:lineRule="auto"/>
        <w:rPr>
          <w:sz w:val="20"/>
          <w:szCs w:val="20"/>
          <w:color w:val="auto"/>
        </w:rPr>
      </w:pPr>
      <w:r>
        <w:rPr>
          <w:rFonts w:ascii="Arial" w:cs="Arial" w:eastAsia="Arial" w:hAnsi="Arial"/>
          <w:sz w:val="17"/>
          <w:szCs w:val="17"/>
          <w:color w:val="auto"/>
        </w:rPr>
        <w:t>Total debt was $377.5 million as of September 30, 2014, compared with $286.1 million at December 31, 2013. The increase in debt is primarily due to the issuance of $100 million of 30-year senior unsecured notes during the first quarter of 2014, offset by repayments of debt.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Except as described below, there were no material changes during this quarter to the Company’s contractual obligations and commitments that are described in Item 7 of the Company’s Annual Report filed on Form 10-K for the year ended December 31, 2013. The Company does not have any off-balance sheet arrangements.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and SSAT are members of the Pacific Maritime Association (“PMA”), which on behalf of its members, negotiates collective bargaining agreements with the International Longshore and Warehouse Union (“ILWU”) on the U.S. Pacific Coast. The PMA/ILWU collective bargaining agreements, which cover substantially all U.S. Pacific Coast longshore labor, expired on July 1, 2014. The Company also has collective bargaining agreements with ILWU longshore labor in Hawaii and ILWU office clerical workers in Honolulu and Oakland, each of which expired on June 30, 2014. Although PMA’s and Matson’s collective bargaining agreements have expired, the parties announced a tentative agreement on health benefits in date August; however, the industry is currently facing worth slowdowns in the Pacific Northwest ports of Seattle and Tacoma. To date, Matson’s operations have not been significantly impacted, but SSAT’s productivity has been negatively impacted by these worth slowdowns. No assurance can be given that these slowdowns will not continue or expend, or a different disruption will not occur, and if a significant disruption were to occur, this would have a material impact on the Company’s financial position, results of operations, or cash flows.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description of contingencies at September 30, 2014, is included in Note 7 to the condensed consolidated financial statements of Item 1 in this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third quarter dividend of $0.17 per share to shareholders was declared on June 26, 2014, to shareholders of record on August 7, 2014, and was paid on September 4, 2014. On October 23, 2014, the Company’s Board of Directors declared a cash dividend of $0.17 per share payable December 4, 2014, to all shareholders of record as of the close of business on November 6,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have been no material changes to the Company’s market risk position from the information provided under Part II, Item 7A, “Quantitative and Qualitative Disclosures About Market Risk,” of our 2013 Annual Report filed on Form 10-K for the year ended December 31, 2013, except for the inclusion of the $100 million 30-year senior unsecured notes issued in January 2014, in the table below.</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the Company’s debt obligations at September 30, 2014, presenting principal cash flows and related interest rates by the expected fiscal year of repayment: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gridSpan w:val="14"/>
          </w:tcPr>
          <w:p>
            <w:pPr>
              <w:jc w:val="right"/>
              <w:ind w:right="700"/>
              <w:spacing w:after="0"/>
              <w:rPr>
                <w:sz w:val="20"/>
                <w:szCs w:val="20"/>
                <w:color w:val="auto"/>
              </w:rPr>
            </w:pPr>
            <w:r>
              <w:rPr>
                <w:rFonts w:ascii="Arial" w:cs="Arial" w:eastAsia="Arial" w:hAnsi="Arial"/>
                <w:sz w:val="14"/>
                <w:szCs w:val="14"/>
                <w:b w:val="1"/>
                <w:bCs w:val="1"/>
                <w:color w:val="auto"/>
                <w:w w:val="97"/>
              </w:rPr>
              <w:t>Expected Fiscal Year Repayments as of September 30 (dollars in millions)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6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9"/>
              </w:rPr>
              <w:t>Thereafter</w:t>
            </w:r>
          </w:p>
        </w:tc>
        <w:tc>
          <w:tcPr>
            <w:tcW w:w="200" w:type="dxa"/>
            <w:vAlign w:val="bottom"/>
          </w:tcPr>
          <w:p>
            <w:pPr>
              <w:spacing w:after="0"/>
              <w:rPr>
                <w:sz w:val="12"/>
                <w:szCs w:val="12"/>
                <w:color w:val="auto"/>
              </w:rPr>
            </w:pPr>
          </w:p>
        </w:tc>
        <w:tc>
          <w:tcPr>
            <w:tcW w:w="72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rate</w:t>
            </w: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Average interest rate</w:t>
            </w:r>
          </w:p>
        </w:tc>
        <w:tc>
          <w:tcPr>
            <w:tcW w:w="6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178"/>
        </w:trPr>
        <w:tc>
          <w:tcPr>
            <w:tcW w:w="2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1900" w:h="16900" w:orient="portrait"/>
          <w:cols w:equalWidth="0" w:num="1">
            <w:col w:w="11380"/>
          </w:cols>
          <w:pgMar w:left="240" w:top="341" w:right="27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16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Average interest rate</w:t>
            </w:r>
          </w:p>
        </w:tc>
        <w:tc>
          <w:tcPr>
            <w:tcW w:w="1600" w:type="dxa"/>
            <w:vAlign w:val="bottom"/>
          </w:tcPr>
          <w:p>
            <w:pPr>
              <w:ind w:left="94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120" w:type="dxa"/>
            <w:vAlign w:val="bottom"/>
          </w:tcPr>
          <w:p>
            <w:pPr>
              <w:ind w:left="460"/>
              <w:spacing w:after="0"/>
              <w:rPr>
                <w:sz w:val="20"/>
                <w:szCs w:val="20"/>
                <w:color w:val="auto"/>
              </w:rPr>
            </w:pPr>
            <w:r>
              <w:rPr>
                <w:rFonts w:ascii="Arial" w:cs="Arial" w:eastAsia="Arial" w:hAnsi="Arial"/>
                <w:sz w:val="18"/>
                <w:szCs w:val="18"/>
                <w:color w:val="auto"/>
              </w:rPr>
              <w:t>—</w:t>
            </w:r>
          </w:p>
        </w:tc>
        <w:tc>
          <w:tcPr>
            <w:tcW w:w="1120" w:type="dxa"/>
            <w:vAlign w:val="bottom"/>
          </w:tcPr>
          <w:p>
            <w:pPr>
              <w:ind w:left="46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200" w:type="dxa"/>
            <w:vAlign w:val="bottom"/>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2014,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three-month period ended September 30, 2014 that have materially affected, or are reasonably likely to materially affect, the Company’s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(Region IX).</w:t>
      </w:r>
    </w:p>
    <w:p>
      <w:pPr>
        <w:spacing w:after="0" w:line="187"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On October 21, 2014, the U.S. Attorney for the District of Hawaii (the “U.S. Attorney”) filed an Information with the U.S. District Court for the District of Hawaii (the “Court”) charging Matson Terminals, Inc. (“MTI”), the subsidiary of the Company that operated the pipeline, with two misdemeanor violations of Section 407 of the Rivers and Harbors Act of 1899 (the “Refuse Act”) arising from the molasses release. The U.S. Attorney also filed a Memorandum of Plea Agreement (the “Plea Agreement”), subject to the approval of the Court, to resolve federal criminal charges arising from the molasses release. Pursuant to the Plea Agreement, MTI agreed to plead guilty to the two violations of the Refuse Act and to pay a penalty of $1 million, comprising a $400,000 fine and community service payments of $600,000. On October 24, 2014, MTI entered a guilty plea in the Court. The Court ordered a Pre-Sentence Report from the U.S. Probation Office and sentencing is set for January 29, 2015.</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guilty plea, the U.S. government could seek to debar MTI and its affiliates from obtaining future U.S. government contracts. To date, the U.S. government has not indicated that it intends to take such action, and the Company is working with the appropriate U.S. government officials in an effort to avoid such an outcome.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 Company has not yet resolved any potential civil claims by the governmental agencies arising out of the molasses release. However, except with respect to the matters discussed above, government agencies have not initiated any legal actions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 The Company continues to respond to governmental requests for information, and is engaging in dialogue with governmental agencies in order to reasonably resolve these matters.</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Other Legal Matters: </w:t>
      </w:r>
      <w:r>
        <w:rPr>
          <w:rFonts w:ascii="Arial" w:cs="Arial" w:eastAsia="Arial" w:hAnsi="Arial"/>
          <w:sz w:val="18"/>
          <w:szCs w:val="18"/>
          <w:color w:val="auto"/>
        </w:rPr>
        <w:t>On June 10, 2013, the Company was served with a complaint filed in the United States District Court for the Central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by an individual plaintiff as relator on behalf of the United States asserting claims against the Company and certain other ocean carriers and freight forwarders for violations of the False Claims Act. The case is entitled United States of America, ex rel. Mario Rizzo v. Horizon Lines, LLC et al. On February 23, 2014, Matson’s Board of Directors approved a settlement of $9.0 million in full settlement of all claims, and $0.95 million for plaintiff’s legal expenses. On July 17, 2014, the settlement was approved by the United States Government, and the Company paid the settlement amount. On July 22, 2014, the case was dismissed with prejudice by the District Court.</w:t>
      </w:r>
    </w:p>
    <w:p>
      <w:pPr>
        <w:spacing w:after="0" w:line="1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0" w:right="279" w:bottom="316"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hereby amends and restates the following risk factor that was previously disclosed in its Form 10-Q for the quarterly period ended June 30, 2014 filed with the SEC on July 31, 2014.</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of September 30, 2014, the Company had approximately 1,032 regular active employees, of which 284 employees were covered by collective bargaining agreements with unions. Of these covered employees, approximately 251 are subject to the expired collective bargaining agreements with the ILWU. In addition, Matson’s active fleet also employs seagoing personnel in 204 billets. Each billet corresponds to a position on a ship that typically is filled by two or more employees because seagoing personnel rotate between active sea-duty and time ashore. Such employees are also subject to collective bargaining agreements. Furthermore, the Company relies on the services of third-parties including SSAT, who employ persons covered by collective bargaining agreements. The Company could be adversely affected by any actions taken by workers subject to collective bargaining agreements, or actions by their unions, such as slow-downs or strikes, which would cause disruptions to the Company’s business.</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Pacific Coast. The PMA/ILWU collective bargaining agreements that cover substantially all U.S. Pacific Coast longshore labor, expired on July 1, 2014. Matson also has collective bargaining agreements with ILWU longshore labor in Hawaii and ILWU office clerical workers in Honolulu and Oakland, each of which expired on June 30, 2014. The PMA and the ILWU announced a tentative agreement on health benefits in late August. However, the industry is currently facing work slowdowns in the Pacific Northwest ports of Seattle and Tacoma. To date, Matson’s operations have not been significantly impacted, but SSAT’s productivity has been negatively impacted by these work slowdowns. We cannot predict when these negotiations will be completed or the duration of these work slowdowns, nor can any assurance be given that (i) these work slowdowns in the Pacific Northwest will not continue or increase, (ii) work slowdowns will not expand to other ports where Matson or SSAT operates or that other disruptions, strikes or lock-outs may occur as a result of the failure of the PMA (as it relates to the U.S. Pacific Coast) or the Company (as it relates to Hawaii or certain Pacific Coast office clerical workers) to successfully negotiate new collective bargaining agreements with the ILWU, or (iii) these slowdowns will not have a negative financial impact on Matson’s or SSAT’s results of operations. In addition, once these negotiations conclude, the Company could be adversely affected by the outcome of these negotiations including, but not limited to, increases in labor costs and less favorable labor work practices.</w:t>
      </w:r>
    </w:p>
    <w:p>
      <w:pPr>
        <w:spacing w:after="0" w:line="1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other material changes to the Company’s risk factors that are disclosed in its Form 10-K for the year ended December 31, 2013 filed with the SEC on February 28,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Issuer Purchases of Equity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Total Number of Shares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2"/>
              </w:rPr>
              <w:t>Average Price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Paid per Share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Plans or Programs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92"/>
              </w:rPr>
              <w:t>July 1 — 31, 2014</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300" w:type="dxa"/>
            <w:vAlign w:val="bottom"/>
            <w:gridSpan w:val="3"/>
          </w:tcPr>
          <w:p>
            <w:pPr>
              <w:jc w:val="center"/>
              <w:ind w:right="2188"/>
              <w:spacing w:after="0"/>
              <w:rPr>
                <w:sz w:val="20"/>
                <w:szCs w:val="20"/>
                <w:color w:val="auto"/>
              </w:rPr>
            </w:pPr>
            <w:r>
              <w:rPr>
                <w:rFonts w:ascii="Arial" w:cs="Arial" w:eastAsia="Arial" w:hAnsi="Arial"/>
                <w:sz w:val="18"/>
                <w:szCs w:val="18"/>
                <w:color w:val="auto"/>
                <w:w w:val="92"/>
              </w:rPr>
              <w:t>August 1 — 31, 2014</w:t>
            </w:r>
          </w:p>
        </w:tc>
        <w:tc>
          <w:tcPr>
            <w:tcW w:w="19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jc w:val="center"/>
              <w:ind w:right="2188"/>
              <w:spacing w:after="0"/>
              <w:rPr>
                <w:sz w:val="20"/>
                <w:szCs w:val="20"/>
                <w:color w:val="auto"/>
              </w:rPr>
            </w:pPr>
            <w:r>
              <w:rPr>
                <w:rFonts w:ascii="Arial" w:cs="Arial" w:eastAsia="Arial" w:hAnsi="Arial"/>
                <w:sz w:val="18"/>
                <w:szCs w:val="18"/>
                <w:color w:val="auto"/>
                <w:w w:val="89"/>
              </w:rPr>
              <w:t>September 1 — 30, 2014</w:t>
            </w:r>
          </w:p>
        </w:tc>
        <w:tc>
          <w:tcPr>
            <w:tcW w:w="1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440" w:type="dxa"/>
            <w:vAlign w:val="bottom"/>
            <w:gridSpan w:val="2"/>
          </w:tcPr>
          <w:p>
            <w:pPr>
              <w:ind w:left="4600"/>
              <w:spacing w:after="0"/>
              <w:rPr>
                <w:sz w:val="20"/>
                <w:szCs w:val="20"/>
                <w:color w:val="auto"/>
              </w:rPr>
            </w:pPr>
            <w:r>
              <w:rPr>
                <w:rFonts w:ascii="Arial" w:cs="Arial" w:eastAsia="Arial" w:hAnsi="Arial"/>
                <w:sz w:val="18"/>
                <w:szCs w:val="18"/>
                <w:color w:val="auto"/>
              </w:rPr>
              <w:t>16</w:t>
            </w:r>
          </w:p>
        </w:tc>
      </w:tr>
      <w:tr>
        <w:trPr>
          <w:trHeight w:val="132"/>
        </w:trPr>
        <w:tc>
          <w:tcPr>
            <w:tcW w:w="1620" w:type="dxa"/>
            <w:vAlign w:val="bottom"/>
            <w:tcBorders>
              <w:bottom w:val="single" w:sz="8" w:color="808080"/>
            </w:tcBorders>
            <w:gridSpan w:val="2"/>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r>
      <w:tr>
        <w:trPr>
          <w:trHeight w:val="740"/>
        </w:trPr>
        <w:tc>
          <w:tcPr>
            <w:tcW w:w="114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r>
      <w:tr>
        <w:trPr>
          <w:trHeight w:val="20"/>
        </w:trPr>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w w:val="93"/>
              </w:rPr>
              <w:t>Settlement Agreement dated July 17, 2014 by and among the United States of America, acting through the United States Department of</w:t>
            </w:r>
          </w:p>
        </w:tc>
      </w:tr>
      <w:tr>
        <w:trPr>
          <w:trHeight w:val="216"/>
        </w:trPr>
        <w:tc>
          <w:tcPr>
            <w:tcW w:w="1020" w:type="dxa"/>
            <w:vAlign w:val="bottom"/>
          </w:tcPr>
          <w:p>
            <w:pPr>
              <w:spacing w:after="0"/>
              <w:rPr>
                <w:sz w:val="18"/>
                <w:szCs w:val="18"/>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w w:val="93"/>
              </w:rPr>
              <w:t>Justice and on behalf of the United States Surface Deployment and Distribution Command, Matson Navigation Company, Inc. (together</w:t>
            </w:r>
          </w:p>
        </w:tc>
      </w:tr>
      <w:tr>
        <w:trPr>
          <w:trHeight w:val="216"/>
        </w:trPr>
        <w:tc>
          <w:tcPr>
            <w:tcW w:w="1020" w:type="dxa"/>
            <w:vAlign w:val="bottom"/>
          </w:tcPr>
          <w:p>
            <w:pPr>
              <w:spacing w:after="0"/>
              <w:rPr>
                <w:sz w:val="18"/>
                <w:szCs w:val="18"/>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w w:val="97"/>
              </w:rPr>
              <w:t>with Matson, Inc., and all affiliated entities) and Mario Rizzo (incorporated by reference to Exhibit 10.1 of Matson’s Form 8-K dated</w:t>
            </w:r>
          </w:p>
        </w:tc>
      </w:tr>
      <w:tr>
        <w:trPr>
          <w:trHeight w:val="230"/>
        </w:trPr>
        <w:tc>
          <w:tcPr>
            <w:tcW w:w="1020" w:type="dxa"/>
            <w:vAlign w:val="bottom"/>
          </w:tcPr>
          <w:p>
            <w:pPr>
              <w:spacing w:after="0"/>
              <w:rPr>
                <w:sz w:val="20"/>
                <w:szCs w:val="20"/>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July 22, 2014).</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w w:val="94"/>
              </w:rPr>
              <w:t>Matson, Inc. Excess Benefits Plan, amended and restated effective as of August 27, 2014 (incorporated by reference to Exhibit 10.1 of</w:t>
            </w:r>
          </w:p>
        </w:tc>
      </w:tr>
      <w:tr>
        <w:trPr>
          <w:trHeight w:val="230"/>
        </w:trPr>
        <w:tc>
          <w:tcPr>
            <w:tcW w:w="1020" w:type="dxa"/>
            <w:vAlign w:val="bottom"/>
          </w:tcPr>
          <w:p>
            <w:pPr>
              <w:spacing w:after="0"/>
              <w:rPr>
                <w:sz w:val="20"/>
                <w:szCs w:val="20"/>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Matson’s Form 8-K dated August 28, 2014).</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w w:val="97"/>
              </w:rPr>
              <w:t>Form of Letter Agreement entered into with executive officer (incorporated by reference to Exhibit 10.1 of Matson’s Form 8-K dated</w:t>
            </w:r>
          </w:p>
        </w:tc>
      </w:tr>
      <w:tr>
        <w:trPr>
          <w:trHeight w:val="230"/>
        </w:trPr>
        <w:tc>
          <w:tcPr>
            <w:tcW w:w="1020" w:type="dxa"/>
            <w:vAlign w:val="bottom"/>
          </w:tcPr>
          <w:p>
            <w:pPr>
              <w:spacing w:after="0"/>
              <w:rPr>
                <w:sz w:val="20"/>
                <w:szCs w:val="20"/>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October 24, 2014).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Letter Agreement Counter Party (incorporated by reference to Exhibit 10.2 of Matson’s Form 8-K dated October 24, 2014).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Executive Officer pursuant to Rule 13a-14(a) or 15d-14(a) of the Securities Exchange Act of 1934.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Financial Officer pursuant to Rule 13a-14(a) or 15d-14(a) of the Securities Exchange Act of 1934.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20" w:type="dxa"/>
            <w:vAlign w:val="bottom"/>
          </w:tcPr>
          <w:p>
            <w:pPr>
              <w:spacing w:after="0"/>
              <w:rPr>
                <w:sz w:val="24"/>
                <w:szCs w:val="24"/>
                <w:color w:val="auto"/>
              </w:rPr>
            </w:pPr>
          </w:p>
        </w:tc>
        <w:tc>
          <w:tcPr>
            <w:tcW w:w="10440" w:type="dxa"/>
            <w:vAlign w:val="bottom"/>
          </w:tcPr>
          <w:p>
            <w:pPr>
              <w:jc w:val="right"/>
              <w:ind w:right="5570"/>
              <w:spacing w:after="0"/>
              <w:rPr>
                <w:sz w:val="20"/>
                <w:szCs w:val="20"/>
                <w:color w:val="auto"/>
              </w:rPr>
            </w:pPr>
            <w:r>
              <w:rPr>
                <w:rFonts w:ascii="Arial" w:cs="Arial" w:eastAsia="Arial" w:hAnsi="Arial"/>
                <w:sz w:val="18"/>
                <w:szCs w:val="18"/>
                <w:color w:val="auto"/>
              </w:rPr>
              <w:t>17</w:t>
            </w:r>
          </w:p>
        </w:tc>
      </w:tr>
      <w:tr>
        <w:trPr>
          <w:trHeight w:val="132"/>
        </w:trPr>
        <w:tc>
          <w:tcPr>
            <w:tcW w:w="1020" w:type="dxa"/>
            <w:vAlign w:val="bottom"/>
            <w:tcBorders>
              <w:bottom w:val="single" w:sz="8" w:color="808080"/>
            </w:tcBorders>
          </w:tcPr>
          <w:p>
            <w:pPr>
              <w:spacing w:after="0"/>
              <w:rPr>
                <w:sz w:val="11"/>
                <w:szCs w:val="11"/>
                <w:color w:val="auto"/>
              </w:rPr>
            </w:pPr>
          </w:p>
        </w:tc>
        <w:tc>
          <w:tcPr>
            <w:tcW w:w="10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6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c>
          <w:tcPr>
            <w:tcW w:w="40" w:type="dxa"/>
            <w:vAlign w:val="bottom"/>
          </w:tcPr>
          <w:p>
            <w:pPr>
              <w:spacing w:after="0"/>
              <w:rPr>
                <w:sz w:val="20"/>
                <w:szCs w:val="20"/>
                <w:color w:val="auto"/>
              </w:rPr>
            </w:pPr>
          </w:p>
        </w:tc>
      </w:tr>
      <w:tr>
        <w:trPr>
          <w:trHeight w:val="224"/>
        </w:trPr>
        <w:tc>
          <w:tcPr>
            <w:tcW w:w="5200" w:type="dxa"/>
            <w:vAlign w:val="bottom"/>
          </w:tcPr>
          <w:p>
            <w:pPr>
              <w:spacing w:after="0"/>
              <w:rPr>
                <w:sz w:val="19"/>
                <w:szCs w:val="19"/>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19"/>
                <w:szCs w:val="19"/>
                <w:color w:val="auto"/>
              </w:rPr>
            </w:pPr>
          </w:p>
        </w:tc>
      </w:tr>
      <w:tr>
        <w:trPr>
          <w:trHeight w:val="634"/>
        </w:trPr>
        <w:tc>
          <w:tcPr>
            <w:tcW w:w="5200" w:type="dxa"/>
            <w:vAlign w:val="bottom"/>
          </w:tcPr>
          <w:p>
            <w:pPr>
              <w:spacing w:after="0"/>
              <w:rPr>
                <w:sz w:val="20"/>
                <w:szCs w:val="20"/>
                <w:color w:val="auto"/>
              </w:rPr>
            </w:pPr>
            <w:r>
              <w:rPr>
                <w:rFonts w:ascii="Arial" w:cs="Arial" w:eastAsia="Arial" w:hAnsi="Arial"/>
                <w:sz w:val="18"/>
                <w:szCs w:val="18"/>
                <w:color w:val="auto"/>
              </w:rPr>
              <w:t>Date: November 7, 2014</w:t>
            </w:r>
          </w:p>
        </w:tc>
        <w:tc>
          <w:tcPr>
            <w:tcW w:w="6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Joel M. Wine</w:t>
            </w:r>
          </w:p>
        </w:tc>
        <w:tc>
          <w:tcPr>
            <w:tcW w:w="40" w:type="dxa"/>
            <w:vAlign w:val="bottom"/>
          </w:tcPr>
          <w:p>
            <w:pPr>
              <w:spacing w:after="0"/>
              <w:rPr>
                <w:sz w:val="24"/>
                <w:szCs w:val="24"/>
                <w:color w:val="auto"/>
              </w:rPr>
            </w:pPr>
          </w:p>
        </w:tc>
      </w:tr>
      <w:tr>
        <w:trPr>
          <w:trHeight w:val="195"/>
        </w:trPr>
        <w:tc>
          <w:tcPr>
            <w:tcW w:w="5200" w:type="dxa"/>
            <w:vAlign w:val="bottom"/>
          </w:tcPr>
          <w:p>
            <w:pPr>
              <w:spacing w:after="0"/>
              <w:rPr>
                <w:sz w:val="16"/>
                <w:szCs w:val="16"/>
                <w:color w:val="auto"/>
              </w:rPr>
            </w:pPr>
          </w:p>
        </w:tc>
        <w:tc>
          <w:tcPr>
            <w:tcW w:w="622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c>
          <w:tcPr>
            <w:tcW w:w="4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4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40" w:type="dxa"/>
            <w:vAlign w:val="bottom"/>
          </w:tcPr>
          <w:p>
            <w:pPr>
              <w:spacing w:after="0"/>
              <w:rPr>
                <w:sz w:val="20"/>
                <w:szCs w:val="20"/>
                <w:color w:val="auto"/>
              </w:rPr>
            </w:pPr>
          </w:p>
        </w:tc>
      </w:tr>
      <w:tr>
        <w:trPr>
          <w:trHeight w:val="648"/>
        </w:trPr>
        <w:tc>
          <w:tcPr>
            <w:tcW w:w="5200" w:type="dxa"/>
            <w:vAlign w:val="bottom"/>
          </w:tcPr>
          <w:p>
            <w:pPr>
              <w:spacing w:after="0"/>
              <w:rPr>
                <w:sz w:val="20"/>
                <w:szCs w:val="20"/>
                <w:color w:val="auto"/>
              </w:rPr>
            </w:pPr>
            <w:r>
              <w:rPr>
                <w:rFonts w:ascii="Arial" w:cs="Arial" w:eastAsia="Arial" w:hAnsi="Arial"/>
                <w:sz w:val="18"/>
                <w:szCs w:val="18"/>
                <w:color w:val="auto"/>
              </w:rPr>
              <w:t>Date: November 7, 2014</w:t>
            </w:r>
          </w:p>
        </w:tc>
        <w:tc>
          <w:tcPr>
            <w:tcW w:w="6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c>
          <w:tcPr>
            <w:tcW w:w="40" w:type="dxa"/>
            <w:vAlign w:val="bottom"/>
          </w:tcPr>
          <w:p>
            <w:pPr>
              <w:spacing w:after="0"/>
              <w:rPr>
                <w:sz w:val="24"/>
                <w:szCs w:val="24"/>
                <w:color w:val="auto"/>
              </w:rPr>
            </w:pPr>
          </w:p>
        </w:tc>
      </w:tr>
      <w:tr>
        <w:trPr>
          <w:trHeight w:val="195"/>
        </w:trPr>
        <w:tc>
          <w:tcPr>
            <w:tcW w:w="5200" w:type="dxa"/>
            <w:vAlign w:val="bottom"/>
          </w:tcPr>
          <w:p>
            <w:pPr>
              <w:spacing w:after="0"/>
              <w:rPr>
                <w:sz w:val="16"/>
                <w:szCs w:val="16"/>
                <w:color w:val="auto"/>
              </w:rPr>
            </w:pPr>
          </w:p>
        </w:tc>
        <w:tc>
          <w:tcPr>
            <w:tcW w:w="622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c>
          <w:tcPr>
            <w:tcW w:w="4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c>
          <w:tcPr>
            <w:tcW w:w="4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p>
        </w:tc>
        <w:tc>
          <w:tcPr>
            <w:tcW w:w="622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40" w:type="dxa"/>
            <w:vAlign w:val="bottom"/>
          </w:tcPr>
          <w:p>
            <w:pPr>
              <w:spacing w:after="0"/>
              <w:rPr>
                <w:sz w:val="20"/>
                <w:szCs w:val="20"/>
                <w:color w:val="auto"/>
              </w:rPr>
            </w:pPr>
          </w:p>
        </w:tc>
      </w:tr>
      <w:tr>
        <w:trPr>
          <w:trHeight w:val="432"/>
        </w:trPr>
        <w:tc>
          <w:tcPr>
            <w:tcW w:w="5200" w:type="dxa"/>
            <w:vAlign w:val="bottom"/>
          </w:tcPr>
          <w:p>
            <w:pPr>
              <w:spacing w:after="0"/>
              <w:rPr>
                <w:sz w:val="24"/>
                <w:szCs w:val="24"/>
                <w:color w:val="auto"/>
              </w:rPr>
            </w:pPr>
          </w:p>
        </w:tc>
        <w:tc>
          <w:tcPr>
            <w:tcW w:w="6220" w:type="dxa"/>
            <w:vAlign w:val="bottom"/>
          </w:tcPr>
          <w:p>
            <w:pPr>
              <w:jc w:val="right"/>
              <w:ind w:right="55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132"/>
        </w:trPr>
        <w:tc>
          <w:tcPr>
            <w:tcW w:w="5200" w:type="dxa"/>
            <w:vAlign w:val="bottom"/>
            <w:tcBorders>
              <w:bottom w:val="single" w:sz="8" w:color="808080"/>
            </w:tcBorders>
          </w:tcPr>
          <w:p>
            <w:pPr>
              <w:spacing w:after="0"/>
              <w:rPr>
                <w:sz w:val="11"/>
                <w:szCs w:val="11"/>
                <w:color w:val="auto"/>
              </w:rPr>
            </w:pPr>
          </w:p>
        </w:tc>
        <w:tc>
          <w:tcPr>
            <w:tcW w:w="6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8"/>
        <w:spacing w:after="0" w:line="264" w:lineRule="auto"/>
        <w:tabs>
          <w:tab w:leader="none" w:pos="6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8"/>
        <w:spacing w:after="0" w:line="277" w:lineRule="auto"/>
        <w:tabs>
          <w:tab w:leader="none" w:pos="6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8"/>
        <w:spacing w:after="0" w:line="26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60" w:firstLine="8"/>
        <w:spacing w:after="0" w:line="308" w:lineRule="auto"/>
        <w:tabs>
          <w:tab w:leader="none" w:pos="6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6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Matthew J. Cox</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8"/>
        <w:spacing w:after="0" w:line="264" w:lineRule="auto"/>
        <w:tabs>
          <w:tab w:leader="none" w:pos="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8"/>
        <w:spacing w:after="0" w:line="277" w:lineRule="auto"/>
        <w:tabs>
          <w:tab w:leader="none" w:pos="6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8"/>
        <w:spacing w:after="0" w:line="26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60" w:firstLine="8"/>
        <w:spacing w:after="0" w:line="308"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Joel M. Wine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Joel M. Wine,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September 30, 2014,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Matthew J. Cox</w:t>
            </w:r>
          </w:p>
        </w:tc>
        <w:tc>
          <w:tcPr>
            <w:tcW w:w="572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57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160"/>
              <w:spacing w:after="0"/>
              <w:rPr>
                <w:sz w:val="20"/>
                <w:szCs w:val="20"/>
                <w:color w:val="auto"/>
              </w:rPr>
            </w:pPr>
            <w:r>
              <w:rPr>
                <w:rFonts w:ascii="Arial" w:cs="Arial" w:eastAsia="Arial" w:hAnsi="Arial"/>
                <w:sz w:val="18"/>
                <w:szCs w:val="18"/>
                <w:color w:val="auto"/>
              </w:rPr>
              <w:t>November 7, 2014</w:t>
            </w:r>
          </w:p>
        </w:tc>
        <w:tc>
          <w:tcPr>
            <w:tcW w:w="5720" w:type="dxa"/>
            <w:vAlign w:val="bottom"/>
          </w:tcPr>
          <w:p>
            <w:pPr>
              <w:spacing w:after="0"/>
              <w:rPr>
                <w:sz w:val="20"/>
                <w:szCs w:val="20"/>
                <w:color w:val="auto"/>
              </w:rPr>
            </w:pPr>
          </w:p>
        </w:tc>
      </w:tr>
      <w:tr>
        <w:trPr>
          <w:trHeight w:val="648"/>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20" w:type="dxa"/>
            <w:vAlign w:val="bottom"/>
          </w:tcPr>
          <w:p>
            <w:pPr>
              <w:spacing w:after="0"/>
              <w:rPr>
                <w:sz w:val="24"/>
                <w:szCs w:val="24"/>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60"/>
              <w:spacing w:after="0" w:line="195" w:lineRule="exact"/>
              <w:rPr>
                <w:sz w:val="20"/>
                <w:szCs w:val="20"/>
                <w:color w:val="auto"/>
              </w:rPr>
            </w:pPr>
            <w:r>
              <w:rPr>
                <w:rFonts w:ascii="Arial" w:cs="Arial" w:eastAsia="Arial" w:hAnsi="Arial"/>
                <w:sz w:val="18"/>
                <w:szCs w:val="18"/>
                <w:color w:val="auto"/>
              </w:rPr>
              <w:t>Joel M. Wine</w:t>
            </w:r>
          </w:p>
        </w:tc>
        <w:tc>
          <w:tcPr>
            <w:tcW w:w="572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57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160"/>
              <w:spacing w:after="0"/>
              <w:rPr>
                <w:sz w:val="20"/>
                <w:szCs w:val="20"/>
                <w:color w:val="auto"/>
              </w:rPr>
            </w:pPr>
            <w:r>
              <w:rPr>
                <w:rFonts w:ascii="Arial" w:cs="Arial" w:eastAsia="Arial" w:hAnsi="Arial"/>
                <w:sz w:val="18"/>
                <w:szCs w:val="18"/>
                <w:color w:val="auto"/>
              </w:rPr>
              <w:t>November 7, 2014</w:t>
            </w:r>
          </w:p>
        </w:tc>
        <w:tc>
          <w:tcPr>
            <w:tcW w:w="572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2019-12-05T02:35:57Z</dcterms:created>
  <dcterms:modified xsi:type="dcterms:W3CDTF">2019-12-05T02:35:57Z</dcterms:modified>
</cp:coreProperties>
</file>